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8879" cy="72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79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INTERNATIONAL COMPARISON PROGRAM (ICP) </w:t>
      </w:r>
    </w:p>
    <w:p>
      <w:pPr>
        <w:autoSpaceDN w:val="0"/>
        <w:autoSpaceDE w:val="0"/>
        <w:widowControl/>
        <w:spacing w:line="197" w:lineRule="auto" w:before="3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MEETING OF THE GOVERNING BOARD </w:t>
      </w:r>
    </w:p>
    <w:p>
      <w:pPr>
        <w:autoSpaceDN w:val="0"/>
        <w:autoSpaceDE w:val="0"/>
        <w:widowControl/>
        <w:spacing w:line="197" w:lineRule="auto" w:before="3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FEBRUARY 26, 2023 </w:t>
      </w:r>
    </w:p>
    <w:p>
      <w:pPr>
        <w:autoSpaceDN w:val="0"/>
        <w:autoSpaceDE w:val="0"/>
        <w:widowControl/>
        <w:spacing w:line="197" w:lineRule="auto" w:before="3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MEETING MINUTES </w:t>
      </w:r>
    </w:p>
    <w:p>
      <w:pPr>
        <w:autoSpaceDN w:val="0"/>
        <w:autoSpaceDE w:val="0"/>
        <w:widowControl/>
        <w:spacing w:line="245" w:lineRule="auto" w:before="650" w:after="0"/>
        <w:ind w:left="10" w:right="20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third meeting of the International Comparison Program (ICP) Governing Board for the 2021 cycle took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place on February 26, 2023, at the Millennium Hilton New York One UN Plaza, New York, United States,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a hybrid event. </w:t>
      </w:r>
    </w:p>
    <w:p>
      <w:pPr>
        <w:autoSpaceDN w:val="0"/>
        <w:autoSpaceDE w:val="0"/>
        <w:widowControl/>
        <w:spacing w:line="245" w:lineRule="auto" w:before="348" w:after="0"/>
        <w:ind w:left="10" w:right="24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objectives of the meeting were to review the status of the 2021 cycle at the global and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levels. In attendance were the Board members and observers, and Board secretariat staff, as listed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Annex 2. The agenda and presentation accompanying the meeting are available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Welcome address, opening remarks and adoption of the agenda </w:t>
      </w:r>
    </w:p>
    <w:p>
      <w:pPr>
        <w:autoSpaceDN w:val="0"/>
        <w:autoSpaceDE w:val="0"/>
        <w:widowControl/>
        <w:spacing w:line="245" w:lineRule="auto" w:before="352" w:after="0"/>
        <w:ind w:left="10" w:right="22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Chair, Mr. Markus Sovala, Director General of Statistics Finland, opened the meeting. He invited Ms.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Haishan Fu, Chief Statistician and Director of the Development Data Group, World Bank, to provide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opening remarks. She noted the positive progress with the ICP 2021 cycle despite the setbacks caused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both the COVID-19 pandemic and the war in Ukraine and looked forward to the timely publication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The Chair presented the proposed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agenda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the Board for adoption. </w:t>
      </w:r>
    </w:p>
    <w:p>
      <w:pPr>
        <w:autoSpaceDN w:val="0"/>
        <w:autoSpaceDE w:val="0"/>
        <w:widowControl/>
        <w:spacing w:line="197" w:lineRule="auto" w:before="346" w:after="0"/>
        <w:ind w:left="59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>The Governing Board adopted the proposed meeting agenda.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Global progress with ICP 2021 cycle </w:t>
      </w:r>
    </w:p>
    <w:p>
      <w:pPr>
        <w:autoSpaceDN w:val="0"/>
        <w:autoSpaceDE w:val="0"/>
        <w:widowControl/>
        <w:spacing w:line="245" w:lineRule="auto" w:before="350" w:after="0"/>
        <w:ind w:left="10" w:right="20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Ms. Nada Hamadeh, Manager, Economic, Debt and Price Data Unit, World Bank, presented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2" w:history="1">
          <w:r>
            <w:rPr>
              <w:rStyle w:val="Hyperlink"/>
            </w:rPr>
            <w:t>global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2" w:history="1">
          <w:r>
            <w:rPr>
              <w:rStyle w:val="Hyperlink"/>
            </w:rPr>
            <w:t>progress report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ICP 2021 cycle, covering the 2021 cycle timeline and milestones, participation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submission status, governance activities, risks and mitigation measures, replicability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transparency of ICP results, and uses and outreach. </w:t>
      </w:r>
    </w:p>
    <w:p>
      <w:pPr>
        <w:autoSpaceDN w:val="0"/>
        <w:autoSpaceDE w:val="0"/>
        <w:widowControl/>
        <w:spacing w:line="245" w:lineRule="auto" w:before="344" w:after="0"/>
        <w:ind w:left="10" w:right="22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number of participating economies for the ICP 2021 cycle is expected to be similar to the ICP 2017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cycle, during which 176 economies participated. Operational activities are still ongoing in all ICP regions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according to schedule, despite the delays in selected regions and economies caused mainly by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disruptions brought about by the COVID-19 pandemic. </w:t>
      </w:r>
    </w:p>
    <w:p>
      <w:pPr>
        <w:autoSpaceDN w:val="0"/>
        <w:autoSpaceDE w:val="0"/>
        <w:widowControl/>
        <w:spacing w:line="197" w:lineRule="auto" w:before="59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618" w:right="1360" w:bottom="41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0" w:right="20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Meeting frequency for all governance and coordination bodies is expected to increase in this final year of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cycle, with a 4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quarter of 2023 virtual meeting envisaged for the Governing Board. Results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scheduled to be released by the end of2023, with outreach activities anticipated for the first half of 2024.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3" w:history="1">
          <w:r>
            <w:rPr>
              <w:rStyle w:val="Hyperlink"/>
            </w:rPr>
            <w:t>ICP report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submitted for information to the United Nations Statistical Commission’s 54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invites members to ensure the timely completion of the 2021 cycle, begin preparations for the 2024 cycle,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incorporate the ICP into national statistical programs. </w:t>
      </w:r>
    </w:p>
    <w:p>
      <w:pPr>
        <w:autoSpaceDN w:val="0"/>
        <w:autoSpaceDE w:val="0"/>
        <w:widowControl/>
        <w:spacing w:line="245" w:lineRule="auto" w:before="348" w:after="0"/>
        <w:ind w:left="10" w:right="22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Ms. Hamadeh updated the Board on Sir Angus Deaton’s intention to step down as Technical Advisory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Group (TAG) Chair and that Mr. Paul Schreyer, Chief Statistician and Director of Statistics and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Directorate, Organisation for Economic Cooperation and Development (OECD), and current TAG Alternate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Chair, has agreed to take up the role of TAG Chair going forward. She noted that a few vacant membership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positions existed on the TAG. </w:t>
      </w:r>
    </w:p>
    <w:p>
      <w:pPr>
        <w:autoSpaceDN w:val="0"/>
        <w:autoSpaceDE w:val="0"/>
        <w:widowControl/>
        <w:spacing w:line="245" w:lineRule="auto" w:before="348" w:after="0"/>
        <w:ind w:left="10" w:right="20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Mr. Schreyer updated the Board on the most recent meeting of the TAG, held in December 2022,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discussed the impact of COVID-19 and war in Ukraine on ICP, the ICP Research Agenda, and new uses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 and ICP data. Regarding the impact of the pandemic on data collected by Eurostat and OECD, Mr.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Schreyer noted a negligible effect on annual average prices, but a more pronounced effect on expenditure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weights. Furthermore, as Russia is no longer participating in the OECD comparison, and thereby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preventing the linking of the Commonwealth of Independent States (CIS) region through Russia,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experiments are underway to link the CIS region directly to the global program, following the standard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linking methodology. The next TAG meeting is scheduled for summer 2023. </w:t>
      </w:r>
    </w:p>
    <w:p>
      <w:pPr>
        <w:autoSpaceDN w:val="0"/>
        <w:autoSpaceDE w:val="0"/>
        <w:widowControl/>
        <w:spacing w:line="245" w:lineRule="auto" w:before="348" w:after="0"/>
        <w:ind w:left="10" w:right="22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Ms. Hamadeh noted recent uses of purchasing power parities (PPPs) and ICP data, including the World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Bank update of the international poverty lines to 2017 PPPs, which recognized the stability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 and results between the most recent ICP cycles. She also noted the use of ICP food price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data in new diet cost and affordability indicators published by the Food Prices for Nutrition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project and used by United Nations agencies in monitoring food security. </w:t>
      </w:r>
    </w:p>
    <w:p>
      <w:pPr>
        <w:autoSpaceDN w:val="0"/>
        <w:autoSpaceDE w:val="0"/>
        <w:widowControl/>
        <w:spacing w:line="245" w:lineRule="auto" w:before="346" w:after="0"/>
        <w:ind w:left="10" w:right="22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She also noted a forthcoming World Bank paper exploring the use of PPPs, instead of market exchange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rates through the Atlas method, in classifying economies by income level. The classification is used both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operational purposes, to determine lending terms, and for analytical purposes, to broadly group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 by level of development. A consultation on the paper is currently underway. </w:t>
      </w:r>
    </w:p>
    <w:p>
      <w:pPr>
        <w:autoSpaceDN w:val="0"/>
        <w:autoSpaceDE w:val="0"/>
        <w:widowControl/>
        <w:spacing w:line="245" w:lineRule="auto" w:before="346" w:after="0"/>
        <w:ind w:left="10" w:right="22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Ms. Hamadeh closed her presentation by suggesting that the Board consider sending a letter to 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Statistical Offices (NSOs) urging them to complete the 2021 cycle in a timely manner and to begin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preparations for the 2024 cycle. </w:t>
      </w:r>
    </w:p>
    <w:p>
      <w:pPr>
        <w:autoSpaceDN w:val="0"/>
        <w:tabs>
          <w:tab w:pos="950" w:val="left"/>
        </w:tabs>
        <w:autoSpaceDE w:val="0"/>
        <w:widowControl/>
        <w:spacing w:line="247" w:lineRule="auto" w:before="348" w:after="0"/>
        <w:ind w:left="590" w:right="576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The ICP Governing Board noted: </w:t>
      </w:r>
      <w:r>
        <w:br/>
      </w:r>
      <w:r>
        <w:rPr>
          <w:rFonts w:ascii="Calibri" w:hAnsi="Calibri" w:eastAsia="Calibri"/>
          <w:b/>
          <w:i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 xml:space="preserve">the progress made with the ICP 2021 cycle, despite the Covid-19 pandemic and the 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>war in Ukraine;</w:t>
      </w:r>
      <w:r>
        <w:br/>
      </w:r>
      <w:r>
        <w:rPr>
          <w:rFonts w:ascii="Calibri" w:hAnsi="Calibri" w:eastAsia="Calibri"/>
          <w:b/>
          <w:i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 xml:space="preserve">the need to identify a new approach to link the CIS region into the global set of ICP 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>results;</w:t>
      </w:r>
      <w:r>
        <w:br/>
      </w:r>
      <w:r>
        <w:rPr>
          <w:rFonts w:ascii="Calibri" w:hAnsi="Calibri" w:eastAsia="Calibri"/>
          <w:b/>
          <w:i/>
          <w:color w:val="000000"/>
          <w:sz w:val="22"/>
        </w:rPr>
        <w:t>-</w:t>
      </w:r>
      <w:r>
        <w:br/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 xml:space="preserve">the need to approach the NSOs on completing the ICP 2021 cycle activities in a timely 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>manner and to begin preparations for the ICP 2024 cycle;</w:t>
      </w:r>
      <w:r>
        <w:br/>
      </w:r>
      <w:r>
        <w:rPr>
          <w:rFonts w:ascii="Calibri" w:hAnsi="Calibri" w:eastAsia="Calibri"/>
          <w:b/>
          <w:i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 xml:space="preserve">the need to identify sustained funding for the program and to strengthen advocacy 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>efforts; and</w:t>
      </w:r>
      <w:r>
        <w:br/>
      </w:r>
      <w:r>
        <w:rPr>
          <w:rFonts w:ascii="Calibri" w:hAnsi="Calibri" w:eastAsia="Calibri"/>
          <w:b/>
          <w:i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>the current and anticipated uses of PPPs.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652" w:right="1360" w:bottom="41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Regional progress reports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Africa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Mr. Louis Kouakou, Acting Director, Statistics Department, African Development Bank (AfDB), briefed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Board on the implementation of the 2021 cycle in the Africa region, including the status of data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metadata submissions and validation, and workshops and technical assistance provided to countries. 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emphasized the need to have a sufficient lead time for each cycle to ensure countries had sufficient time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prepare and find resources. He also noted that countries needed support in leveraging consumer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index (CPI) data for ICP price collection.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Asia and Pacific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Mr. Kaushal Joshi, Principal Statistician, Statistics and Data Innovation, Asian Development Bank (ADB), </w:t>
      </w:r>
      <w:r>
        <w:rPr>
          <w:rFonts w:ascii="Calibri" w:hAnsi="Calibri" w:eastAsia="Calibri"/>
          <w:b w:val="0"/>
          <w:i w:val="0"/>
          <w:color w:val="000000"/>
          <w:sz w:val="22"/>
        </w:rPr>
        <w:t>briefed the Board on the implementation of the 2021 cycle in the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 xml:space="preserve"> Asia region,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including the status of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metadata submissions and validation, and workshops and technical assistance provided to countries.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noted that where surveys were delayed beyond 2021 a standardized methodology for backcasting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had been adopted, while regular regional workshops continue, and bespoke technical assistance has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carried out in several economies. Mr. Joshi noted the use of the ICP Asia Pacific data management tool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and the development and piloting of a CAPI tool for household data collection, and initiated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work on web-scraping.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Commonwealth of Independent States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Mr. Andrey Kosarev, Deputy Chairman, Interstate Statistical Committee of the Commonwealth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Independent States (CIS-STAT), briefed the Board on the implementation of the 2021 cycle in the CIS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region, including the status of data and metadata submissions and validation, and workshops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technical assistance provided to countries. He noted the need for the CIS linking to the global program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modified, and the preference of not applying productivity adjustment at reginal stage. Furthermore,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said it was important to minimize the breaks for the CIS economies in the global ICP time series.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Latin America and the Caribbean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Mr. Ronaldo Ocampo, Director, Statistics Division, United Nations Economic Commission for Latin America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 Caribbean (UN-ECLAC), briefed the Board on the implementation of the 2021 cycle in the Latin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America and the Caribbean region, including the status of data and metadata submissions and validation,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workshops and technical assistance provided to countries. He noted that some economies have faced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natural disasters and complex political situations, which have had an impact on their statistical operations,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 support of the Caribbean Community and Common Market (CARICOM) for the program. Technical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assistance has been provided to economies on the compilation of expenditures and price surveys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frequent regional workshops continue throughout the cycle.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Western Asia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Mr. Majed Skaini, Statistician, Statistics Division, United Nations Economic and Social Commission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Western Asia (UN-ESCWA), briefed the Board on the implementation of the 2021 cycle in the Western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Asia region, including the status of data and metadata submissions and validation, and workshops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technical assistance provided to countries. He noted that advocacy to integrate the ICP with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statistical programs had helped participation rates, while positioning the ICP as an ongoing activity helped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secure regional support. He also noted that the United Arab Emirates are producing subnational PPPs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are harmonizing data collection with subnational CPI lists for that purpose. Regional workshops and </w:t>
      </w:r>
    </w:p>
    <w:p>
      <w:pPr>
        <w:autoSpaceDN w:val="0"/>
        <w:autoSpaceDE w:val="0"/>
        <w:widowControl/>
        <w:spacing w:line="197" w:lineRule="auto" w:before="6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652" w:right="1360" w:bottom="40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economy-specific technical assistance continues, while the region works with AfDB on dual-participating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and collaborates with UN-ECLAC on ICP and CPI activities. </w:t>
      </w:r>
    </w:p>
    <w:p>
      <w:pPr>
        <w:autoSpaceDN w:val="0"/>
        <w:autoSpaceDE w:val="0"/>
        <w:widowControl/>
        <w:spacing w:line="245" w:lineRule="auto" w:before="346" w:after="0"/>
        <w:ind w:left="14" w:right="0" w:hanging="14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Eurostat-OECD PPP Programme </w:t>
      </w:r>
      <w:r>
        <w:br/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Ms. Mariana Kotzeva, Director </w:t>
      </w:r>
      <w:r>
        <w:rPr>
          <w:rFonts w:ascii="Calibri" w:hAnsi="Calibri" w:eastAsia="Calibri"/>
          <w:b w:val="0"/>
          <w:i w:val="0"/>
          <w:color w:val="000000"/>
          <w:sz w:val="22"/>
        </w:rPr>
        <w:t>General, Eurostat,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 xml:space="preserve"> reported on two aspects regarding the Eurostat-OECD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PPP Programme.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First, an update of the Eurostat-OECD methodological manual on PPPs is currently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underway and will be published in 2023. Second, Georgia and Ukraine are participating in the Programme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 Eurostat’s coordination. Efforts are underway to secure all required datasets for Ukraine’s full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 in the ICP 2021 cycle. </w:t>
      </w:r>
    </w:p>
    <w:p>
      <w:pPr>
        <w:autoSpaceDN w:val="0"/>
        <w:tabs>
          <w:tab w:pos="950" w:val="left"/>
        </w:tabs>
        <w:autoSpaceDE w:val="0"/>
        <w:widowControl/>
        <w:spacing w:line="245" w:lineRule="auto" w:before="346" w:after="0"/>
        <w:ind w:left="590" w:right="72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The Governing Board noted: </w:t>
      </w:r>
      <w:r>
        <w:br/>
      </w:r>
      <w:r>
        <w:rPr>
          <w:rFonts w:ascii="Calibri" w:hAnsi="Calibri" w:eastAsia="Calibri"/>
          <w:b/>
          <w:i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 xml:space="preserve">the progress made with implementing the ICP 2021 cycle in each region; and </w:t>
      </w:r>
      <w:r>
        <w:rPr>
          <w:rFonts w:ascii="Calibri" w:hAnsi="Calibri" w:eastAsia="Calibri"/>
          <w:b/>
          <w:i/>
          <w:color w:val="000000"/>
          <w:sz w:val="24"/>
        </w:rPr>
        <w:t>-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 xml:space="preserve">the importance of ICP results and participation benefits the Program brings in terms </w:t>
      </w:r>
      <w:r>
        <w:tab/>
      </w:r>
      <w:r>
        <w:rPr>
          <w:rFonts w:ascii="Calibri" w:hAnsi="Calibri" w:eastAsia="Calibri"/>
          <w:b/>
          <w:i/>
          <w:color w:val="000000"/>
          <w:sz w:val="22"/>
        </w:rPr>
        <w:t>of strengthening statistical capacity.</w:t>
      </w:r>
    </w:p>
    <w:p>
      <w:pPr>
        <w:autoSpaceDN w:val="0"/>
        <w:autoSpaceDE w:val="0"/>
        <w:widowControl/>
        <w:spacing w:line="197" w:lineRule="auto" w:before="356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Next meeting and any other business </w:t>
      </w:r>
    </w:p>
    <w:p>
      <w:pPr>
        <w:autoSpaceDN w:val="0"/>
        <w:autoSpaceDE w:val="0"/>
        <w:widowControl/>
        <w:spacing w:line="245" w:lineRule="auto" w:before="334" w:after="0"/>
        <w:ind w:left="10" w:right="20" w:hanging="1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Mr. Sovala suggested that the next ICP Governing Board meeting be held virtually in 4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quarter of 2023.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closed the meeting by thanking the Board members and observers for their participation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contributions. </w:t>
      </w:r>
    </w:p>
    <w:p>
      <w:pPr>
        <w:autoSpaceDN w:val="0"/>
        <w:autoSpaceDE w:val="0"/>
        <w:widowControl/>
        <w:spacing w:line="211" w:lineRule="auto" w:before="328" w:after="0"/>
        <w:ind w:left="590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>The Governing Board agreed to hold the next meeting</w:t>
      </w:r>
      <w:r>
        <w:rPr>
          <w:rFonts w:ascii="Calibri" w:hAnsi="Calibri" w:eastAsia="Calibri"/>
          <w:b/>
          <w:i/>
          <w:color w:val="000000"/>
          <w:sz w:val="22"/>
        </w:rPr>
        <w:t>virtually in 4</w:t>
      </w:r>
      <w:r>
        <w:rPr>
          <w:rFonts w:ascii="Calibri" w:hAnsi="Calibri" w:eastAsia="Calibri"/>
          <w:b/>
          <w:i/>
          <w:color w:val="000000"/>
          <w:sz w:val="14"/>
        </w:rPr>
        <w:t>th</w:t>
      </w:r>
      <w:r>
        <w:rPr>
          <w:rFonts w:ascii="Calibri" w:hAnsi="Calibri" w:eastAsia="Calibri"/>
          <w:b/>
          <w:i/>
          <w:color w:val="000000"/>
          <w:sz w:val="22"/>
        </w:rPr>
        <w:t xml:space="preserve"> quarter of 2023. </w:t>
      </w:r>
    </w:p>
    <w:p>
      <w:pPr>
        <w:autoSpaceDN w:val="0"/>
        <w:autoSpaceDE w:val="0"/>
        <w:widowControl/>
        <w:spacing w:line="197" w:lineRule="auto" w:before="731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652" w:right="1360" w:bottom="41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Annex 1: Meeting Agenda </w:t>
      </w:r>
    </w:p>
    <w:p>
      <w:pPr>
        <w:autoSpaceDN w:val="0"/>
        <w:autoSpaceDE w:val="0"/>
        <w:widowControl/>
        <w:spacing w:line="240" w:lineRule="auto" w:before="17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8880" cy="725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72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9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International Comparison Program (ICP) </w:t>
      </w:r>
    </w:p>
    <w:p>
      <w:pPr>
        <w:autoSpaceDN w:val="0"/>
        <w:autoSpaceDE w:val="0"/>
        <w:widowControl/>
        <w:spacing w:line="197" w:lineRule="auto" w:before="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Meeting of the Governing Board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February 26, 2023 </w:t>
      </w:r>
    </w:p>
    <w:p>
      <w:pPr>
        <w:autoSpaceDN w:val="0"/>
        <w:autoSpaceDE w:val="0"/>
        <w:widowControl/>
        <w:spacing w:line="197" w:lineRule="auto" w:before="6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Millennium Hilton New York One UN Plaza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New York, USA </w:t>
      </w:r>
    </w:p>
    <w:p>
      <w:pPr>
        <w:autoSpaceDN w:val="0"/>
        <w:autoSpaceDE w:val="0"/>
        <w:widowControl/>
        <w:spacing w:line="197" w:lineRule="auto" w:before="6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Agenda </w:t>
      </w:r>
    </w:p>
    <w:p>
      <w:pPr>
        <w:autoSpaceDN w:val="0"/>
        <w:tabs>
          <w:tab w:pos="2174" w:val="left"/>
        </w:tabs>
        <w:autoSpaceDE w:val="0"/>
        <w:widowControl/>
        <w:spacing w:line="197" w:lineRule="auto" w:before="914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5:00 – 5:15 pm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Opening remarks and adoption of the agenda, </w:t>
      </w:r>
      <w:r>
        <w:rPr>
          <w:rFonts w:ascii="Calibri" w:hAnsi="Calibri" w:eastAsia="Calibri"/>
          <w:b/>
          <w:i/>
          <w:color w:val="000000"/>
          <w:sz w:val="22"/>
        </w:rPr>
        <w:t>Meeting Chair</w:t>
      </w:r>
    </w:p>
    <w:p>
      <w:pPr>
        <w:autoSpaceDN w:val="0"/>
        <w:tabs>
          <w:tab w:pos="2174" w:val="left"/>
        </w:tabs>
        <w:autoSpaceDE w:val="0"/>
        <w:widowControl/>
        <w:spacing w:line="197" w:lineRule="auto" w:before="346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5:15 – 6.00 pm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Overall progress with ICP 2021 cycle, </w:t>
      </w:r>
      <w:r>
        <w:rPr>
          <w:rFonts w:ascii="Calibri" w:hAnsi="Calibri" w:eastAsia="Calibri"/>
          <w:b/>
          <w:i/>
          <w:color w:val="000000"/>
          <w:sz w:val="22"/>
        </w:rPr>
        <w:t>ICP Global Office</w:t>
      </w:r>
    </w:p>
    <w:p>
      <w:pPr>
        <w:autoSpaceDN w:val="0"/>
        <w:tabs>
          <w:tab w:pos="2174" w:val="left"/>
        </w:tabs>
        <w:autoSpaceDE w:val="0"/>
        <w:widowControl/>
        <w:spacing w:line="197" w:lineRule="auto" w:before="348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6:00 – 6:45 pm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Regional progress with ICP 2021 cycle, </w:t>
      </w:r>
      <w:r>
        <w:rPr>
          <w:rFonts w:ascii="Calibri" w:hAnsi="Calibri" w:eastAsia="Calibri"/>
          <w:b/>
          <w:i/>
          <w:color w:val="000000"/>
          <w:sz w:val="22"/>
        </w:rPr>
        <w:t>Regional Implementing Agencies</w:t>
      </w:r>
    </w:p>
    <w:p>
      <w:pPr>
        <w:autoSpaceDN w:val="0"/>
        <w:tabs>
          <w:tab w:pos="2174" w:val="left"/>
        </w:tabs>
        <w:autoSpaceDE w:val="0"/>
        <w:widowControl/>
        <w:spacing w:line="197" w:lineRule="auto" w:before="344" w:after="0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6:45 – 7:00 pm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Any other Business and Closing remarks, </w:t>
      </w:r>
      <w:r>
        <w:rPr>
          <w:rFonts w:ascii="Calibri" w:hAnsi="Calibri" w:eastAsia="Calibri"/>
          <w:b/>
          <w:i/>
          <w:color w:val="000000"/>
          <w:sz w:val="22"/>
        </w:rPr>
        <w:t>Meeting Chair</w:t>
      </w:r>
    </w:p>
    <w:p>
      <w:pPr>
        <w:autoSpaceDN w:val="0"/>
        <w:autoSpaceDE w:val="0"/>
        <w:widowControl/>
        <w:spacing w:line="197" w:lineRule="auto" w:before="30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654" w:right="1440" w:bottom="40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"/>
        <w:ind w:left="0" w:right="0"/>
      </w:pPr>
    </w:p>
    <w:p>
      <w:pPr>
        <w:autoSpaceDN w:val="0"/>
        <w:autoSpaceDE w:val="0"/>
        <w:widowControl/>
        <w:spacing w:line="197" w:lineRule="auto" w:before="0" w:after="30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Annex 2: List of Participants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866"/>
        <w:gridCol w:w="4866"/>
      </w:tblGrid>
      <w:tr>
        <w:trPr>
          <w:trHeight w:hRule="exact" w:val="298"/>
        </w:trPr>
        <w:tc>
          <w:tcPr>
            <w:tcW w:type="dxa" w:w="395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Country / Organization </w:t>
            </w:r>
          </w:p>
        </w:tc>
        <w:tc>
          <w:tcPr>
            <w:tcW w:type="dxa" w:w="574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Participant</w:t>
            </w:r>
          </w:p>
        </w:tc>
      </w:tr>
      <w:tr>
        <w:trPr>
          <w:trHeight w:hRule="exact" w:val="548"/>
        </w:trPr>
        <w:tc>
          <w:tcPr>
            <w:tcW w:type="dxa" w:w="39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Argentina 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Marco Lavagna, Director, National Institute of Statistics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Censuses (INDEC) of Argentina </w:t>
            </w:r>
          </w:p>
        </w:tc>
      </w:tr>
      <w:tr>
        <w:trPr>
          <w:trHeight w:hRule="exact" w:val="298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Pedro Lines, Technical Director, INDEC </w:t>
            </w:r>
          </w:p>
        </w:tc>
      </w:tr>
      <w:tr>
        <w:trPr>
          <w:trHeight w:hRule="exact" w:val="296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Santiago Boffi, National Director of Price Statistics, INDEC </w:t>
            </w:r>
          </w:p>
        </w:tc>
      </w:tr>
      <w:tr>
        <w:trPr>
          <w:trHeight w:hRule="exact" w:val="546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Martín Chojo, Director of Institutional and International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Relations, INDEC </w:t>
            </w:r>
          </w:p>
        </w:tc>
      </w:tr>
      <w:tr>
        <w:trPr>
          <w:trHeight w:hRule="exact" w:val="300"/>
        </w:trPr>
        <w:tc>
          <w:tcPr>
            <w:tcW w:type="dxa" w:w="39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Finland (Co-Chair) 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Markus Sovala, Director General, Statistics Finland, Co-Chair </w:t>
            </w:r>
          </w:p>
        </w:tc>
      </w:tr>
      <w:tr>
        <w:trPr>
          <w:trHeight w:hRule="exact" w:val="548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Timo Koskimaki, Director of International Affairs, Statistics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Finland </w:t>
            </w:r>
          </w:p>
        </w:tc>
      </w:tr>
      <w:tr>
        <w:trPr>
          <w:trHeight w:hRule="exact" w:val="300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Mari Yla-Jarkko, Director, Business Statistics, Statistics Finland </w:t>
            </w:r>
          </w:p>
        </w:tc>
      </w:tr>
      <w:tr>
        <w:trPr>
          <w:trHeight w:hRule="exact" w:val="546"/>
        </w:trPr>
        <w:tc>
          <w:tcPr>
            <w:tcW w:type="dxa" w:w="39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Malaysia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Mohd Uzir Mahidin, Chief Statistician, Department of Statistics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Malaysia </w:t>
            </w:r>
          </w:p>
        </w:tc>
      </w:tr>
      <w:tr>
        <w:trPr>
          <w:trHeight w:hRule="exact" w:val="814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Ms. Ezatul Nisha Abul Rahman, Director of Strategic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1149"/>
              <w:gridCol w:w="1149"/>
              <w:gridCol w:w="1149"/>
              <w:gridCol w:w="1149"/>
              <w:gridCol w:w="1149"/>
            </w:tblGrid>
            <w:tr>
              <w:trPr>
                <w:trHeight w:hRule="exact" w:val="268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Communication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and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International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Statistics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Division,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Department of Statistics Malaysia </w:t>
            </w:r>
          </w:p>
        </w:tc>
      </w:tr>
      <w:tr>
        <w:trPr>
          <w:trHeight w:hRule="exact" w:val="586"/>
        </w:trPr>
        <w:tc>
          <w:tcPr>
            <w:tcW w:type="dxa" w:w="39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Mexico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Arturo Blancas, Director General, Economic Statistics, Instituto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Nacional de Estadistica y Georgrafia (INEGI) </w:t>
            </w:r>
          </w:p>
        </w:tc>
      </w:tr>
      <w:tr>
        <w:trPr>
          <w:trHeight w:hRule="exact" w:val="300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Jorge Reyes, Deputy Director General of Prices Indices, INEGI </w:t>
            </w:r>
          </w:p>
        </w:tc>
      </w:tr>
      <w:tr>
        <w:trPr>
          <w:trHeight w:hRule="exact" w:val="298"/>
        </w:trPr>
        <w:tc>
          <w:tcPr>
            <w:tcW w:type="dxa" w:w="39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African Development Bank 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Kouakou K. Louis, Acting Director, Statistics Department </w:t>
            </w:r>
          </w:p>
        </w:tc>
      </w:tr>
      <w:tr>
        <w:trPr>
          <w:trHeight w:hRule="exact" w:val="296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Ben Paul Mungyereza, Manager, Statistics Department </w:t>
            </w:r>
          </w:p>
        </w:tc>
      </w:tr>
      <w:tr>
        <w:trPr>
          <w:trHeight w:hRule="exact" w:val="548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Gregoire Mboya De Loubassou, Senior Statistician, Statistics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Department </w:t>
            </w:r>
          </w:p>
        </w:tc>
      </w:tr>
      <w:tr>
        <w:trPr>
          <w:trHeight w:hRule="exact" w:val="548"/>
        </w:trPr>
        <w:tc>
          <w:tcPr>
            <w:tcW w:type="dxa" w:w="395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Asian Development Bank </w:t>
            </w:r>
          </w:p>
        </w:tc>
        <w:tc>
          <w:tcPr>
            <w:tcW w:type="dxa" w:w="57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Elaine Tan, Advisor, Office of the Chief Economist and Director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General, and Head, Statistics and Data Innovation </w:t>
            </w:r>
          </w:p>
        </w:tc>
      </w:tr>
      <w:tr>
        <w:trPr>
          <w:trHeight w:hRule="exact" w:val="546"/>
        </w:trPr>
        <w:tc>
          <w:tcPr>
            <w:tcW w:type="dxa" w:w="486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Kaushal Joshi, Principal Statistician, Statistics and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Innovation </w:t>
            </w:r>
          </w:p>
        </w:tc>
      </w:tr>
      <w:tr>
        <w:trPr>
          <w:trHeight w:hRule="exact" w:val="298"/>
        </w:trPr>
        <w:tc>
          <w:tcPr>
            <w:tcW w:type="dxa" w:w="3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Eurostat </w:t>
            </w:r>
          </w:p>
        </w:tc>
        <w:tc>
          <w:tcPr>
            <w:tcW w:type="dxa" w:w="57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Mariana Kotzeva, Director General, Eurostat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16"/>
        </w:trPr>
        <w:tc>
          <w:tcPr>
            <w:tcW w:type="dxa" w:w="395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International Monetary Fund </w:t>
            </w:r>
          </w:p>
        </w:tc>
        <w:tc>
          <w:tcPr>
            <w:tcW w:type="dxa" w:w="57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Albert Kroese, Chief Statistician </w:t>
            </w:r>
          </w:p>
        </w:tc>
      </w:tr>
      <w:tr>
        <w:trPr>
          <w:trHeight w:hRule="exact" w:val="332"/>
        </w:trPr>
        <w:tc>
          <w:tcPr>
            <w:tcW w:type="dxa" w:w="486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Brian Graf, Senior Economist, Real Sector Statistics Division </w:t>
            </w:r>
          </w:p>
        </w:tc>
      </w:tr>
      <w:tr>
        <w:trPr>
          <w:trHeight w:hRule="exact" w:val="586"/>
        </w:trPr>
        <w:tc>
          <w:tcPr>
            <w:tcW w:type="dxa" w:w="39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2" w:right="0" w:hanging="8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Interstate Statistical Committee of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Commonwealth of Independent States </w:t>
            </w:r>
          </w:p>
        </w:tc>
        <w:tc>
          <w:tcPr>
            <w:tcW w:type="dxa" w:w="57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Andrey Kosarev, Deputy Chairman </w:t>
            </w:r>
          </w:p>
        </w:tc>
      </w:tr>
      <w:tr>
        <w:trPr>
          <w:trHeight w:hRule="exact" w:val="584"/>
        </w:trPr>
        <w:tc>
          <w:tcPr>
            <w:tcW w:type="dxa" w:w="3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2" w:right="0" w:hanging="8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Organization for Economic Co-operation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and Development </w:t>
            </w:r>
          </w:p>
        </w:tc>
        <w:tc>
          <w:tcPr>
            <w:tcW w:type="dxa" w:w="57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Paul Schreyer, Chief Statistician and Director of Statistics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Directorate </w:t>
            </w:r>
          </w:p>
        </w:tc>
      </w:tr>
      <w:tr>
        <w:trPr>
          <w:trHeight w:hRule="exact" w:val="590"/>
        </w:trPr>
        <w:tc>
          <w:tcPr>
            <w:tcW w:type="dxa" w:w="39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12" w:right="0" w:hanging="8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United Nations Economic and Social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Commission for Western Asia 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Haidar Fraihat, Cluster Leader of the Statistics, Information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Society and Technology Cluster </w:t>
            </w:r>
          </w:p>
        </w:tc>
      </w:tr>
      <w:tr>
        <w:trPr>
          <w:trHeight w:hRule="exact" w:val="412"/>
        </w:trPr>
        <w:tc>
          <w:tcPr>
            <w:tcW w:type="dxa" w:w="486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Majed Skaini, Statistician, Statistics Division </w:t>
            </w:r>
          </w:p>
        </w:tc>
      </w:tr>
      <w:tr>
        <w:trPr>
          <w:trHeight w:hRule="exact" w:val="586"/>
        </w:trPr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12" w:right="0" w:hanging="8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United Nations Economic Commission for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Latin America and the Caribbean </w:t>
            </w:r>
          </w:p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Rolando Ocampo, Director, Statistics Division </w:t>
            </w:r>
          </w:p>
        </w:tc>
      </w:tr>
      <w:tr>
        <w:trPr>
          <w:trHeight w:hRule="exact" w:val="586"/>
        </w:trPr>
        <w:tc>
          <w:tcPr>
            <w:tcW w:type="dxa" w:w="3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United Nations Statistics Division </w:t>
            </w:r>
          </w:p>
        </w:tc>
        <w:tc>
          <w:tcPr>
            <w:tcW w:type="dxa" w:w="57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Stefan Schweinfest, Director, Statistics Division </w:t>
            </w:r>
          </w:p>
        </w:tc>
      </w:tr>
      <w:tr>
        <w:trPr>
          <w:trHeight w:hRule="exact" w:val="546"/>
        </w:trPr>
        <w:tc>
          <w:tcPr>
            <w:tcW w:type="dxa" w:w="3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World Bank </w:t>
            </w:r>
          </w:p>
        </w:tc>
        <w:tc>
          <w:tcPr>
            <w:tcW w:type="dxa" w:w="57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Haishan Fu, Chief Statistician, and Director, Development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Group </w:t>
            </w:r>
          </w:p>
        </w:tc>
      </w:tr>
    </w:tbl>
    <w:p>
      <w:pPr>
        <w:autoSpaceDN w:val="0"/>
        <w:autoSpaceDE w:val="0"/>
        <w:widowControl/>
        <w:spacing w:line="197" w:lineRule="auto" w:before="486" w:after="0"/>
        <w:ind w:left="0" w:right="494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654" w:right="1068" w:bottom="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866"/>
        <w:gridCol w:w="4866"/>
      </w:tblGrid>
      <w:tr>
        <w:trPr>
          <w:trHeight w:hRule="exact" w:val="544"/>
        </w:trPr>
        <w:tc>
          <w:tcPr>
            <w:tcW w:type="dxa" w:w="3958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4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Nada Hamadeh, Manager, Economic, Debt and Price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Unit, Development Data Group </w:t>
            </w:r>
          </w:p>
        </w:tc>
      </w:tr>
      <w:tr>
        <w:trPr>
          <w:trHeight w:hRule="exact" w:val="546"/>
        </w:trPr>
        <w:tc>
          <w:tcPr>
            <w:tcW w:type="dxa" w:w="4866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Marko Rissanen, ICP Program Lead and Senior Statistician,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Development Data Group </w:t>
            </w:r>
          </w:p>
        </w:tc>
      </w:tr>
      <w:tr>
        <w:trPr>
          <w:trHeight w:hRule="exact" w:val="296"/>
        </w:trPr>
        <w:tc>
          <w:tcPr>
            <w:tcW w:type="dxa" w:w="4866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Edie Purdie, Consultant, Development Data Group </w:t>
            </w:r>
          </w:p>
        </w:tc>
      </w:tr>
      <w:tr>
        <w:trPr>
          <w:trHeight w:hRule="exact" w:val="298"/>
        </w:trPr>
        <w:tc>
          <w:tcPr>
            <w:tcW w:type="dxa" w:w="4866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Nancy Kebe, Development Data Group </w:t>
            </w:r>
          </w:p>
        </w:tc>
      </w:tr>
      <w:tr>
        <w:trPr>
          <w:trHeight w:hRule="exact" w:val="550"/>
        </w:trPr>
        <w:tc>
          <w:tcPr>
            <w:tcW w:type="dxa" w:w="4866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10" w:right="0" w:hanging="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Catherine Van Rompaey, Program Manager,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Group </w:t>
            </w:r>
          </w:p>
        </w:tc>
      </w:tr>
    </w:tbl>
    <w:p>
      <w:pPr>
        <w:autoSpaceDN w:val="0"/>
        <w:autoSpaceDE w:val="0"/>
        <w:widowControl/>
        <w:spacing w:line="197" w:lineRule="auto" w:before="11306" w:after="0"/>
        <w:ind w:left="0" w:right="494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sectPr w:rsidR="00FC693F" w:rsidRPr="0006063C" w:rsidSect="00034616">
      <w:pgSz w:w="12240" w:h="15840"/>
      <w:pgMar w:top="630" w:right="1068" w:bottom="41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orldbank.org/en/programs/icp/brief/gb-february-2023" TargetMode="External"/><Relationship Id="rId11" Type="http://schemas.openxmlformats.org/officeDocument/2006/relationships/hyperlink" Target="https://thedocs.worldbank.org/en/doc/5373560ec724552b9b6d7ec2b27baa89-0050022023/original/ICP-GB03-Agenda-final-presented-agenda.pdf" TargetMode="External"/><Relationship Id="rId12" Type="http://schemas.openxmlformats.org/officeDocument/2006/relationships/hyperlink" Target="https://thedocs.worldbank.org/en/doc/a91d424381031ce51e37898df8f3218b-0050022023/original/Global-Update-on-ICP-2021-cycle-2023-02-24-rev2.pdf" TargetMode="External"/><Relationship Id="rId13" Type="http://schemas.openxmlformats.org/officeDocument/2006/relationships/hyperlink" Target="https://unstats.un.org/UNSDWebsite/statcom/session_54/documents/2023-25-ICP-E.pdf" TargetMode="External"/><Relationship Id="rId14" Type="http://schemas.openxmlformats.org/officeDocument/2006/relationships/hyperlink" Target="https://thedocs.worldbank.org/en/doc/4b8230d66a8c220bf7a69c64a0e5992e-0050022022/original/S2-ICP-GB-Regional-progress-reports-ASI.pdf" TargetMode="External"/><Relationship Id="rId15" Type="http://schemas.openxmlformats.org/officeDocument/2006/relationships/hyperlink" Target="https://thedocs.worldbank.org/en/doc/8069d718739a5599b3316a17c65adcc1-0050022022/original/S2-ICP-GB-Regional-progress-reports-EUO.pdf" TargetMode="Externa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