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072_ICP_TAG_Minutes_Mar_2025.pdf</w:t>
      </w:r>
    </w:p>
    <w:p>
      <w:r>
        <w:rPr>
          <w:rFonts w:ascii="Arial" w:hAnsi="Arial"/>
          <w:i/>
          <w:sz w:val="16"/>
        </w:rPr>
        <w:t>Converted to DOCX from PDF text-layout extraction. Source path: 05_bien_ban_hop/072_ICP_TAG_Minutes_Mar_2025.pdf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MINUTES OF THE INTERNATIONAL COMPARISON PROGRAM</w:t>
        <w:br/>
        <w:t xml:space="preserve">                                       TECHNICAL ADVISORY GROUP</w:t>
        <w:br/>
        <w:t xml:space="preserve">                                             MARCH 7-8, 2025</w:t>
        <w:br/>
        <w:t xml:space="preserve">                                             New York - Hybrid</w:t>
        <w:br/>
        <w:br/>
        <w:br/>
        <w:t>Session I: Welcome and meeting objectives</w:t>
        <w:br/>
        <w:t>The Technical Advisory Group (TAG) of the International Comparison Program (ICP) held a hybrid meeting on</w:t>
        <w:br/>
        <w:t>March 7-8, 2025, in New York City, USA.</w:t>
        <w:br/>
        <w:t>The main objectives of the meeting were to inform the Group of the publication of the ICP 2021 cycle results</w:t>
        <w:br/>
        <w:t>and dissemination activities, to provide an update on the progress with the implementation of the ICP 2024</w:t>
        <w:br/>
        <w:t>cycle and to discuss issues related to the methodology for the estimation of purchasing power parities (PPPs),</w:t>
        <w:br/>
        <w:t>as per the meeting agenda provided in Annex 1. In attendance were the TAG Co-chairs, members, and</w:t>
        <w:br/>
        <w:t>observers, representatives from the Regional Implementing Agencies, and staff from the World Bank ICP</w:t>
        <w:br/>
        <w:t>Global Office, which serves as TAG secretariat, as listed in Annex 2. The public meeting documents and</w:t>
        <w:br/>
        <w:t>presentations are available on the ICP website.</w:t>
        <w:br/>
        <w:t>Paul Schreyer welcomed Professor Prasada Rao as the Co-Chair of the TAG, and introduced Rudrani</w:t>
        <w:br/>
        <w:t>Bhattacharya (National Institute of Public Finance and Policy, India) as a new member. Schreyer noted that</w:t>
        <w:br/>
        <w:t>while the ICP 2021 results were widely recognized by the policy and research community, the ICP 2024 cycle</w:t>
        <w:br/>
        <w:t>was already underway. He informed the Group of the side event to the United Nation Statistical Commission</w:t>
        <w:br/>
        <w:t>held on February 24, 2025, entitled “Carrying forward the legacy of the International Comparison Program</w:t>
        <w:br/>
        <w:t>(ICP)” which featured a diverse panel of prominent speakers and served as a platform to publicize the work</w:t>
        <w:br/>
        <w:t>of the ICP to the wider international statistics community. He then informed the Group about the ICP</w:t>
        <w:br/>
        <w:t>Governing Board meeting, held in New York on March 2, 2025. Professor Rao expressed his gratitude for the</w:t>
        <w:br/>
        <w:t>role of Co-Chair, and honored the memory of the late Professor Alan Heston by sharing a personal anecdote</w:t>
        <w:br/>
        <w:t>about their first encounter. He also emphasized the importance of the meeting in shaping the future of ICP</w:t>
        <w:br/>
        <w:t>methodology.</w:t>
        <w:br/>
        <w:br/>
        <w:br/>
        <w:t>Session II: Update on the ICP 2021 Cycle</w:t>
        <w:br/>
        <w:t xml:space="preserve">    1. Global office update</w:t>
        <w:br/>
        <w:t>Marko Rissanen, World Bank, presented an update on the publication and dissemination of the ICP 2021</w:t>
        <w:br/>
        <w:t>results, with an emphasis on the reception and key uses so far. He then presented the ICP 2024 cycle</w:t>
        <w:br/>
        <w:t>implementation roadmap, program participation and risk assessment, before concluding with a discussion</w:t>
        <w:br/>
        <w:t>on the ICP governance and coordination activities. It was noted that:</w:t>
        <w:br/>
        <w:t xml:space="preserve">    -   Despite serious challenges faced during the 2021 cycle such as the COVID-19 pandemic and conflicts</w:t>
        <w:br/>
        <w:t xml:space="preserve">        in Ukraine and the Middle East, ICP stakeholders demonstrated strong resilience mainly due to the</w:t>
        <w:br/>
        <w:t xml:space="preserve">                                                 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relentless work by national and regional agencies. A total of 176 economies participated and ICP</w:t>
        <w:br/>
        <w:t xml:space="preserve">       2021 global results were published in May 2024.</w:t>
        <w:br/>
        <w:t xml:space="preserve">   -   Building on the efforts made during the ICP 2017 cycle to improve replicability and transparency of</w:t>
        <w:br/>
        <w:t xml:space="preserve">       results, the ICP 2021 cycle continued the efforts, in particularly through the work of the Computation</w:t>
        <w:br/>
        <w:t xml:space="preserve">       Task Team, and further standardized the ICP PPP estimation methodology by (i) including the</w:t>
        <w:br/>
        <w:t xml:space="preserve">       Commonwealth and Independent States (CIS) region as a core region in the global linking procedure</w:t>
        <w:br/>
        <w:t xml:space="preserve">       and (ii) introducing a “hybrid” approach to the estimation of housing PPPs in the Asia and Pacific</w:t>
        <w:br/>
        <w:t xml:space="preserve">       region based on the standard ICP methodology. Simulations based on the ICP 2021 data showed, in</w:t>
        <w:br/>
        <w:t xml:space="preserve">       general, limited impact of these changes on the overall estimates. In addition, new headings (for both</w:t>
        <w:br/>
        <w:t xml:space="preserve">       participating and non-participating economies) were included in the estimation process and made</w:t>
        <w:br/>
        <w:t xml:space="preserve">       available in the published results, as well as extrapolated PPPs for the years 2022 and 2023.</w:t>
        <w:br/>
        <w:t xml:space="preserve">   -   The wealth of information published from both the global office and regional agencies in the form of</w:t>
        <w:br/>
        <w:t xml:space="preserve">       reports, data visualizations and blogs attracted significant media interest, with major publications</w:t>
        <w:br/>
        <w:t xml:space="preserve">       such as the Economist and the Financial Times as well as world-renowned economists and</w:t>
        <w:br/>
        <w:t xml:space="preserve">       commentators reporting on the findings. This is testament to the growing interest in the use of PPPs.</w:t>
        <w:br/>
        <w:t xml:space="preserve">   -   The analytical and operational applications of PPPs continue to expand. Key uses within the World</w:t>
        <w:br/>
        <w:t xml:space="preserve">       Bank include the estimation of global poverty lines and the prosperity measure. Further, ICP 2021</w:t>
        <w:br/>
        <w:t xml:space="preserve">       PPPs are used to estimate Cost and Affordability of a Healthy Diet as published in “The State of Food</w:t>
        <w:br/>
        <w:t xml:space="preserve">       Security and Nutrition in the World 2024”. Finally, evaluation is underway for the adoption of PPPs</w:t>
        <w:br/>
        <w:t xml:space="preserve">       in the World Bank Income Classification of world economies as well as in the estimates of total wealth</w:t>
        <w:br/>
        <w:t xml:space="preserve">       as published in “The Changing Wealth of Nations” report.</w:t>
        <w:br/>
        <w:t xml:space="preserve">   -   The collection of price surveys for the ICP 2024 cycle is underway and will continue throughout 2025</w:t>
        <w:br/>
        <w:t xml:space="preserve">       based on an updated global core item list and regional item list. National accounts data is expected</w:t>
        <w:br/>
        <w:t xml:space="preserve">       to be collected in the years 2025 and 2026, and the publication of 2024 PPPs is scheduled for the first</w:t>
        <w:br/>
        <w:t xml:space="preserve">       quarter of 2027.</w:t>
        <w:br/>
        <w:t xml:space="preserve">   -   Participation is expected to expand to cover more economies in almost all regions, with the Pacific</w:t>
        <w:br/>
        <w:t xml:space="preserve">       Islands Community actively seeking to include its members in the global comparison.</w:t>
        <w:br/>
        <w:t xml:space="preserve">   -   A new modern cloud- and SMDX-based system for the collection and validation of price data and the</w:t>
        <w:br/>
        <w:t xml:space="preserve">       production of PPPs has been introduced in both the Latin American and Caribbean and Western Asia</w:t>
        <w:br/>
        <w:t xml:space="preserve">       ICP regions, based on the Eurostat PPP production system which was made available for other</w:t>
        <w:br/>
        <w:t xml:space="preserve">       regional agencies to use.</w:t>
        <w:br/>
        <w:t xml:space="preserve">   -   The main risks to the ICP 2024 cycle include financial stability and access to funds, operational</w:t>
        <w:br/>
        <w:t xml:space="preserve">       challenges arising from competing priorities at the national and regional level, and participation risks</w:t>
        <w:br/>
        <w:t xml:space="preserve">       due to geopolitical instability.</w:t>
        <w:br/>
        <w:t xml:space="preserve">   -   Recent and future governance and coordination activities included; (i) submission of the global ICP</w:t>
        <w:br/>
        <w:t xml:space="preserve">       report for 2024 to the 56th session of the United Nations Statistical Commission (UNSC); (ii) the</w:t>
        <w:br/>
        <w:t xml:space="preserve">       adoption of the System of National Accounts 2025 by the UNSC, which includes a chapter on ICP and</w:t>
        <w:br/>
        <w:t xml:space="preserve">       PPPs; (iii) the meeting of the ICP Governing Board in March 2025; and (iv) updates related to previous</w:t>
        <w:br/>
        <w:t xml:space="preserve">       TAG and IACG meetings.</w:t>
        <w:br/>
        <w:t>In discussion the importance of conveying the value of PPPs to participating economies to ensure the</w:t>
        <w:br/>
        <w:t>sustainability of the program and overcoming the funding challenges was agreed to be of paramount</w:t>
        <w:br/>
        <w:t>importance.</w:t>
        <w:br/>
        <w:br/>
        <w:t xml:space="preserve">                                               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2. Regional updates</w:t>
        <w:br/>
        <w:t>Representatives from each Regional Implementing Agency (RIA) provided brief updates on the concluding</w:t>
        <w:br/>
        <w:t>activities of the ICP 2021 cycle and on the implementation status of the ICP 2024 cycle.</w:t>
        <w:br/>
        <w:t>Africa</w:t>
        <w:br/>
        <w:t>Gregoire Mboya de Loubassou, African Development Bank (AfDB), presented the status of ICP 2024</w:t>
        <w:br/>
        <w:t>implementation in the Africa region.</w:t>
        <w:br/>
        <w:t>The same fifty-two economies are expected to participate in the ICP 2024 cycle, with the possible inclusion</w:t>
        <w:br/>
        <w:t>of Eritrea and Libya in the future. The implementation of the cycle is underway and the regional item lists</w:t>
        <w:br/>
        <w:t>have been revised considering the experience drawn from the previous cycle. Budget constraints, staff</w:t>
        <w:br/>
        <w:t>turnover, and proximity between the two cycles are identified as the main challenges for the implementation</w:t>
        <w:br/>
        <w:t>of the cycle. In addition, rebasing of GDP is expected in a number of participating economies.</w:t>
        <w:br/>
        <w:t>Asia and the Pacific</w:t>
        <w:br/>
        <w:t>Kaushal Joshi, Asian Development Bank (ADB), presented the dissemination activities of the ICP 2021 results</w:t>
        <w:br/>
        <w:t>and the status of ICP 2024 cycle implementation in the Asia and Pacific region.</w:t>
        <w:br/>
        <w:t>The ICP 2021 results, including revised 2017 estimates, were finalized in April 2024 and were endorsed by</w:t>
        <w:br/>
        <w:t>the Regional Advisory Board and Heads of National Implementing Agencies. Results for twenty-one</w:t>
        <w:br/>
        <w:t>participating economies were published on the ADB website and database, and a regional report was</w:t>
        <w:br/>
        <w:t>released in August 2024.</w:t>
        <w:br/>
        <w:t>The same twenty-one economies are participating in the ICP 2024 cycle, with the addition of Timor-Leste.</w:t>
        <w:br/>
        <w:t>The product lists and operational guidelines for ICP surveys have been revised and finalized for the ICP 2024</w:t>
        <w:br/>
        <w:t>cycle. The ICP Asia Pacific Software Suite (ICP APSS) was updated based on feedback from the ICP 2021 cycle</w:t>
        <w:br/>
        <w:t>and other software tools are under development such as an online survey tool to update the ICP item lists, a</w:t>
        <w:br/>
        <w:t>computer-assisted personal interview (CAPI) tool for household consumption (HHC) data collection, and a</w:t>
        <w:br/>
        <w:t>web-scraping tool. The price data collection began in Q1 of 2024 and is expected to last until Q4 2025, while</w:t>
        <w:br/>
        <w:t>national accounts compilation will continue until Q2 2026. Data validation is underway, and a number of</w:t>
        <w:br/>
        <w:t>regional workshops have already been held. The initial feedback on the Construction and Machinery and</w:t>
        <w:br/>
        <w:t>Equipment surveys is that products available locally are different from the ones based on the Eurostat/OECD</w:t>
        <w:br/>
        <w:t>list. The new COICOP classification and annual PPP production is being discussed, with the support of</w:t>
        <w:br/>
        <w:t>Eurostat, OECD and the ICP Global Office.</w:t>
        <w:br/>
        <w:t>Commonwealth of Independent States (CIS)</w:t>
        <w:br/>
        <w:t>Andrey Kosarev, Interstate Statistical Committee of the Commonwealth of Independent States (CIS-Stat),</w:t>
        <w:br/>
        <w:t>presented the status of ICP 2024 implementation and dissemination of the ICP 2021 results in the CIS region.</w:t>
        <w:br/>
        <w:t>ICP 2021 results were approved and adopted by the Economic Council and published as a report in both</w:t>
        <w:br/>
        <w:t>English and Russian, in October 2024. Despite the methodological challenge related to the change of linking</w:t>
        <w:br/>
        <w:t>approach of the region, the results showed overall stability, as highlighted by the simulations provided by the</w:t>
        <w:br/>
        <w:t>Global Office.</w:t>
        <w:br/>
        <w:t>The current ICP 2024 cycle is underway both in terms of data collection and data validation workshops. In</w:t>
        <w:br/>
        <w:t>this cycle, constructions PPPs will be estimated following the global ICP approach, instead of the previous</w:t>
        <w:br/>
        <w:t>regional approach. CIS-Stat is exploring the adoption of annual PPP production following the rolling survey</w:t>
        <w:br/>
        <w:t>approach, but resources and funding constraints are a challenge, as highlighted by a statement from Belarus</w:t>
        <w:br/>
        <w:t>on the matter. Member economies have expressed concerns about discrepancies with official figures in the</w:t>
        <w:br/>
        <w:t>data sources used for the extrapolation of PPPs as published in the WB World Development Indicators (WDI)</w:t>
        <w:br/>
        <w:br/>
        <w:t xml:space="preserve">                                            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IMF databases. Finally, CIS-Stat will hold a statistical conference in September 2025 as a forum for global</w:t>
        <w:br/>
        <w:t>exchange in Uzbekistan.</w:t>
        <w:br/>
        <w:t>Eurostat–OECD PPP Program</w:t>
        <w:br/>
        <w:t>Jarmilla Botev, OECD, presented the ICP 2021 results dissemination and the status of ICP 2024</w:t>
        <w:br/>
        <w:t>implementation by the Eurostat-OECD PPP Programme. ICP 2021 results were published via press release on</w:t>
        <w:br/>
        <w:t>May 30, 2024, followed by social media posts on different platforms.</w:t>
        <w:br/>
        <w:t>A total of forty-nine economies (including Kosovo at the household consumption level) are expected to</w:t>
        <w:br/>
        <w:t>participate in the ICP 2024 cycle as part of Eurostat-OECD PPP Programme. Additionally, Georgia, Ukraine,</w:t>
        <w:br/>
        <w:t>and Moldova will also participate in the ICP 2024 cycle, with their results being linked to the Eurostat-OECD</w:t>
        <w:br/>
        <w:t>PPPs. The United Kingdom will rejoin the Eurostat program. Peru is an accession candidate to the OECD and</w:t>
        <w:br/>
        <w:t>work has begun to integrate the country in the Eurostat-OECD Programme. However, for the ICP 2024 cycle,</w:t>
        <w:br/>
        <w:t>Peru will remain in the ICP Latin America and Caribbean region coordinated by ECLAC. The ICP 2024 cycle is</w:t>
        <w:br/>
        <w:t>integrated into the regular Eurostat-OECD PPP rolling survey program, with the exception of the ICP</w:t>
        <w:br/>
        <w:t>construction survey, which is a special survey, and has been finalized in 2024. The implementation of COICOP</w:t>
        <w:br/>
        <w:t>2018 represents the main challenge and it was confirmed the new classification will be in place by December</w:t>
        <w:br/>
        <w:t>2025.</w:t>
        <w:br/>
        <w:t>Latin America and the Caribbean</w:t>
        <w:br/>
        <w:t>Lady Infante Ortega, United Nations Economic Commission for Latin America and the Caribbean (UN-ECLAC),</w:t>
        <w:br/>
        <w:t>presented the ICP 2021 results dissemination and the status of ICP 2024 implementation in the Latin America</w:t>
        <w:br/>
        <w:t>and the Caribbean region.</w:t>
        <w:br/>
        <w:t>The results of the ICP 2021 cycle were published on May 30, 2024. The dissemination included the CEPALSTAT</w:t>
        <w:br/>
        <w:t>database and ECLAC Yearbook, while the final report is currently being edited.</w:t>
        <w:br/>
        <w:t>A total of thirty-five economies in the region have committed to participate in the ICP 2024 cycle, including</w:t>
        <w:br/>
        <w:t>potentially Venezuela and Haiti, both of which did not participate in the previous cycle. Operational materials</w:t>
        <w:br/>
        <w:t>have been distributed to national implementing agencies, including translations into Spanish.</w:t>
        <w:br/>
        <w:t>Communication between the Regional Coordinator and the participating economies has also improved with</w:t>
        <w:br/>
        <w:t>the introduction of an ICP repository where all operational materials and guidelines are shared. Data</w:t>
        <w:br/>
        <w:t>collection started in Q2 2024 and is expected to last until the end of 2025. Validation workshops will be held</w:t>
        <w:br/>
        <w:t>in June and July 2025.</w:t>
        <w:br/>
        <w:t>Western Asia</w:t>
        <w:br/>
        <w:t>Majed Skaini, United Nations Economic and Social Commission for Western Asia (UN-ESCWA), presented the</w:t>
        <w:br/>
        <w:t>dissemination activities for ICP 2021 results and the status of ICP 2024 implementation in the Western Asia</w:t>
        <w:br/>
        <w:t>region.</w:t>
        <w:br/>
        <w:t>A comprehensive report of the latest ICP cycle including the 2023 estimates and detailed country profiles</w:t>
        <w:br/>
        <w:t>was released on March 3, 2025, and presented at a side event of the 56th session of the UNSC. The event</w:t>
        <w:br/>
        <w:t>promoted the use of PPPs among senior country officials highlighting their applications in decision making.</w:t>
        <w:br/>
        <w:t>The region continues to produce annual PPPs, collecting data every year following a regular schedule. The</w:t>
        <w:br/>
        <w:t>quarterly collection of HHC prices in 2024 has been completed, and three countries have fully integrated the</w:t>
        <w:br/>
        <w:t>ICP into their administrative data collection. A regional validation workshop will be held in June 2025. A new</w:t>
        <w:br/>
        <w:t>SDMX and cloud-based tool for PPP production has been piloted in the region.</w:t>
        <w:br/>
        <w:t>In summarizing the session, the Chair emphasized the importance of timely and frequent releases to increase</w:t>
        <w:br/>
        <w:t>visibility and value of the Program.</w:t>
        <w:br/>
        <w:br/>
        <w:t xml:space="preserve">                                                      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Session III: Short- and Long-Term Research and Development Agenda</w:t>
        <w:br/>
        <w:t xml:space="preserve">   1. Research Topics Emerging from the Previous ICP Cycles</w:t>
        <w:br/>
        <w:t>Dr. Giovanni Tonutti and Yuri Dikhanov, World Bank, presented an overview of the key issues related to the</w:t>
        <w:br/>
        <w:t>current PPP estimation methodology that emerged in the previous cycles. The Group was asked to consider</w:t>
        <w:br/>
        <w:t>how these should be addressed during the current cycle:</w:t>
        <w:br/>
        <w:t xml:space="preserve">   -   Treatment of dual participation economies. The presence of five economies participating in both the</w:t>
        <w:br/>
        <w:t xml:space="preserve">       Africa and Western Asia regional comparisons leads to an inherent tradeoff between harmonization</w:t>
        <w:br/>
        <w:t xml:space="preserve">       and regional fixity of final estimates, in both benchmark and interim years.</w:t>
        <w:br/>
        <w:t xml:space="preserve">   -   Productivity adjustment factors. The current approach to adjust PPPs of government compensation</w:t>
        <w:br/>
        <w:t xml:space="preserve">       by different levels of productivity relies on external data on capital stock and employment from Penn</w:t>
        <w:br/>
        <w:t xml:space="preserve">       World Tables. This data source is not updated in synchronization with the ICP cycles, resulting in</w:t>
        <w:br/>
        <w:t xml:space="preserve">       discrepancies in the availability and timeliness of the data. Moreover, selected temporal variations</w:t>
        <w:br/>
        <w:t xml:space="preserve">       in data poses challenges for the application of productivity adjustment factors. Two potential</w:t>
        <w:br/>
        <w:t xml:space="preserve">       alternative approaches were presented in the form of i) clustering economies into income-based</w:t>
        <w:br/>
        <w:t xml:space="preserve">       groups and applying productivity adjustments accordingly, and ii) rounding up the PAFs to a certain</w:t>
        <w:br/>
        <w:t xml:space="preserve">       degree (i.e. one decimal space), and/or imposing a range to their maximum and minimum levels.</w:t>
        <w:br/>
        <w:t xml:space="preserve">   -   Subsidized prices. To ensure consistency between prices and expenditures, the ICP requires data to</w:t>
        <w:br/>
        <w:t xml:space="preserve">       be based on “purchasers’ prices”. These prices are defined as the amounts paid by buyers, including</w:t>
        <w:br/>
        <w:t xml:space="preserve">       discounts, surcharges, rebates, and, in certain cases, invoiced service charges or voluntary gratuities.</w:t>
        <w:br/>
        <w:t xml:space="preserve">       In some countries, selected essential goods are subsidized to varying degrees for different portions</w:t>
        <w:br/>
        <w:t xml:space="preserve">       of the population that meet specific criteria. This makes it challenging to ensure the consistency of</w:t>
        <w:br/>
        <w:t xml:space="preserve">       price collection and expenditure compilation, as well as consistency across countries, for those</w:t>
        <w:br/>
        <w:t xml:space="preserve">       specific items. The TAG was asked to provide further advice to ensure consistency of both prices and</w:t>
        <w:br/>
        <w:t xml:space="preserve">       expenditures.</w:t>
        <w:br/>
        <w:t xml:space="preserve">   -   Global linking procedure of private education PPPs. Eurostat-OECD economies follow an output</w:t>
        <w:br/>
        <w:t xml:space="preserve">       approach for the estimation of private education PPPs and thus do not price items under the basic</w:t>
        <w:br/>
        <w:t xml:space="preserve">       heading for private education. The current methodology for producing global linking factors for</w:t>
        <w:br/>
        <w:t xml:space="preserve">       private education involves adjusting linking factors estimated for other regions with a scalar obtained</w:t>
        <w:br/>
        <w:t xml:space="preserve">       from the aggregate heading production of education services. The proposed simplification is to</w:t>
        <w:br/>
        <w:t xml:space="preserve">       estimate private education PPPs as reference PPP of the basic heading compensation of employees,</w:t>
        <w:br/>
        <w:t xml:space="preserve">       under government education services, which would streamline the computational procedure and</w:t>
        <w:br/>
        <w:t xml:space="preserve">       improve standardization.</w:t>
        <w:br/>
        <w:t xml:space="preserve">   -   Construction Wages. The ratios of real construction wages to GDP and real construction wages</w:t>
        <w:br/>
        <w:t xml:space="preserve">       productivity as estimated in the ICP 2021 cycle show global heterogeneity, with values for certain</w:t>
        <w:br/>
        <w:t xml:space="preserve">       economies identified as potential anomalies. The potential drivers for such heterogeneity are</w:t>
        <w:br/>
        <w:t xml:space="preserve">       identified in the construction wage prices as collected in the construction surveys and, partly, in</w:t>
        <w:br/>
        <w:t xml:space="preserve">       national accounts. Additional data validation and potential application of productivity adjustment</w:t>
        <w:br/>
        <w:t xml:space="preserve">       factors to construction wages were discussed.</w:t>
        <w:br/>
        <w:t xml:space="preserve">   -   Reference PPPs. A review of the current approach to ensure complete harmonization between</w:t>
        <w:br/>
        <w:t xml:space="preserve">       regional and global approaches to the computation of reference PPPs was recommended.</w:t>
        <w:br/>
        <w:t>In discussion, the need for more flexibility to capture discounted prices even when they are not available</w:t>
        <w:br/>
        <w:t>year-round was emphasized. Fluctuations in prices are expected to smooth if prices are collected on a</w:t>
        <w:br/>
        <w:t>monthly basis, and discounted items might be harder to exclude as the use of alternative data sources like</w:t>
        <w:br/>
        <w:t xml:space="preserve">                                          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scanner or web-scraping data becomes prevalent. On this topic, subsidies were also discussed, as they are</w:t>
        <w:br/>
        <w:t>akin to discounts, but subsidized prices may not be available to everyone. It was noted that it is important to</w:t>
        <w:br/>
        <w:t>maintain consistency with the national accounts in the treatment of both discounts and subsidies. In relation</w:t>
        <w:br/>
        <w:t>to construction wages, it was noted that the analysis presented was somewhat flawed due to the potentially</w:t>
        <w:br/>
        <w:t>inappropriate application of GDP-level PPPs to total wage volumes. However, it was also recognized that</w:t>
        <w:br/>
        <w:t>there were challenges with the current analysis arising from mixing different sources. As a general point, it</w:t>
        <w:br/>
        <w:t>was noted again that construction remains a ‘comparison resistant’ area.</w:t>
        <w:br/>
        <w:t>In conclusion, the Chair noted the relevance and salience of all the issues presented and the need to prioritize</w:t>
        <w:br/>
        <w:t>them in order to address them in a timely manner ahead of the computation of 2024 regional and global</w:t>
        <w:br/>
        <w:t>PPPs.</w:t>
        <w:br/>
        <w:t xml:space="preserve">    2. Forthcoming Research Topics</w:t>
        <w:br/>
        <w:t>Prasada Rao provided a broad vision for the ICP research agenda, referencing the UNSC's recommendations</w:t>
        <w:br/>
        <w:t>and identifying key areas for methodological development and improvement.</w:t>
        <w:br/>
        <w:t>He provided historical background, referring to the ICP 2011 cycle when the Commission issued</w:t>
        <w:br/>
        <w:t>recommendations for ensuring stability between ICP rounds and increasing the frequency of cycles.</w:t>
        <w:br/>
        <w:t>Methodological stability for the ICP 2017 cycle and subsequent cycles was deemed the priority, however, key</w:t>
        <w:br/>
        <w:t>areas of improvement were also identified for immediate, medium, and longer terms methodological</w:t>
        <w:br/>
        <w:t>development.</w:t>
        <w:br/>
        <w:t>On the immediate research agenda items, such as the treatment of dwelling services, productivity</w:t>
        <w:br/>
        <w:t>adjustment factors, measures and reliability of PPPs and data access policy, Rao noted that most issues have</w:t>
        <w:br/>
        <w:t>been addressed, although there is still room for improvement. The one immediate topic yet to be completed</w:t>
        <w:br/>
        <w:t>is the advocacy paper, where the uses of ICP data can be advocated at the country level. In 2021 the ICP</w:t>
        <w:br/>
        <w:t>Global Office published a “visual guide to using data from the ICP” that explores different ICP data uses for</w:t>
        <w:br/>
        <w:t>policy making, but further efforts to promote the use of PPPs among participating economies was envisaged.</w:t>
        <w:br/>
        <w:t>Regarding medium-to-long-term research agenda items, Professor Rao identified two strands: (i) treatment</w:t>
        <w:br/>
        <w:t>of comparison resistant services, such as dwelling services, health and education and (ii) strengthening the</w:t>
        <w:br/>
        <w:t>participation of National Statistical Offices through CPI-ICP integration, sub-national PPPs and capacity</w:t>
        <w:br/>
        <w:t>building. For the first strand, one possible research avenue is the adoption of an output approach to health</w:t>
        <w:br/>
        <w:t>and education PPPs, in a similar fashion to the current Eurostat-OECD approach. In relation to the second</w:t>
        <w:br/>
        <w:t>strand, it was recognized that this is an ongoing process and there have been advances at the regional level,</w:t>
        <w:br/>
        <w:t>with the major next step identified in the estimation of annual PPPs.</w:t>
        <w:br/>
        <w:t>As for ongoing research items, three branches were identified, in line with the topics and discussions of the</w:t>
        <w:br/>
        <w:t>present TAG meeting: (i) quality adjustments and the extension of the SPD approach; (ii) exploring alternative</w:t>
        <w:br/>
        <w:t>sources of price data; (iii) estimation of PPPs for imports and exports. The first and second branches are</w:t>
        <w:br/>
        <w:t>interlinked, in the way that alternative data sources such as scanner data and web scraping may allow the</w:t>
        <w:br/>
        <w:t>identification of additional product characteristics and allow the comparison of multiple items at a detailed</w:t>
        <w:br/>
        <w:t>level. The third branch refers to the research developed by Robert Feenstra on estimating imports and</w:t>
        <w:br/>
        <w:t>exports PPPs, which was presented Session V of this TAG meeting. Other research topics include revisiting</w:t>
        <w:br/>
        <w:t>approaches to health and education, potentially, construction revising regional groupings and reference</w:t>
        <w:br/>
        <w:t>countries. Lastly, Professor Rao emphasized the need for a dynamic and evolving ICP program, suggesting a</w:t>
        <w:br/>
        <w:t>target date for a combined methodological update, as appropriate.</w:t>
        <w:br/>
        <w:t>In discussion it was noted how the new System of National Accounts (SNA) 2025 as adopted by the UNSC will</w:t>
        <w:br/>
        <w:t>need to be implemented in the ICP structure, with countries committing to adopting the new system by 2030,</w:t>
        <w:br/>
        <w:t>and it was identified as a potential target date by which to introduce further methodological developments,</w:t>
        <w:br/>
        <w:t>as appropriate. Additionally, the ICP classification will also need to be adapted to the new COICOP 2018. The</w:t>
        <w:br/>
        <w:t xml:space="preserve">                                                       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TAG recognized the relevance of considering quality adjustments in the output approach for measuring</w:t>
        <w:br/>
        <w:t>health and education components of GDP while being aware of the challenges this approach might face in</w:t>
        <w:br/>
        <w:t>relation to quality of available data. The TAG also discussed proposals to review the current linking</w:t>
        <w:br/>
        <w:t>procedures and consider alternative methods, including the use of geometric averages and the potential for</w:t>
        <w:br/>
        <w:t>selective linking based on data quality were put forward. The suggestion of revising ICP country groupings</w:t>
        <w:br/>
        <w:t>while also taking into account the fixity requirements within ICP regions, was also discussed.</w:t>
        <w:br/>
        <w:t>Finally, the significant achievements of the TAG were acknowledged, particularly in establishing a robust</w:t>
        <w:br/>
        <w:t>comparison methodology since the ICP 2011 cycle. These efforts have contributed to strengthening the</w:t>
        <w:br/>
        <w:t>credibility of the ICP and providing the intellectual foundation for the current model of global price</w:t>
        <w:br/>
        <w:t>comparisons. Therefore, the benefits of pursuing further methodological changes should be carefully</w:t>
        <w:br/>
        <w:t>weighed against the advantages of maintaining a stable comparison framework. In this context, establishing</w:t>
        <w:br/>
        <w:t>a longer-term research agenda—focusing on major areas such as health, education, and alternative data</w:t>
        <w:br/>
        <w:t>sources—was considered crucial.</w:t>
        <w:br/>
        <w:t>In conclusion, the Chair suggested drafting a document setting out the future research agenda to be</w:t>
        <w:br/>
        <w:t>discussed and approved at the next meeting of the Group, as well as the establishment of dedicated task</w:t>
        <w:br/>
        <w:t>forces for different topics.</w:t>
        <w:br/>
        <w:br/>
        <w:br/>
        <w:t>Session IV: TAG Functioning and Terms of Reference for Task Forces</w:t>
        <w:br/>
        <w:t xml:space="preserve">    1. TAG Composition and Terms of Reference</w:t>
        <w:br/>
        <w:t>The Co-Chairs discussed the composition of the TAG, noting the need for rejuvenation by bringing in new</w:t>
        <w:br/>
        <w:t>members and observers. They proposed expanding the Group to an additional two or three new members</w:t>
        <w:br/>
        <w:t>and drafting a list of potential observers who could contribute over the longer term. The need for diversity</w:t>
        <w:br/>
        <w:t>in skills, including expertise in index numbers, prices, national accounts, and new data sources, was</w:t>
        <w:br/>
        <w:t>highlighted as well as the importance of geographic and gender diversity in the TAG composition. Professor</w:t>
        <w:br/>
        <w:t>Rao discussed the possibility of including IMF officials in the TAG, given their role in statistical capacity</w:t>
        <w:br/>
        <w:t>building and as primary users of the data.</w:t>
        <w:br/>
        <w:t>In discussion the need to attract younger academics and professionals to TAG was stressed, suggesting that</w:t>
        <w:br/>
        <w:t>their interest in new data sources could be leveraged to involve them in the ICP work. It was suggested to</w:t>
        <w:br/>
        <w:t>organize a workshop or conference on the use of alternative data sources for price comparisons, which could</w:t>
        <w:br/>
        <w:t>help attract a new generation of experts in the field.</w:t>
        <w:br/>
        <w:t>In summary, the Chair expressed the need to expand the pool of members of the Group, while recognizing</w:t>
        <w:br/>
        <w:t>that often the incentives of academia are not aligned with those of policy advising. He endorsed the idea of</w:t>
        <w:br/>
        <w:t>organizing a conference to recruit future Group members, while inviting attendees to think of other ways in</w:t>
        <w:br/>
        <w:t>which contributions to the ICP could be complementary to further a career path in academia.</w:t>
        <w:br/>
        <w:t xml:space="preserve">    2. Terms of Reference for a Task Force on Annual PPP Production</w:t>
        <w:br/>
        <w:t>Marko Rissanen, World Bank, presented the suggested Terms of Reference for a Task Force on annual PPP</w:t>
        <w:br/>
        <w:t>compilation. He noted how the ICP has embarked on a trajectory of increasing the frequency of global PPP</w:t>
        <w:br/>
        <w:t>estimates to address the need for more frequent and up-to-date figures by users. The presence of different</w:t>
        <w:br/>
        <w:t>extrapolated estimates for the most recent years in various international databases generates confusion and</w:t>
        <w:br/>
        <w:t>risks undermining the credibility of the program. This calls for the need to leverage the wealth of data already</w:t>
        <w:br/>
        <w:t>available, the annual estimates produced by some regional agencies, and the latest estimation techniques to</w:t>
        <w:br/>
        <w:t>produce annual global PPPs.</w:t>
        <w:br/>
        <w:br/>
        <w:br/>
        <w:t xml:space="preserve">                                                      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He identified several challenges with moving to an annual PPP production, including the need to manage the</w:t>
        <w:br/>
        <w:t>burden on countries, maintain data quality and consistency, and address timeliness of data releases. The</w:t>
        <w:br/>
        <w:t>benefits and opportunities that could be unlocked include better utilization of data collected in non-</w:t>
        <w:br/>
        <w:t>benchmark years, a reduced reliance on high-level extrapolations, and improved planning and stability in the</w:t>
        <w:br/>
        <w:t>ICP. It was further emphasized that the rolling survey approach is intended to reduce the resource burden</w:t>
        <w:br/>
        <w:t>on countries by spreading the price collection over a longer period.</w:t>
        <w:br/>
        <w:t>To this end, forming a Task Force to develop approaches for estimating annual PPPs at the regional and global</w:t>
        <w:br/>
        <w:t>levels was proposed. The Task Force would include members from TAG, regional implementing agencies, and</w:t>
        <w:br/>
        <w:t>national statistical offices (NSOs). This approach aims to ensure practical and implementable solutions. A</w:t>
        <w:br/>
        <w:t>two-year timeline for the Task Force to develop and present its findings was suggested. The Task Force would</w:t>
        <w:br/>
        <w:t>produce a report outlining the proposed approaches for annual PPP production.</w:t>
        <w:br/>
        <w:t>In discussion it was noted the importance of NSOs’ buy-in to annual PPPs and the establishment of clear</w:t>
        <w:br/>
        <w:t>timelines and frameworks for data collection, while allowing for flexibility for each region to develop an</w:t>
        <w:br/>
        <w:t>optimal approach. Finally, the need to balance a Task Force composition that was able to work effectively</w:t>
        <w:br/>
        <w:t>while guaranteeing wide representation and involvement of representatives from participating economies</w:t>
        <w:br/>
        <w:t>was discussed.</w:t>
        <w:br/>
        <w:t>In conclusion, TAG recommended the establishment of a Task Force on strategies for the implementation of</w:t>
        <w:br/>
        <w:t>annual PPPs with an emphasis on operational aspects and a strong involvement from NSOs.</w:t>
        <w:br/>
        <w:t xml:space="preserve">    3. Terms of Reference for a Task Force on ICP Classification Update</w:t>
        <w:br/>
        <w:t>Inyoung Song, World Bank, presented the need to update the ICP classification to align with the new COICOP</w:t>
        <w:br/>
        <w:t>2018 and SNA 2025. She noted how adopting the COICOP 2018 classification would lead to further</w:t>
        <w:br/>
        <w:t>harmonization between ICP and national CPI lists, streamlining the process of data collection for participating</w:t>
        <w:br/>
        <w:t>countries. The update would involve major revisions to the classification structure, impacting expenditure</w:t>
        <w:br/>
        <w:t>estimation, price collection, and PPP calculations. This includes aligning with the more detailed COICOP 2018</w:t>
        <w:br/>
        <w:t>subclass level.</w:t>
        <w:br/>
        <w:t>Operational steps required for the update, including scenario testing, assessing feasibility, and developing</w:t>
        <w:br/>
        <w:t>guidelines and documentation for implementation were further highlighted. She emphasized the importance</w:t>
        <w:br/>
        <w:t>of considering the timelines of countries adopting COICOP 2018 and SNA 2025 to ensure a smooth transition.</w:t>
        <w:br/>
        <w:t>Forming a Task Force to assess the impact of COICOP and SNA updates would be necessary in order to</w:t>
        <w:br/>
        <w:t>develop an updated ICP classification and ensure a smooth transition. The Task Force would include</w:t>
        <w:br/>
        <w:t>international, regional, and national experts and would develop a timeline and implementation strategy.</w:t>
        <w:br/>
        <w:t>In the discussion it was noticed how the adoption of the new classification will not necessarily affect the</w:t>
        <w:br/>
        <w:t>product list, but rather the grouping of basic headings and further aggregates. In addition, it was noted how</w:t>
        <w:br/>
        <w:t>for ICP purposes, the new SNA will likely have a limited impact.</w:t>
        <w:br/>
        <w:t>In conclusion the Group endorsed the proposal of establishing a Task Force for the adoption of the new</w:t>
        <w:br/>
        <w:t>COICOP classification and SNA, while inviting to consider whether a revision of the product list would be</w:t>
        <w:br/>
        <w:t>beneficial.</w:t>
        <w:br/>
        <w:br/>
        <w:br/>
        <w:t>Session V: Current Research</w:t>
        <w:br/>
        <w:t xml:space="preserve">    1. The Treatment of Import and Export Prices in International Comparisons</w:t>
        <w:br/>
        <w:t>Professor Robert Feenstra, University of California-Davis and Professor Alberto Cavallo, Harvard University</w:t>
        <w:br/>
        <w:t>presented research on assessing different methods for the estimation of PPPs for imports and exports. It</w:t>
        <w:br/>
        <w:t>compared the use of nominal exchange rates vs quality-adjusted unit values for estimating PPPs and the use</w:t>
        <w:br/>
        <w:t xml:space="preserve">                                                     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of Artificial Intelligence (AI) technologies to source import prices and identify the country of origin for</w:t>
        <w:br/>
        <w:t>products.</w:t>
        <w:br/>
        <w:t>Professor Feenstra presented the empirical findings of an analysis aimed at simplifying the current</w:t>
        <w:br/>
        <w:t>methodology used by the Penn World Tables for estimating imports and exports PPPs. The results showed</w:t>
        <w:br/>
        <w:t>how the use of nominal exchange rates, which is the current ICP methodological approach, while introducing</w:t>
        <w:br/>
        <w:t>a small systematic downward bias in the estimation of price levels, provides close estimates to the measure</w:t>
        <w:br/>
        <w:t>of real GDP on the output side and constitutes the preferred method going forward.</w:t>
        <w:br/>
        <w:t>Professor Cavallo discussed the potential of AI technologies, such as ChatGPT, to enhance price collection</w:t>
        <w:br/>
        <w:t>and classification. He presented the findings of his research testing the ability of Large Language Models</w:t>
        <w:br/>
        <w:t>(LLMs) to identify whether a good is imported and the country of origin. The findings highlight how modern</w:t>
        <w:br/>
        <w:t>search models can determine whether a product is domestic or imported with approximately 80% accuracy.</w:t>
        <w:br/>
        <w:t>Predicting the specific country of origin is more challenging, with the interactive version of ChatGPT achieving</w:t>
        <w:br/>
        <w:t>approximately 70% accuracy.</w:t>
        <w:br/>
        <w:t>The ensuing discussion centered on the potential uses of LLMs and their limitations in official price statistics.</w:t>
        <w:br/>
        <w:t>While the tendency of the existing models to “hallucinate” undermines their reliability, their future potential</w:t>
        <w:br/>
        <w:t>should be considered for tasks of triangulation of information and data validation.</w:t>
        <w:br/>
        <w:t>In conclusion TAG recognized the relevance of this research, both in relation to some of the immediate</w:t>
        <w:br/>
        <w:t>questions the ICP methodology is facing as well as more long-term developments such as the use of AI</w:t>
        <w:br/>
        <w:t>technology for price collection and validation.</w:t>
        <w:br/>
        <w:t xml:space="preserve">    2. A Survey Based Approach to Adjustment for Quality Differences in Services in International Price</w:t>
        <w:br/>
        <w:t xml:space="preserve">       Comparisons</w:t>
        <w:br/>
        <w:t>Professor Naohito Abe, Hitotsubashi University, presented a research paper written in collaboration with</w:t>
        <w:br/>
        <w:t>Professor Kyoji Fukao, Dr. Kenta Ikeuchi and Professor D.S. Prasada Rao, on the topic of price adjustments</w:t>
        <w:br/>
        <w:t>for quality differences in services.</w:t>
        <w:br/>
        <w:t>The main premise of this research is that quality differences in services are not accurately captured in the</w:t>
        <w:br/>
        <w:t>current ICP methodology, since it is very difficult to identify services of same quality in different countries.</w:t>
        <w:br/>
        <w:t>Although the ICP item structured product description (SPDs) detail a number of characteristics that must be</w:t>
        <w:br/>
        <w:t>observed, there are certain aspects that are either subjective or difficult to quantify.</w:t>
        <w:br/>
        <w:t>To address the issues, the authors surveyed a group of people from the United States who had lived in Japan</w:t>
        <w:br/>
        <w:t>and a group of from Japan who had lived in the United States. The survey questioned how much more, or</w:t>
        <w:br/>
        <w:t>how much less, the participants would pay for a service in their respective home countries, if it were of a</w:t>
        <w:br/>
        <w:t>similar quality to those found in the country visited. This allowed researchers to obtain a measure of the</w:t>
        <w:br/>
        <w:t>quality differences between each country for a variety of services, based on their marginal willingness to pay.</w:t>
        <w:br/>
        <w:t>To account for the selection bias on utilizing a particular service, the authors used the Heckman’s selection</w:t>
        <w:br/>
        <w:t>model. The results found the estimated effect of quality difference is about 9% between the two countries.</w:t>
        <w:br/>
        <w:t>The TAG discussed future research possibilities, suggesting adding China as potential third country in service</w:t>
        <w:br/>
        <w:t>quality comparisons, as well as refining the ICP SPDs, by adding or improving the existing item specifications.</w:t>
        <w:br/>
        <w:t xml:space="preserve">    3. Treatment of Scanner (Transaction) Data in the European Comparison Programme (ECP)</w:t>
        <w:br/>
        <w:t>Mihai Iulian Gheorghe, Eurostat, presented the regional experience using scanner data in the European</w:t>
        <w:br/>
        <w:t>Comparison Programme (ECP).</w:t>
        <w:br/>
        <w:t>Scanner data is generated by point-of-sales terminals in shops and provides information at the level of the</w:t>
        <w:br/>
        <w:t>barcode or, more correctly, Global Trade Item Number (GTIN). Currently, 18 countries are using scanner data</w:t>
        <w:br/>
        <w:br/>
        <w:t xml:space="preserve">                                                      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four are testing their application. The use of scanner data is regulated to ensure data transparency and</w:t>
        <w:br/>
        <w:t>allow for price validation.</w:t>
        <w:br/>
        <w:t>The reporting of scanner data can be made in two ways: option A) Average price for each GTIN per shop chain</w:t>
        <w:br/>
        <w:t>per item (including weights within PPP item); option B: Weighted average price for each PPP item. As for</w:t>
        <w:br/>
        <w:t>price weighting, this can also be done by two methods: method 1) weights are available on GTIN level -</w:t>
        <w:br/>
        <w:t>dynamic weighting; method 2) weights are available on the level of the shop chain - fixed weighting. The use</w:t>
        <w:br/>
        <w:t>of scanner data can also be accompanied by traditional price collection, but at the item level it is preferred</w:t>
        <w:br/>
        <w:t>to choose either one source or another. From Eurostat member countries’ experience, the use of scanner</w:t>
        <w:br/>
        <w:t>data is more effective than traditional price collection at capturing discounted prices, which results in lower</w:t>
        <w:br/>
        <w:t>prices for scanner data when compared to traditional price collection.</w:t>
        <w:br/>
        <w:t>Considering the challenges and lessons learned, it was noted that the use of transaction data initially does</w:t>
        <w:br/>
        <w:t>not necessarily lead to lower workload, since different suppliers may have different data structures, and it is</w:t>
        <w:br/>
        <w:t>necessary to identify and link GTINs to PPP survey items. Additionally, scanner data lacks details on item</w:t>
        <w:br/>
        <w:t>definitions and discounts, and requires traditional price collection to continue in parallel.</w:t>
        <w:br/>
        <w:t>The TAG acknowledged these developments in price data collection, recognizing the importance of</w:t>
        <w:br/>
        <w:t>modernizing data collection and sources. Additionally, it was noted that the use of AI may facilitate the</w:t>
        <w:br/>
        <w:t>identification and linking of GTIN codes to ICP items.</w:t>
        <w:br/>
        <w:t xml:space="preserve">    4. Treatment of Negative Expenditures in ICP</w:t>
        <w:br/>
        <w:t>Sergey Sergeev, an independent expert, presented the findings of research on the treatment of basic</w:t>
        <w:br/>
        <w:t>headings with negative expenditure within the PPP aggregation procedures.</w:t>
        <w:br/>
        <w:t>The current ICP computation methodology assumes that price data contains only positive values while</w:t>
        <w:br/>
        <w:t>expenditure and quantity data contain only non-negative values (either positive or zero values). However,</w:t>
        <w:br/>
        <w:t>GDP expenditures contain several headings where negative expenditure can occur such as: “Balance of</w:t>
        <w:br/>
        <w:t>Exports and Imports”, “Change in inventories”, “Net purchases abroad” and “Acquisitions less disposals of</w:t>
        <w:br/>
        <w:t>valuables”. While cases that affected computation were very limited in the previous ICP exercises, this does</w:t>
        <w:br/>
        <w:t>not mean that negative expenditure values have no impact in the calculation of PPPs.</w:t>
        <w:br/>
        <w:t>To mitigate the effects of negative headings, two approaches were attempted in the past: i) use of selective</w:t>
        <w:br/>
        <w:t>EKS procedure and ii) use of Tornqvist index for bilateral PPPs instead of Fisher PPPs. However, both methods</w:t>
        <w:br/>
        <w:t>are only applicable for the EKS aggregation method. A possible procedure to overcome the issue would be</w:t>
        <w:br/>
        <w:t>to utilize absolute nominal values (for the PPP calculation only) instead of actual nominal values of</w:t>
        <w:br/>
        <w:t>expenditure data. This approach is consistent with the theory of the calculation of average indices and is</w:t>
        <w:br/>
        <w:t>applicable not only for the EKS but for other aggregation methods as well.</w:t>
        <w:br/>
        <w:t>The TAG noted that the use of absolute nominal values appears to be an improvised approach lacking a clear</w:t>
        <w:br/>
        <w:t>theoretical basis, and the discussion focused on alternative treatments for “net exports,” as it is the most</w:t>
        <w:br/>
        <w:t>affected category. Nevertheless, the case was also made that PPP calculations assume non-negative</w:t>
        <w:br/>
        <w:t>expenditures and hopefully distortions caused by negative expenditures are somewhat minimal. It was</w:t>
        <w:br/>
        <w:t>suggested to continue research on this topic in the future.</w:t>
        <w:br/>
        <w:t xml:space="preserve">    5. Fine Tuning Global Linking Procedures</w:t>
        <w:br/>
        <w:t>Robert Hill, University of Graz, presented his research paper on Alternative Global Linking Methods.</w:t>
        <w:br/>
        <w:t>The current methods for linking ICP regions at the global level are: i) Region-Product Dummy (RPD) at the</w:t>
        <w:br/>
        <w:t>basic heading level and ii) Country Approach with Redistribution (CAR) at the aggregate level. The paper</w:t>
        <w:br/>
        <w:t>proposes a third approach that would be applicable at both the basic heading and the aggregate levels and</w:t>
        <w:br/>
        <w:t>may be referred as “Geometric Average linking”.</w:t>
        <w:br/>
        <w:br/>
        <w:t xml:space="preserve">                                                      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advantages of Geometric-Averaging are that it treats all regions symmetrically and its logarithmic least</w:t>
        <w:br/>
        <w:t>squares property makes it a natural extension of GEKS. However, it is still the case that regions with a higher</w:t>
        <w:br/>
        <w:t>number of countries have a larger impact in determining the shadow prices on the product dummies. At the</w:t>
        <w:br/>
        <w:t>aggregate level, Geometric-Averaging alters the unfixed GEKS indices by the logarithmic least squares</w:t>
        <w:br/>
        <w:t>amount necessary to make them satisfy within-region fixity. This is different from the CAR method, where</w:t>
        <w:br/>
        <w:t>expenditure shares of the regions are the same as in the unfixed global comparison.</w:t>
        <w:br/>
        <w:t>On topics for future consideration, it was noted that the problem with GEKS is that it uses bilateral Fishers</w:t>
        <w:br/>
        <w:t>between all possible pairs of countries, which is not necessarily desirable if the data quality of some countries</w:t>
        <w:br/>
        <w:t>is less reliable. As an alternative, deleting some of the weakest bilateral pairs or replacing them with chained</w:t>
        <w:br/>
        <w:t>indices, may provide better results.</w:t>
        <w:br/>
        <w:t>Following on the same issue, Yuri Dikhanov, World Bank, presented the findings of his paper written in</w:t>
        <w:br/>
        <w:t>collaboration with Erwin Diewert, on the topic of “Similarity Linking vs. Multilateral Indices in ICP”.</w:t>
        <w:br/>
        <w:t>In this paper the authors compute two “Minimum Spanning Trees” (MSTs) based on two different similarity</w:t>
        <w:br/>
        <w:t>indexes. From these calculations it was observed that MSTs and, consequently, MST-linked indices, are highly</w:t>
        <w:br/>
        <w:t>dependent on the similarity measure used and may result in significantly different PPPs.</w:t>
        <w:br/>
        <w:t>Secondly, the paper compares the results of the CAR method and PPPs from the unrestricted global</w:t>
        <w:br/>
        <w:t>aggregations with 154 countries. The authors observe significant deviations, especially between the Caves,</w:t>
        <w:br/>
        <w:t>Christensen and Diewert (CCD) index (one-stage) and the Éltető - Köves - Szulc (EKS) index (one-stage). As for</w:t>
        <w:br/>
        <w:t>the linking factors, it was found that the differences between indexes were not significant, concluding that</w:t>
        <w:br/>
        <w:t>the choice for the base country in each region is solid.</w:t>
        <w:br/>
        <w:br/>
        <w:t>Lastly, the authors compare the MSTs to CCD and GEKS. It was observed that the MST-linked Törnqvist indices</w:t>
        <w:br/>
        <w:t>based can differ systematically from each other while deviating further away from the CCD index on average</w:t>
        <w:br/>
        <w:t>more than the GEKS.</w:t>
        <w:br/>
        <w:t>Continuing on the topic of fine-tunning global linking procedures, Professor Prasada Rao, presented a</w:t>
        <w:br/>
        <w:t>proposal from the late Professor Alan Heston. Based on his suggestion, global PPPs would be estimated by a</w:t>
        <w:br/>
        <w:t>global CPD, using global core item (GCI) prices only. Fixity would be maintained by combining the</w:t>
        <w:br/>
        <w:t>expenditures and the GCI price levels and non-GCI BHs PLs and expenditures in an EKS aggregation yields</w:t>
        <w:br/>
        <w:t>country price levels and GDPs in a common reference currency. Fixity can then be achieved in each region by</w:t>
        <w:br/>
        <w:t>distributing the regional total among the countries according to their regional results.</w:t>
        <w:br/>
        <w:t>The TAG discussed each presentation separately, but the arguments and conclusions are intertwined given</w:t>
        <w:br/>
        <w:t>that all papers address the same core issue of regional linking. On the issue of regional symmetry, it was</w:t>
        <w:br/>
        <w:t>noted that larger regions having a larger impact on global PPPs is not necessarily a distortion and may be in</w:t>
        <w:br/>
        <w:t>fact a desirable outcome. The main principle under debate is whether all regions should be treated as equal</w:t>
        <w:br/>
        <w:t>parts, regardless of the number of participating economies under each ICP region or should all participating</w:t>
        <w:br/>
        <w:t>economies be treated as equals, acknowledging that ICP regions which have larger number of participating</w:t>
        <w:br/>
        <w:t>economies will have a greater impact on global results. Moreover, the current approach of using regional</w:t>
        <w:br/>
        <w:t>item lists allows each ICP region to produce regional PPPs that are more representative of their own</w:t>
        <w:br/>
        <w:t>consumption patterns: basing the global comparison on global core items alone would reduce that</w:t>
        <w:br/>
        <w:t>representativity. It was also noted that while there can be advantages in choosing one method over another,</w:t>
        <w:br/>
        <w:t>the methodological consistency and maturity of the ICP achieved in recent cycles has enhanced the credibility</w:t>
        <w:br/>
        <w:t>and uses of global PPPs. Therefore, while further methodological research is necessary, any changes must be</w:t>
        <w:br/>
        <w:t>carefully considered.</w:t>
        <w:br/>
        <w:br/>
        <w:br/>
        <w:t xml:space="preserve">                                                      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6. Improving Reliability of Price Comparisons</w:t>
        <w:br/>
        <w:t>Professor Erwin Diewert, University of British Columbia and University of New South Wales, presented his</w:t>
        <w:br/>
        <w:t>paper on Basic Heading PPPs and the Lack of Matching Problem.</w:t>
        <w:br/>
        <w:t>The paper analyses three alternative methods for the calculation of basic heading PPPs at the global level: i)</w:t>
        <w:br/>
        <w:t>the Country Product Dummy Method; ii) The Jevons “Star” Country Method and iii) the Jevons-GEKS Method.</w:t>
        <w:br/>
        <w:t>In all these methods, missing item prices affects the outcome of basic heading PPPs. The “lack of matching”</w:t>
        <w:br/>
        <w:t>problem occurs when a large portion of items within a basic heading is not priced by two or more regions,</w:t>
        <w:br/>
        <w:t>which affects the reliability of PPPs. The paper showcases this issue by presenting several examples taken</w:t>
        <w:br/>
        <w:t>from the ICP 2017 cycle.</w:t>
        <w:br/>
        <w:t>An alternative solution would be through similarity linking, choosing five pairs of countries between the five</w:t>
        <w:br/>
        <w:t>ICP regions with the highest matching price data between them. The problem is that determining which pairs</w:t>
        <w:br/>
        <w:t>of countries would be optimal for interregional linking is a difficult task.</w:t>
        <w:br/>
        <w:t>Yuri Dikhanov, World Bank, presented a paper under the title “Fisher versus Törnqvist when Relative Price</w:t>
        <w:br/>
        <w:t>Changes are Large” and the foundation paper “Range of possible results for certain classes of superlative</w:t>
        <w:br/>
        <w:t>price indices” which establishes how superlative indices are different from each other.</w:t>
        <w:br/>
        <w:t>The paper argues that the basic aggregation method used in the ICP (the Fisher-based GEKS) is unstable in</w:t>
        <w:br/>
        <w:t>the face of price and expenditure volatility and proposes using the Törnqvist-based CCD (Caves, Christensen</w:t>
        <w:br/>
        <w:t>and Diewert) index instead. The paper analyses both spatial and temporal indices.</w:t>
        <w:br/>
        <w:t>For temporal analyses, three types of indices are considered: (i) multilateral, or GEKS (multilateral Fisher) and</w:t>
        <w:br/>
        <w:t>CCD (multilateral Törnqvist), (ii) direct, or 2023/1990 direct estimates using only two years, and (iii) chained</w:t>
        <w:br/>
        <w:t>indices. These indices are used on two aggregation scopes: (i) over all items, and (ii) over all items without</w:t>
        <w:br/>
        <w:t>fast-moving technology items. The fast-moving technology items are the temporal proxies for volatile items</w:t>
        <w:br/>
        <w:t>present in the ICP. The results reveal that the chained Törnqvist index has the lowest discrepancies between</w:t>
        <w:br/>
        <w:t>the two aggregation scopes. The paper proceeds to simulate effects of price shocks on indices, showing that</w:t>
        <w:br/>
        <w:t>a price shock always has a larger effect on Fisher compared to Törnqvist indices.</w:t>
        <w:br/>
        <w:t>For spatial analysis, the ratio between Fisher and Törnqvist indices is found to be even higher than temporal</w:t>
        <w:br/>
        <w:t>analysis. In addition, the GEKS and CCD PPP ratios were also compared for the ICP 2021 results and found</w:t>
        <w:br/>
        <w:t>significant differences for some countries. The paper suggest that the Törnqvist-based CCD index is</w:t>
        <w:br/>
        <w:t>preferrable to the Fisher-based GEKS index under the condition of strong price and expenditure shocks.</w:t>
        <w:br/>
        <w:t>The TAG discussed each presentation separately, but the main arguments and conclusions between these</w:t>
        <w:br/>
        <w:t>topics naturally overlap. On the issue of missing prices, while they may have adverse effects on PPPs, the</w:t>
        <w:br/>
        <w:t>alternative of pricing every item regardless of its representativeness, introduces other biases. Finding a</w:t>
        <w:br/>
        <w:t>middle ground, where most but not all items are priced, is probably the best option to ensure a meaningful</w:t>
        <w:br/>
        <w:t>comparison. On the topic of similarity linking as an alternative to the current global linking approach, the TAG</w:t>
        <w:br/>
        <w:t>considered that would be a step back towards the former ring linking approach. Regarding the use of different</w:t>
        <w:br/>
        <w:t>indices, it was noted that the main discrepancies in spatial comparisons are attributable to certain regions</w:t>
        <w:br/>
        <w:t>which may require further investigation.</w:t>
        <w:br/>
        <w:br/>
        <w:t>Session VI: Any Other Business</w:t>
        <w:br/>
        <w:t>Inyoung Song, World Bank, informed the TAG that the ICP Global Office is suggesting publishing a series of</w:t>
        <w:br/>
        <w:t>ICP blogs on the World Bank Data Blog platform, including potentially a blog focusing on the role of the TAG</w:t>
        <w:br/>
        <w:t>within the ICP. The TAG welcomed these initiatives and suggested exploring synergies with existing expert</w:t>
        <w:br/>
        <w:t>groups and conferences on international comparisons.</w:t>
        <w:br/>
        <w:br/>
        <w:br/>
        <w:t xml:space="preserve">                                                       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International Comparison Program (ICP)</w:t>
        <w:br/>
        <w:t xml:space="preserve">                       TECHNICAL ADVISORY GROUP (TAG)</w:t>
        <w:br/>
        <w:t xml:space="preserve">                                         Hybrid Meeting</w:t>
        <w:br/>
        <w:br/>
        <w:t xml:space="preserve">                                         March 7-8, 2025</w:t>
        <w:br/>
        <w:br/>
        <w:br/>
        <w:t xml:space="preserve">                                   Bamboo Room, Ease 1345</w:t>
        <w:br/>
        <w:t xml:space="preserve">                               1345 6th Ave, New York, NY 10105</w:t>
        <w:br/>
        <w:br/>
        <w:t xml:space="preserve">                                              Agenda</w:t>
        <w:br/>
        <w:br/>
        <w:t>DAY 1: Friday, March 7, 2025 | Chair: Paul SCHREYER</w:t>
        <w:br/>
        <w:br/>
        <w:br/>
        <w:t>SESSION I: Welcome and Opening Remarks</w:t>
        <w:br/>
        <w:br/>
        <w:t>09:00 – 09:15          Welcome and Opening Remarks [TAG Co-Chairs, World Bank]</w:t>
        <w:br/>
        <w:br/>
        <w:br/>
        <w:t>SESSION II: Update on the ICP 2021 and 2024 Cycles</w:t>
        <w:br/>
        <w:br/>
        <w:t>09:15 – 10:15          Update on the ICP 2021 and 2024 Cycles [World Bank and ICP Regional</w:t>
        <w:br/>
        <w:t xml:space="preserve">                       Implementing Agencies]</w:t>
        <w:br/>
        <w:br/>
        <w:t>SESSION III: Short- and Long-Term Research and Development Agenda</w:t>
        <w:br/>
        <w:br/>
        <w:t>10:30 – 11:15          Research Topics Emerging from the Previous ICP Cycles [World Bank]</w:t>
        <w:br/>
        <w:br/>
        <w:t>11:15 – 12:00          Forthcoming Research Topics [Prasada Rao]</w:t>
        <w:br/>
        <w:br/>
        <w:br/>
        <w:t>12:00 – 12:30          Setting Up a Short- and Long-Term Research and Development Agenda [Co-</w:t>
        <w:br/>
        <w:t xml:space="preserve">                       Chairs and TAG]</w:t>
        <w:br/>
        <w:br/>
        <w:t>SESSION IV: TAG Functioning and Terms of Refence for Task Forces</w:t>
        <w:br/>
        <w:br/>
        <w:t>14:00 – 14:15          TAG Composition and Terms of Reference [TAG Co-Chairs]</w:t>
        <w:br/>
        <w:br/>
        <w:br/>
        <w:t xml:space="preserve">                                                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14:15 – 15:00         Terms of Reference for a Task Force on Annual PPP Production [World Bank]</w:t>
        <w:br/>
        <w:br/>
        <w:t>15:00 – 15:45         Terms of Reference for a Task Force on ICP Classification Update [World Bank]</w:t>
        <w:br/>
        <w:br/>
        <w:t>SESSION V: Current Research</w:t>
        <w:br/>
        <w:br/>
        <w:t>16:00 – 17:00         The Treatment of Import and Export Prices in International Comparisons</w:t>
        <w:br/>
        <w:t xml:space="preserve">                      [Rob Feenstra]</w:t>
        <w:br/>
        <w:br/>
        <w:br/>
        <w:t>DAY 2: Saturday, March 8, 2025 | Chair: Prasada RAO</w:t>
        <w:br/>
        <w:br/>
        <w:br/>
        <w:t>SESSION V: Current Research (Cont’d)</w:t>
        <w:br/>
        <w:br/>
        <w:t>09:00 – 09:45         A Survey Based Approach to Adjustment for Quality Differences in Services in</w:t>
        <w:br/>
        <w:t xml:space="preserve">                      International Price Comparisons [Naohito Abe and Prasada Rao]</w:t>
        <w:br/>
        <w:br/>
        <w:t>09:45 – 10:30         Treatment of Scanner (Transaction) Data in the European Comparison</w:t>
        <w:br/>
        <w:t xml:space="preserve">                      Program (ECP) [Eurostat]</w:t>
        <w:br/>
        <w:br/>
        <w:t>10:45 – 11:30         Treatment of Negative Expenditures in ICP [Prasada Rao and Sergey Sergeev]</w:t>
        <w:br/>
        <w:br/>
        <w:br/>
        <w:t>11:30 – 12:30         Fine Tuning Global Linking Procedures</w:t>
        <w:br/>
        <w:t xml:space="preserve">                      – Alternative Global Linking Methods [Robert Hill]</w:t>
        <w:br/>
        <w:t xml:space="preserve">                      – Similarity Linking Within and Between Regions [Erwin Diewert and Yuri</w:t>
        <w:br/>
        <w:t xml:space="preserve">                          Dikhanov]</w:t>
        <w:br/>
        <w:br/>
        <w:t>14:00 – 15:00         Improving Reliability of Price Comparisons</w:t>
        <w:br/>
        <w:t xml:space="preserve">                      – Basic Heading PPPs and Sparsity of Price Tableaus [Erwin Diewert]</w:t>
        <w:br/>
        <w:t xml:space="preserve">                      – Alternative Basic Heading PPP Aggregation Methods [Yuri Dikhanov]</w:t>
        <w:br/>
        <w:br/>
        <w:t>SESSION VI: Closing</w:t>
        <w:br/>
        <w:br/>
        <w:t>15:00 – 15:15         Any Other Business and Closing [TAG Co-Chairs]</w:t>
        <w:br/>
        <w:br/>
        <w:br/>
        <w:t xml:space="preserve">                                                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Annex 2: List of Participants</w:t>
        <w:br/>
        <w:br/>
        <w:t>ICP Technical Advisory Group members</w:t>
        <w:br/>
        <w:t xml:space="preserve">    – Paul Schreyer, Economic Statistics Center of Excellence (ESCoE), TAG Co-Chair</w:t>
        <w:br/>
        <w:t xml:space="preserve">    – D.S. Prasada Rao, University of Queensland, TAG Co-Chair</w:t>
        <w:br/>
        <w:t xml:space="preserve">    – W. Erwin Diewert, University of British Columbia</w:t>
        <w:br/>
        <w:t xml:space="preserve">    – Mary O’Mahony, King's Business School</w:t>
        <w:br/>
        <w:t xml:space="preserve">    – Xianchun Xu, Tsinghua University</w:t>
        <w:br/>
        <w:t xml:space="preserve">    – Robert C. Feenstra, University of California, Davis</w:t>
        <w:br/>
        <w:t xml:space="preserve">    – Paul Konijn, Statistical Office of the European Union (Eurostat)</w:t>
        <w:br/>
        <w:t xml:space="preserve">    – Nada Hamadeh, former ICP Global Lead</w:t>
        <w:br/>
        <w:br/>
        <w:t>ICP experts, guest speakers, and observers</w:t>
        <w:br/>
        <w:t xml:space="preserve">    – Robert Hill, University of Graz</w:t>
        <w:br/>
        <w:t xml:space="preserve">    – Sergey Sergeev, Independent Expert</w:t>
        <w:br/>
        <w:t xml:space="preserve">    – Yang Wang, Tsinghua University</w:t>
        <w:br/>
        <w:t xml:space="preserve">    – Naohito Abe, Hitotsubashi University</w:t>
        <w:br/>
        <w:t xml:space="preserve">    – Alberto Cavallo, Harvard University</w:t>
        <w:br/>
        <w:t xml:space="preserve">    – Miriam Steurer, University of Graz</w:t>
        <w:br/>
        <w:t xml:space="preserve">    – Reza Hajargasht, Griffith University</w:t>
        <w:br/>
        <w:t xml:space="preserve">    – Wanqi Liu, Tsinghua University</w:t>
        <w:br/>
        <w:t xml:space="preserve">    – Did we have a IMF rep?</w:t>
        <w:br/>
        <w:br/>
        <w:t>ICP Inter-Agency Coordination Group (IACG)</w:t>
        <w:br/>
        <w:t xml:space="preserve">    – African Development Bank (AfDB): Gregoire Mboya De Loubassou</w:t>
        <w:br/>
        <w:t xml:space="preserve">    – Asian Development Bank (ADB): Kaushal Joshi</w:t>
        <w:br/>
        <w:t xml:space="preserve">    – Interstate Statistical Committee of the Commonwealth of Independent States (CIS-STAT):</w:t>
        <w:br/>
        <w:t xml:space="preserve">        Andrey Kosarev</w:t>
        <w:br/>
        <w:t xml:space="preserve">    – Statistical Office of the European Union (Eurostat): Mihai Iulian Gheorghe, Hakam Jayyousi</w:t>
        <w:br/>
        <w:t xml:space="preserve">    – Organization for Economic Co-operation and Development (OECD): Jarmila Botev</w:t>
        <w:br/>
        <w:t xml:space="preserve">    – United Nations Economic Commission for Latin America and the Caribbean (UN-ECLAC):</w:t>
        <w:br/>
        <w:t xml:space="preserve">        Ernestina Brigida Perez Ardiles, Lady Infante</w:t>
        <w:br/>
        <w:t xml:space="preserve">    – United Nations Economic Commission for Western Asia (UN-ESCWA): Majed Skaini</w:t>
        <w:br/>
        <w:t xml:space="preserve">    – International Monetary Fund: Brian Graf</w:t>
        <w:br/>
        <w:br/>
        <w:t>World Bank</w:t>
        <w:br/>
        <w:t xml:space="preserve">   – Marko Rissanen , World Bank Group</w:t>
        <w:br/>
        <w:t xml:space="preserve">   – Yan Bai, World Bank Group</w:t>
        <w:br/>
        <w:t xml:space="preserve">   – Rui Costa, World Bank Group</w:t>
        <w:br/>
        <w:t xml:space="preserve">   – Yuri Dikhanov, World Bank Group</w:t>
        <w:br/>
        <w:t xml:space="preserve">   – Nancy Kebe, World Bank Group</w:t>
        <w:br/>
        <w:t xml:space="preserve">   – Maurice Nsabimana, World Bank Group</w:t>
        <w:br/>
        <w:t xml:space="preserve">   – Inyoung Song, World Bank Group</w:t>
        <w:br/>
        <w:t xml:space="preserve">   – Giovanni Tonutti, World Bank Group</w:t>
        <w:br/>
        <w:t xml:space="preserve">   – Mizuki Yamanaka, World Bank Group</w:t>
        <w:br/>
        <w:br/>
        <w:br/>
        <w:t xml:space="preserve">                                                 15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