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073_FORTIS_GC_Minutes_Mar_2026.pdf</w:t>
      </w:r>
    </w:p>
    <w:p>
      <w:r>
        <w:rPr>
          <w:rFonts w:ascii="Arial" w:hAnsi="Arial"/>
          <w:i/>
          <w:sz w:val="16"/>
        </w:rPr>
        <w:t>Converted to DOCX from PDF text-layout extraction. Source path: 05_bien_ban_hop/073_FORTIS_GC_Minutes_Mar_2026.pdf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Minutes of March 10, 2026, Meeting of the</w:t>
        <w:br/>
        <w:t xml:space="preserve">  Governing Committee (GC) of the Facilitation of Resources to Invest in Strengthening</w:t>
        <w:br/>
        <w:t xml:space="preserve">           Ukraine Financial Intermediary Fund (F.O.R.T.I.S. Ukraine FIF)</w:t>
        <w:br/>
        <w:br/>
        <w:br/>
        <w:t>Opening:</w:t>
        <w:br/>
        <w:t>The meeting was called to order at 7:00 am EST by Hideaki Imamura, Chair, with participants</w:t>
        <w:br/>
        <w:t>joining remotely.</w:t>
        <w:br/>
        <w:t>Present:</w:t>
        <w:br/>
        <w:t>Governing Committee: Marc Gurstein (Canada); Takuya Odawara (Japan); Olga Zykova</w:t>
        <w:br/>
        <w:t>(Ukraine); William Beach (United States).</w:t>
        <w:br/>
        <w:t>Observers: Robert Saum (IBRD);</w:t>
        <w:br/>
        <w:t>Secretariat: Sajjad Shah, Anthony Gaeta</w:t>
        <w:br/>
        <w:t>Trustee: Ashish Makkar</w:t>
        <w:br/>
        <w:t>World Bank Legal Department: Maria Lourdes Pardo.</w:t>
        <w:br/>
        <w:t>Additional participants: Simon O’Connor (Observer, Ukraine Donor Platform Secretariat);</w:t>
        <w:br/>
        <w:t>Natsumi Tajima, Kenta Hasegawa, Yuho Myoda (Japan) Natalie Hopkins (US)</w:t>
        <w:br/>
        <w:br/>
        <w:br/>
        <w:t>The F.O.R.T.I.S. Ukraine FIF Governing Committee discussed the following:</w:t>
        <w:br/>
        <w:t>Report on Currently Available Resources in the F.O.R.T.I.S. Ukraine FIF. The Trustee</w:t>
        <w:br/>
        <w:t>confirmed that as of February 28, 2026, $1,310.42 million is available for new commitments.</w:t>
        <w:br/>
        <w:t>Operating Context. The Governing Committee welcomed the overview from the Ukrainian GC</w:t>
        <w:br/>
        <w:t>Member on the importance of the F.O.R.T.I.S. FIF as a stable and predictable source of financing</w:t>
        <w:br/>
        <w:t>to help meet the needs for the 2026 budget, which assumes another full year of war; the</w:t>
        <w:br/>
        <w:t>Government’s priority to broaden the revenue base; its commitment to strengthen investment</w:t>
        <w:br/>
        <w:t>climate, public financial management; and public investment management. The GC member also</w:t>
        <w:br/>
        <w:t>welcomed the February 26 approval by the IMF of a new 48-month extended arrangement under</w:t>
        <w:br/>
        <w:t>the Extended Fund Facility (EFF) as part of a broader international financial package, including</w:t>
        <w:br/>
        <w:t>the macro-financial assistance from the European Union.</w:t>
        <w:br/>
        <w:t>Funding Request for Eighth Additional Financing to Public Expenditures for Administrative</w:t>
        <w:br/>
        <w:t>Capacity Endurance (PEACE) in Ukraine Investment Project Financing. The Governing</w:t>
        <w:br/>
        <w:t>Committee approved by consensus, with the affirmative votes by Canada and Japan, the use of</w:t>
        <w:br/>
        <w:t>$1.258 billion in F.O.R.T.I.S. Ukraine FIF resources to support the 8th additional financing to the</w:t>
        <w:br/>
        <w:t>PEACE project. Under this operation, FIF resources will be used to pay government and education</w:t>
        <w:br/>
        <w:t>sector wages; health care expenses included under the Program for Medical Guarantees; first</w:t>
        <w:br/>
        <w:t>responders’ wages; and social assistance benefits, and for the reimbursement of central government</w:t>
        <w:br/>
        <w:t>subsidies for monthly pensions payments. The United States recorded a non-blocking abstention</w:t>
        <w:br/>
        <w:br/>
        <w:t xml:space="preserve">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on this Funding Request to avoid any perception that the U.S. contribution to the F.O.R.T.I.S.</w:t>
        <w:br/>
        <w:t>Ukraine FIF will support funding for pension payments, which is Congressionally prohibited.</w:t>
        <w:br/>
        <w:t>Next Bi-Annual Meeting of the GC. The Governing Committee agreed with the Chair’s proposal,</w:t>
        <w:br/>
        <w:t>consistent with the FIF Governance Framework, that no formal GC meeting will be scheduled for</w:t>
        <w:br/>
        <w:t>the remainder of 2026 given the resource availability after the funding decision above; and that a</w:t>
        <w:br/>
        <w:t>meeting could be convened at any time during the year in coordination with the Chair and members</w:t>
        <w:br/>
        <w:t>upon request of a GC member or for any developments that warrant such a meeting. Until such</w:t>
        <w:br/>
        <w:t>time, all other FIF business can be facilitated by the FIF Secretariat electronically.</w:t>
        <w:br/>
        <w:t>Next Steps. The Secretariat will issue Award Letters for the Approved PEACE Additional</w:t>
        <w:br/>
        <w:t>Financing Project.</w:t>
        <w:br/>
        <w:br/>
        <w:br/>
        <w:t xml:space="preserve">                                                2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