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075_FORTIS_GC_Minutes_Nov21_2024.pdf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05_bien_ban_hop/075_FORTIS_GC_Minutes_Nov21_2024.pdf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MEETING MINUTES</w:t>
        <w:br/>
        <w:t xml:space="preserve">  Governing Committee (GC) of the Facilitation of Resources to Invest in Strengthening</w:t>
        <w:br/>
        <w:t xml:space="preserve">           Ukraine Financial Intermediary Fund (F.O.R.T.I.S. Ukraine FIF)</w:t>
        <w:br/>
        <w:br/>
        <w:br/>
        <w:t>Date: November 21, 2024</w:t>
        <w:br/>
        <w:br/>
        <w:br/>
        <w:t>Opening:</w:t>
        <w:br/>
        <w:t>The meeting was called to order at 7:00 am EST by Linda Van Gelder, acting as Chair, in</w:t>
        <w:br/>
        <w:t>Washington DC with participants joining remotely</w:t>
        <w:br/>
        <w:t>Present:</w:t>
        <w:br/>
        <w:t>Governing Committee: Philippe Hall; Savithri Wesche (Canada); Masaya Hatoma (Japan); Olga</w:t>
        <w:br/>
        <w:t>Zykova, Yuri Butsa (Ukraine); Brian McCauley, Maria Longi (United States).</w:t>
        <w:br/>
        <w:t>Interim-Secretariat: Linda Van Gelder, Carolina Sanchez Paramo, Anthony Gaeta</w:t>
        <w:br/>
        <w:t>Trustee: Traci Phillips, Ashish Makkar</w:t>
        <w:br/>
        <w:t>World Bank Legal: Duncan Kiara, Maria Lourdes Pardo, Andrew Giddings</w:t>
        <w:br/>
        <w:br/>
        <w:br/>
        <w:t>These minutes summarize the discussion and decisions of the first meeting of the F.O.R.T.I.S.</w:t>
        <w:br/>
        <w:t>Ukraine FIF following its endorsement of the proposed agenda (attached).</w:t>
        <w:br/>
        <w:t>Item 1: Document Approval. The Governing Committee provisionally approved the (i) Standard</w:t>
        <w:br/>
        <w:t>Provisions of the template Contribution Agreement/Arrangement; (ii) Financial Procedures</w:t>
        <w:br/>
        <w:t>Agreement (FPA) template; and (iii) the Funding Request Template. Further, there was provisional</w:t>
        <w:br/>
        <w:t>approval on all aspects of the (iv) Governance Framework; and (v) Operations Manual, except for</w:t>
        <w:br/>
        <w:t>paragraphs related to contribution thresholds and the mechanism for the potential determination of</w:t>
        <w:br/>
        <w:t>voting rights for new contributors.</w:t>
        <w:br/>
        <w:t>For the areas with provisional approval, the following was noted:</w:t>
        <w:br/>
        <w:t xml:space="preserve">   -   For the Funding Request Template, language will be proposed by Ukraine on the process</w:t>
        <w:br/>
        <w:t xml:space="preserve">       for endorsing proposals and will be inserted accordingly.</w:t>
        <w:br/>
        <w:t xml:space="preserve">   -   For the Financial Procedures Agreement template, language in sections 4.1 (a) and 4.7 is</w:t>
        <w:br/>
        <w:t xml:space="preserve">       accepted. It was agreed that in deciding on specific Funding Request Proposals, the</w:t>
        <w:br/>
        <w:t xml:space="preserve">       Governing Committee can request clarifications from the Implementing Entities in advance</w:t>
        <w:br/>
        <w:t xml:space="preserve">       of approving funding requests that would permit Governing Committee members to</w:t>
        <w:br/>
        <w:t xml:space="preserve">       confirm that the use of the FIF funds would be aligned with contributors’ funding mandates.</w:t>
        <w:br/>
        <w:t xml:space="preserve">       World Bank counsel noted that the use of bilateral side letters is exceptional and</w:t>
        <w:br/>
        <w:t xml:space="preserve">       inconsistent with the nature of a pooled fund vehicle but acknowledged the World Bank</w:t>
        <w:br/>
        <w:t xml:space="preserve">       had accepted side emails in respect of regular trust fund financing for the PEACE facility,</w:t>
        <w:br/>
        <w:br/>
        <w:t xml:space="preserve">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and further acknowledged that for the F.O.R.T.I.S. Ukraine FIF the Governing Committee</w:t>
        <w:br/>
        <w:t xml:space="preserve">       can specify, in the context of its guidance to Implementing Entities regarding its</w:t>
        <w:br/>
        <w:t xml:space="preserve">       consideration of funding requests, the nature of eligible expenditures under projects to be</w:t>
        <w:br/>
        <w:t xml:space="preserve">       financed by the FIF. For the Standard Provisions of the Contribution</w:t>
        <w:br/>
        <w:t xml:space="preserve">       Agreement/Arrangements, there are no changes.</w:t>
        <w:br/>
        <w:t xml:space="preserve">   -   For the Operations Manual, the last sentence of the paragraph “Consultation Prior to</w:t>
        <w:br/>
        <w:t xml:space="preserve">       Contributor Cancellation” will be replaced with the following: “For the avoidance of</w:t>
        <w:br/>
        <w:t xml:space="preserve">       doubt, the provisions of Section 6 of the Standard Provisions to the Contribution</w:t>
        <w:br/>
        <w:t xml:space="preserve">       Agreement/Arrangement will apply.” During the discussion, the GC agreed that this</w:t>
        <w:br/>
        <w:t xml:space="preserve">       language does not suggest that a Contributor will require the approval of the GC to</w:t>
        <w:br/>
        <w:t xml:space="preserve">       withdraw funds.</w:t>
        <w:br/>
        <w:t>The Secretariat will make the above changes and update the documents for any consistency issues</w:t>
        <w:br/>
        <w:t>or minor factual or typographical corrections. A clean version will be circulated by cob Friday</w:t>
        <w:br/>
        <w:t>November 22. The GC agreed to respond to the revised documents by cob Monday November 25,</w:t>
        <w:br/>
        <w:t>including the possibility of an affirmative approval with a request to fix a specific typo or to correct</w:t>
        <w:br/>
        <w:t>a specific error. If the Voting Members do not approve, the Chair and the Secretariat will agree on</w:t>
        <w:br/>
        <w:t>a way forward.</w:t>
        <w:br/>
        <w:t>However, approval of the full suite of documents requires resolution of the outstanding issue</w:t>
        <w:br/>
        <w:t>related to membership in and governance of the GC as related to new contributors. During the</w:t>
        <w:br/>
        <w:t>meeting, the GC clarified: (i) that contributions of all amounts from World Bank member countries</w:t>
        <w:br/>
        <w:t>are welcomed, and (ii) that it would be acceptable for new contributors contributing at least $50</w:t>
        <w:br/>
        <w:t>million equivalent to have Observer status to the Governing Committee. The World Bank team</w:t>
        <w:br/>
        <w:t>noted the GC’s concern with specifying a threshold for voting membership without the GC also</w:t>
        <w:br/>
        <w:t>having the authority to decide on new Voting Members. The World Bank agreed to consult</w:t>
        <w:br/>
        <w:t>internally on what (if any) alternative language can be accepted and will communicate this to the</w:t>
        <w:br/>
        <w:t>GC as soon as feasible. Depending on the outcome, and the GC’s view of the outcome, either: (i)</w:t>
        <w:br/>
        <w:t>agreed text will be inserted and/or confirmed or (ii) the GC and World Bank will continue</w:t>
        <w:br/>
        <w:t>deliberations to seek resolution. The resolution of this issue will need to be reflected in both the</w:t>
        <w:br/>
        <w:t>Governance Framework and Operations Manual in several places.</w:t>
        <w:br/>
        <w:t>Item 2: Operating Context. The GC welcomed the overview provided by the GC Members</w:t>
        <w:br/>
        <w:t>representing the Government of Ukraine indicating Ukraine’s budget and financing gap needs</w:t>
        <w:br/>
        <w:t>during 2025 and 2026 and the importance of the F.O.R.T.I.S. Ukraine FIF in ensuring adherence</w:t>
        <w:br/>
        <w:t>to the IMF Extended Fund Facility Arrangement on which the Ukrainian authorities and IMF staff</w:t>
        <w:br/>
        <w:t>have reached Staff Level Agreement on the Sixth Review; and for helping sustain the provision of</w:t>
        <w:br/>
        <w:t>humanitarian and social services.</w:t>
        <w:br/>
        <w:t>Item 3: Strategic Directions. GC Members representing the Government of Ukraine indicated</w:t>
        <w:br/>
        <w:t>initial financing through the F.O.R.T.I.S Ukraine FIF is envisioned to be directed to direct budget</w:t>
        <w:br/>
        <w:t>support (DBS), but noted flexibility should be maintained to be able to shift financing as</w:t>
        <w:br/>
        <w:t>appropriate to recovery and reconstruction needs. Ukraine highlighted that funds from the</w:t>
        <w:br/>
        <w:t>F.O.R.T.I.S. Ukraine FIF are key in supporting Ukraine’s IMF program and cautioned that the</w:t>
        <w:br/>
        <w:t>downside financing needs scenario would require substantial DBS from the F.O.R.T.I.S. Ukraine</w:t>
        <w:br/>
        <w:br/>
        <w:t xml:space="preserve">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FIF to flexibly meet Ukraine’s needs in 2025. Ukraine noted that DBS is key to keeping Ukraine</w:t>
        <w:br/>
        <w:t>afloat in the near term, particularly given the recent escalation of attacks by Russia. Ukraine noted</w:t>
        <w:br/>
        <w:t>that first and foremost, they need donor funds to ensure financial sustainability, including covering</w:t>
        <w:br/>
        <w:t>social expenditures. Ukraine indicated that it is very familiar with existing Bank tools that could</w:t>
        <w:br/>
        <w:t>be used for budget support and providing accountability and transparency on the use of funds.</w:t>
        <w:br/>
        <w:br/>
        <w:t>The Government of Ukraine GC members also committed to provide a short note (2-3 pages)</w:t>
        <w:br/>
        <w:t>describing the Government’s proposed Strategic Directions for the F.O.R.T.I.S. Ukraine FIF.</w:t>
        <w:br/>
        <w:br/>
        <w:t>Item 4: Work Plan, Budget, and Fees. The GC agreed that the work plan and budget for the</w:t>
        <w:br/>
        <w:t>Secretariat and Trustee should be submitted by December 6, and that its approval can be made</w:t>
        <w:br/>
        <w:t>through Decision without a Meeting by December 13. The Secretariat committed to provide a note</w:t>
        <w:br/>
        <w:t>to the GC by December 6 describing the agreed approach to fees for the Secretariat, Trustee and</w:t>
        <w:br/>
        <w:t>the World Bank as Implementing Entity, and that its approval can be made through Decision</w:t>
        <w:br/>
        <w:t>without a Meeting by December 13.</w:t>
        <w:br/>
        <w:t>Item 5: Communications Strategy. The GC agreed that the Secretariat will provide a plan and</w:t>
        <w:br/>
        <w:t>timeline for developing and making operational a web page by December 6, and that it can proceed</w:t>
        <w:br/>
        <w:t>with implementation of the plan through Decision without a Meeting. GC members noted that they</w:t>
        <w:br/>
        <w:t>may wish to exchange views on any early public communications.</w:t>
        <w:br/>
        <w:t>Item 6: Appointment of the Chair. The GC selected the United States representative Brian</w:t>
        <w:br/>
        <w:t>McCauley as Chair of the F.O.R.T.I.S. FIF Ukraine for a period of one year.</w:t>
        <w:br/>
        <w:br/>
        <w:br/>
        <w:t xml:space="preserve">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Attachment:Agreed Agenda</w:t>
        <w:br/>
        <w:br/>
        <w:br/>
        <w:t xml:space="preserve">                          AGENDA for FIRST MEETING</w:t>
        <w:br/>
        <w:t xml:space="preserve">  Governing Committee (GC) of the Facilitation of Resources to Invest in Strengthening</w:t>
        <w:br/>
        <w:t xml:space="preserve">           Ukraine Financial Intermediary Fund (F.O.R.T.I.S. Ukraine FIF)</w:t>
        <w:br/>
        <w:br/>
        <w:t>Agenda Items</w:t>
        <w:br/>
        <w:t>1.     Document Approval. Does the GC approve the (i) Governance Framework; (ii)</w:t>
        <w:br/>
        <w:t>Operations Manual; (iii) Standard Provisions of the Contribution Arrangement; (iv) Financial</w:t>
        <w:br/>
        <w:t>Procedures Agreement; and (iv) Funding Request Template.</w:t>
        <w:br/>
        <w:t>2.     Operating Context. The Government of Ukraine will take the floor to provide a general</w:t>
        <w:br/>
        <w:t>overview of the current operating context in Ukraine and Ukraine’s most pressing needs.</w:t>
        <w:br/>
        <w:t>3.     Strategic Directions. Does the GC agree that in setting strategic directions, this should</w:t>
        <w:br/>
        <w:t>include a discussion of Ukraine’s anticipated financing and recovery needs over the next three</w:t>
        <w:br/>
        <w:t>years, with a primary focus on the next 12 months, and how the FIF can best address those</w:t>
        <w:br/>
        <w:t>needs. The Government of Ukraine will submit a short Strategic Directions Note to the GC for</w:t>
        <w:br/>
        <w:t>comment and the Strategic Directions will be agreed by the GC prior to first disbursement.</w:t>
        <w:br/>
        <w:t>4.     Work Plan, Budget, and Fees. Does the GC agree that the work plan and budget for the</w:t>
        <w:br/>
        <w:t>Secretariat and Trustee should be submitted by December 6, and that its approval can be made</w:t>
        <w:br/>
        <w:t>through Decision without a Meeting by December 13? Does the GC agree that the Secretariat</w:t>
        <w:br/>
        <w:t>should provide a short note on the agreements reached around fees by December 6, and that its</w:t>
        <w:br/>
        <w:t>approval can be made through Decision without a Meeting by December 13</w:t>
        <w:br/>
        <w:t>5.     Communications Strategy. Does the GC agree that the Secretariat should provide a plan</w:t>
        <w:br/>
        <w:t>and timeline for developing a web page by December 6 and proceed with implementing the plan</w:t>
        <w:br/>
        <w:t>through Decision without a Meeting? Are there any other elements of an approach to</w:t>
        <w:br/>
        <w:t>communications that the GC wants to discuss/consider?</w:t>
        <w:br/>
        <w:t>6.     Appointment of the Chair. Does the GC approve the appointment of [Nominee] as the</w:t>
        <w:br/>
        <w:t>Chair for a period of one year?</w:t>
        <w:br/>
        <w:br/>
        <w:br/>
        <w:t xml:space="preserve">                                               4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