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043_IBRD_Financial_Statements_June_2024.pdf</w:t>
      </w:r>
    </w:p>
    <w:p>
      <w:r>
        <w:rPr>
          <w:rFonts w:ascii="Arial" w:hAnsi="Arial"/>
          <w:i/>
          <w:sz w:val="16"/>
        </w:rPr>
        <w:t>Converted to DOCX from PDF text-layout extraction. Source path: 03_tai_chinh_ke_toan/043_IBRD_Financial_Statements_June_2024.pdf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International Bank for Reconstruction and</w:t>
        <w:br/>
        <w:t xml:space="preserve">               Development</w:t>
        <w:br/>
        <w:br/>
        <w:br/>
        <w:t xml:space="preserve"> Management’s Discussion &amp; Analysis</w:t>
        <w:br/>
        <w:t xml:space="preserve">               and</w:t>
        <w:br/>
        <w:t xml:space="preserve">       Financial Statements</w:t>
        <w:br/>
        <w:t xml:space="preserve">          June 30, 2024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</w:t>
        <w:br/>
        <w:br/>
        <w:br/>
        <w:t>Contents</w:t>
        <w:br/>
        <w:t>Section I: Executive Summary                        Summary Financial Results                                           6</w:t>
        <w:br/>
        <w:br/>
        <w:t>Section II: Overview                                Introduction                                                        8</w:t>
        <w:br/>
        <w:t xml:space="preserve">                                                    Financial Business Model                                            8</w:t>
        <w:br/>
        <w:t xml:space="preserve">                                                    Basis of Reporting                                                  9</w:t>
        <w:br/>
        <w:br/>
        <w:t>Section III: Financial Results                      Financial Results and Portfolio Performance                         11</w:t>
        <w:br/>
        <w:t xml:space="preserve">                                                    Net Income                                                          12</w:t>
        <w:br/>
        <w:t xml:space="preserve">                                                    Net Income Allocation                                               18</w:t>
        <w:br/>
        <w:br/>
        <w:t>Section IV: Lending Activities                      Net Lending Commitments and Gross Disbursements                     21</w:t>
        <w:br/>
        <w:t xml:space="preserve">                                                    Lending Categories                                                  22</w:t>
        <w:br/>
        <w:t xml:space="preserve">                                                    Currently Available Lending Products                                23</w:t>
        <w:br/>
        <w:t xml:space="preserve">                                                    Discontinued Lending Products                                       25</w:t>
        <w:br/>
        <w:t xml:space="preserve">                                                    Waivers                                                             26</w:t>
        <w:br/>
        <w:br/>
        <w:t>Section V: Other Development Activities             Guarantees                                                          27</w:t>
        <w:br/>
        <w:t xml:space="preserve">                                                    Grant Making Facilities                                             29</w:t>
        <w:br/>
        <w:t xml:space="preserve">                                                    Externally-Funded Activities                                        29</w:t>
        <w:br/>
        <w:br/>
        <w:t>Section VI: Investment Activities                   Liquid Asset Portfolio                                              32</w:t>
        <w:br/>
        <w:t xml:space="preserve">                                                    Other Investments                                                   34</w:t>
        <w:br/>
        <w:br/>
        <w:t>Section VII: Borrowing Activities                   Borrowing Portfolio                                                 35</w:t>
        <w:br/>
        <w:t xml:space="preserve">                                                    Short-Term Borrowings                                               36</w:t>
        <w:br/>
        <w:t xml:space="preserve">                                                    Medium- and Long-Term Borrowings                                    37</w:t>
        <w:br/>
        <w:br/>
        <w:t>Section VIII: Capital Activities                    Capital Structure                                                   38</w:t>
        <w:br/>
        <w:t xml:space="preserve">                                                    Usable Equity                                                       40</w:t>
        <w:br/>
        <w:br/>
        <w:t>Section IX: Risk Management                         Risk Governance                                                     41</w:t>
        <w:br/>
        <w:t xml:space="preserve">                                                    Risk Oversight and Coverage                                         41</w:t>
        <w:br/>
        <w:t xml:space="preserve">                                                    Management of IBRD’s Risks                                          44</w:t>
        <w:br/>
        <w:t xml:space="preserve">                                                    Capital Adequacy                                                    44</w:t>
        <w:br/>
        <w:t xml:space="preserve">                                                    Credit Risk                                                         45</w:t>
        <w:br/>
        <w:t xml:space="preserve">                                                    Market Risk                                                         52</w:t>
        <w:br/>
        <w:t xml:space="preserve">                                                    Operational Risk                                                    55</w:t>
        <w:br/>
        <w:br/>
        <w:t>Section X: Contractual Obligations                  Contractual Obligations                                             57</w:t>
        <w:br/>
        <w:br/>
        <w:t>Section XI: Pension and Other Post-Retirement       Governance                                                          58</w:t>
        <w:br/>
        <w:t>Benefits                                            Funding and Investment Policies                                     58</w:t>
        <w:br/>
        <w:t xml:space="preserve">                                                    Environmental, Social and Governance (ESG) Policies                 59</w:t>
        <w:br/>
        <w:t xml:space="preserve">                                                    Projected Benefit Obligations                                       59</w:t>
        <w:br/>
        <w:br/>
        <w:t>Section XII: Critical Accounting Policies and the   Fair Value of Financial Instruments                                 60</w:t>
        <w:br/>
        <w:t>Use of Estimates                                    Provision for Losses on Loans and Other Exposures                   61</w:t>
        <w:br/>
        <w:t xml:space="preserve">                                                    Pension and Other Post-Retirement Benefits                          61</w:t>
        <w:br/>
        <w:br/>
        <w:t>Section XIII: Governance and Controls               Business Conduct                                                    62</w:t>
        <w:br/>
        <w:t xml:space="preserve">                                                    General Governance                                                  62</w:t>
        <w:br/>
        <w:t xml:space="preserve">                                                    Executive Directors                                                 62</w:t>
        <w:br/>
        <w:t xml:space="preserve">                                                    Audit Committee                                                     63</w:t>
        <w:br/>
        <w:t xml:space="preserve">                                                    Auditor Independence                                                64</w:t>
        <w:br/>
        <w:t xml:space="preserve">                                                    External Auditors                                                   64</w:t>
        <w:br/>
        <w:t xml:space="preserve">                                                    Senior Management Changes                                           64</w:t>
        <w:br/>
        <w:t xml:space="preserve">                                                    Internal Control                                                    65</w:t>
        <w:br/>
        <w:br/>
        <w:t>Appendix                                            Glossary of Terms                                                   66</w:t>
        <w:br/>
        <w:t xml:space="preserve">                                                    Abbreviations and Acronyms                                          67</w:t>
        <w:br/>
        <w:t xml:space="preserve">                                                    Eligible Borrowing Member Countries by Region as of June 30, 2024   68</w:t>
        <w:br/>
        <w:br/>
        <w:br/>
        <w:t xml:space="preserve">                                               IBRD Management's Discussion and Analysis: June 30, 2024                 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Management’s Discussion and Analysis</w:t>
        <w:br/>
        <w:br/>
        <w:br/>
        <w:t>List of Tables, Figures and Boxes</w:t>
        <w:br/>
        <w:t>Tables</w:t>
        <w:br/>
        <w:t>Table 1: Selected Financial Data                                                        4</w:t>
        <w:br/>
        <w:t>Table 2: Condensed Statements of Income                                                11</w:t>
        <w:br/>
        <w:t>Table 3: Condensed Balance Sheets                                                      11</w:t>
        <w:br/>
        <w:t>Table 4: Net Other Revenue                                                             14</w:t>
        <w:br/>
        <w:t>Table 5: Net Non-Interest Expenses                                                     15</w:t>
        <w:br/>
        <w:t>Table 6: Budget Anchor Ratio                                                           16</w:t>
        <w:br/>
        <w:t>Table 7: Unrealized Mark-to-Market gains/ (losses) on non-trading portfolios           16</w:t>
        <w:br/>
        <w:t>Table 8: Allocable Income                                                              18</w:t>
        <w:br/>
        <w:t>Table 9: Net Commitments by Region                                                     21</w:t>
        <w:br/>
        <w:t>Table 10: Gross Disbursements by Region                                                22</w:t>
        <w:br/>
        <w:t>Table 11: Net Commitments by Maturity                                                  23</w:t>
        <w:br/>
        <w:t>Table 12: Country Pricing Group and Maturity Premium (in basis points)                 24</w:t>
        <w:br/>
        <w:t>Table 13: Loan Terms Available During Fiscal Year Ended June 30, 2024                  25</w:t>
        <w:br/>
        <w:t>Table 14: Loans outstanding by interest rate structure, excluding derivatives          26</w:t>
        <w:br/>
        <w:t>Table 15: Pricing for IBRD Project-Based and Policy-Based Guarantees                   27</w:t>
        <w:br/>
        <w:t>Table 16: Guarantees Exposure                                                          28</w:t>
        <w:br/>
        <w:t>Table 17: Exposure Exchange Agreements                                                 28</w:t>
        <w:br/>
        <w:t>Table 18: Credit Enhancements Received                                                 29</w:t>
        <w:br/>
        <w:t>Table 19: RAMP – Assets and Revenues                                                   31</w:t>
        <w:br/>
        <w:t>Table 20: Funds Held in Trust by IBRD                                                  31</w:t>
        <w:br/>
        <w:t>Table 21: Liquid Asset Portfolio Composition                                           33</w:t>
        <w:br/>
        <w:t>Table 22: Liquid Asset Portfolio - Average Balances and Returns                        33</w:t>
        <w:br/>
        <w:t>Table 23: Net Carrying Value of Other Investments                                      34</w:t>
        <w:br/>
        <w:t>Table 24: Short-Term Borrowings                                                        36</w:t>
        <w:br/>
        <w:t>Table 25: Funding Operations Indicators                                                37</w:t>
        <w:br/>
        <w:t>Table 26: Maturity Profile of Medium and Long-Term Debt                                37</w:t>
        <w:br/>
        <w:t>Table 27: Breakdown of IBRD Subscribed Capital                                         38</w:t>
        <w:br/>
        <w:t>Table 28: Usable Paid-In Capital                                                       39</w:t>
        <w:br/>
        <w:t>Table 29: Usable Equity                                                                40</w:t>
        <w:br/>
        <w:t>Table 30: Equity-to-Loans Ratio                                                        45</w:t>
        <w:br/>
        <w:t>Table 31: Commercial Credit Exposure, Net of Collateral Held, by Counterparty Rating   50</w:t>
        <w:br/>
        <w:t>Table 32: Non-Commercial Counterparty Credit Risk                                      51</w:t>
        <w:br/>
        <w:t>Table 33: Liquidity Levels                                                             55</w:t>
        <w:br/>
        <w:t>Table 34: Contractual Obligations                                                      57</w:t>
        <w:br/>
        <w:t>Table 35: Funded Status of the Plans                                                   59</w:t>
        <w:br/>
        <w:t>Table 36: Fair Value Level 3 Summary                                                   60</w:t>
        <w:br/>
        <w:br/>
        <w:br/>
        <w:t>2  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Management’s Discussion and Analysis</w:t>
        <w:br/>
        <w:br/>
        <w:br/>
        <w:t>Figures</w:t>
        <w:br/>
        <w:t>Figure 1: Sources and Uses of Revenue                                                                    9</w:t>
        <w:br/>
        <w:t>Figure 2: Loan interest revenue and funding cost (including related derivatives)                        12</w:t>
        <w:br/>
        <w:t>Figure 3: Loan Interest Revenue, net of funding costs                                                   12</w:t>
        <w:br/>
        <w:t>Figure 4: Change in Net Loans Outstanding                                                               13</w:t>
        <w:br/>
        <w:t>Figure 5: Net Loans Outstanding                                                                         13</w:t>
        <w:br/>
        <w:t>Figure 6: Net Investment Portfolio                                                                      14</w:t>
        <w:br/>
        <w:t>Figure 7: Investment Revenue, net                                                                       14</w:t>
        <w:br/>
        <w:t>Figure 8: Borrowing Portfolio (original maturities)                                                     14</w:t>
        <w:br/>
        <w:t>Figure 9: Net Non-Interest Expenses (GAAP basis)                                                        15</w:t>
        <w:br/>
        <w:t>Figure 10: FY24 Allocable Income and Income Allocation                                                  20</w:t>
        <w:br/>
        <w:t>Figure 11: Percentage Share of Lending Categories for Annual Net Commitments                            22</w:t>
        <w:br/>
        <w:t>Figure 12: Undisbursed Balances by Loan Terms                                                           26</w:t>
        <w:br/>
        <w:t>Figure 13: Liquid Asset Portfolio by Asset Class                                                        32</w:t>
        <w:br/>
        <w:t>Figure 14: Effect of Derivatives on Currency Composition of the Borrowing Portfolio – June 30, 2024     35</w:t>
        <w:br/>
        <w:t>Figure 15: Medium- and Long-Term Borrowings Raised by Currency during the year, Excluding Derivatives   37</w:t>
        <w:br/>
        <w:t>Figure 16: Voting Power of Top Six Members as of June 30, 2024                                          38</w:t>
        <w:br/>
        <w:t>Figure 17: Percentage of Votes held by Member Countries, as of June 30, 2024                            38</w:t>
        <w:br/>
        <w:t>Figure 18: Management Risk Committee Structure for Financial and Operational Risks                      42</w:t>
        <w:br/>
        <w:t>Figure 19: Equity-to-Loans Ratio                                                                        44</w:t>
        <w:br/>
        <w:t>Figure 20: Country Exposures as of June 30, 2024                                                        47</w:t>
        <w:br/>
        <w:t>Figure 21: Use of Derivatives for Loans and Borrowings                                                  53</w:t>
        <w:br/>
        <w:t>Figure 22: Use of Derivatives for Investments                                                           53</w:t>
        <w:br/>
        <w:t>Figure 23: Use of Derivatives for Other ALM                                                             53</w:t>
        <w:br/>
        <w:t>Figure 24: Currency Composition of Loan and Borrowing Portfolios as of June 30, 2024                    55</w:t>
        <w:br/>
        <w:t>Figure 25: Governance Structure                                                                         62</w:t>
        <w:br/>
        <w:br/>
        <w:t>Boxes</w:t>
        <w:br/>
        <w:t>Box 1: Components of Loan spread                                                                        23</w:t>
        <w:br/>
        <w:t>Box 2: Other Lending Products as of June 30, 2024                                                       24</w:t>
        <w:br/>
        <w:t>Box 3: Types of Guarantees Provided by IBRD                                                             27</w:t>
        <w:br/>
        <w:t>Box 4: Financing Instruments                                                                            30</w:t>
        <w:br/>
        <w:t>Box 5: Summary of IBRD's Specific Risk Categories                                                       43</w:t>
        <w:br/>
        <w:t>Box 6: Treatment of Overdue Payments                                                                    48</w:t>
        <w:br/>
        <w:t>Box 7: Eligibility Criteria for IBRD's Investments                                                      50</w:t>
        <w:br/>
        <w:br/>
        <w:br/>
        <w:t xml:space="preserve">                                            IBRD Management's Discussion and Analysis: June 30, 2024   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Management’s Discussion and Analysis                     Section I: Executive Summary</w:t>
        <w:br/>
        <w:br/>
        <w:br/>
        <w:t>Section I: Executive Summary</w:t>
        <w:br/>
        <w:t>This Management’s Discussion and Analysis (MD&amp;A) discusses the financial results of the International Bank for</w:t>
        <w:br/>
        <w:t>Reconstruction and Development (IBRD) for the fiscal year ended June 30, 2024 (FY24). IBRD undertakes no</w:t>
        <w:br/>
        <w:t>obligation to update any forward-looking statements. Certain reclassifications of prior years’ information have been</w:t>
        <w:br/>
        <w:t>made to conform with the current year’s presentation. For discussion of IBRD’s financial results for the year ended</w:t>
        <w:br/>
        <w:t>June 30, 2023, as compared to the year ended June 30, 2022, see Section III: Financial Results in IBRD’s MD&amp;A</w:t>
        <w:br/>
        <w:t>and Financial Statements for the fiscal year ended June 30, 2023 (FY23).</w:t>
        <w:br/>
        <w:t>Table 1: Selected Financial Data</w:t>
        <w:br/>
        <w:t>In millions of U.S. dollars, except ratios which are in percentages</w:t>
        <w:br/>
        <w:t xml:space="preserve">                                                                             As of and for the fiscal years ended June 30</w:t>
        <w:br/>
        <w:t xml:space="preserve">                                                                      2024                         2023                   2022</w:t>
        <w:br/>
        <w:t>Lending Highlights (Section IV)</w:t>
        <w:br/>
        <w:t xml:space="preserve">      Net commitments a                                     $                37,568      $          38,572       $          33,072</w:t>
        <w:br/>
        <w:t xml:space="preserve">      Gross disbursements                                                    33,450                 25,504                  28,168</w:t>
        <w:br/>
        <w:t xml:space="preserve">      Net disbursements                                                      20,115                 12,736                  14,876</w:t>
        <w:br/>
        <w:br/>
        <w:br/>
        <w:t>Income Statement (Section III)</w:t>
        <w:br/>
        <w:t xml:space="preserve">     Board of Governors-approved and other transfers $                         (371)     $            (221)      $                (354)</w:t>
        <w:br/>
        <w:t xml:space="preserve">     Net income                                                               2,142                  1,144                       3,990</w:t>
        <w:br/>
        <w:br/>
        <w:t>Balance Sheet (Section III)</w:t>
        <w:br/>
        <w:t xml:space="preserve">      Total assets                                          $            356,612         $         332,641       $         317,542</w:t>
        <w:br/>
        <w:t xml:space="preserve">      Net investment portfolio b                                          82,680                    79,195                  82,057</w:t>
        <w:br/>
        <w:t xml:space="preserve">      Net loans outstanding                                              260,236                   241,041                 227,092</w:t>
        <w:br/>
        <w:t xml:space="preserve">      Borrowing portfolio c                                              287,117                   266,828                 256,909</w:t>
        <w:br/>
        <w:t xml:space="preserve">      Total equity                                                        63,484                    60,382                  55,320</w:t>
        <w:br/>
        <w:br/>
        <w:t>Non-GAAP Measures:</w:t>
        <w:br/>
        <w:t>Allocable Income (Section III)</w:t>
        <w:br/>
        <w:t xml:space="preserve">      Allocable income                                      $                 1,849      $           1,312       $                806</w:t>
        <w:br/>
        <w:t xml:space="preserve">      Allocated as follows d:</w:t>
        <w:br/>
        <w:t xml:space="preserve">         General Reserve                                                       834                     921                        589</w:t>
        <w:br/>
        <w:t xml:space="preserve">         International Development Association                                 515                     291                        117</w:t>
        <w:br/>
        <w:t xml:space="preserve">         Surplus                                                               500                     100                        100</w:t>
        <w:br/>
        <w:br/>
        <w:t>Usable Equity e f (Section VIII)                            $                54,655      $          53,105       $          50,481</w:t>
        <w:br/>
        <w:br/>
        <w:br/>
        <w:t>Equity-to-Loans ratio g (Section IX)                                           21.5 %                  22.0 %                     22.0 %</w:t>
        <w:br/>
        <w:br/>
        <w:br/>
        <w:t>a. Amounts include guarantee commitments and guarantee facilities that have been approved by the Executive Directors (referred</w:t>
        <w:br/>
        <w:t xml:space="preserve">   to as “the Board” in this document), and are net of full terminations and cancellations relating to commitments approved in the</w:t>
        <w:br/>
        <w:t xml:space="preserve">   same fiscal year.</w:t>
        <w:br/>
        <w:t>b. For the composition of the net investment portfolio, see Notes to the Financial Statements, Note C - Investments - Table C3.</w:t>
        <w:br/>
        <w:t>c. Includes associated derivatives.</w:t>
        <w:br/>
        <w:t>d. The June 30, 2024 amounts represent transfers from FY24 net income that were approved by the Board on August 6, 2024.</w:t>
        <w:br/>
        <w:t>e. Excludes amounts associated with unrealized mark-to-market gains/losses on non-trading portfolios, net and related cumulative</w:t>
        <w:br/>
        <w:t xml:space="preserve">   translation adjustments.</w:t>
        <w:br/>
        <w:t>f. Usable Equity includes the transfer to the General Reserve from FY24 net income, which was approved by the Board on</w:t>
        <w:br/>
        <w:t xml:space="preserve">   August 6, 2024. See Table 29: Usable Equity.</w:t>
        <w:br/>
        <w:t>g. As defined in Table 30: Equity-to-Loans Ratio.</w:t>
        <w:br/>
        <w:br/>
        <w:br/>
        <w:t>4  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Management’s Discussion and Analysis                     Section I: Executive Summary</w:t>
        <w:br/>
        <w:br/>
        <w:br/>
        <w:t>IBRD's mission is to end extreme poverty and boost shared prosperity on a livable planet by providing countries</w:t>
        <w:br/>
        <w:t>with loans, guarantees, advisory services, analytical support and other products.</w:t>
        <w:br/>
        <w:t>IBRD and its affiliated institutions seek to help countries in reducing poverty and inequality, achieve improvements</w:t>
        <w:br/>
        <w:t>in economic growth, job creation, governance, the environment, climate adaptation, mitigation and resilience,</w:t>
        <w:br/>
        <w:t>human capital, infrastructure and debt transparency, among others. To meet its development goals, the World Bank</w:t>
        <w:br/>
        <w:t>Group (WBG1) supports client countries' efforts to implement programs to improve growth and development</w:t>
        <w:br/>
        <w:t>outcomes with a vision to create a world free of poverty on a livable planet. Further, new and ongoing challenges</w:t>
        <w:br/>
        <w:t>continue to influence the global outlook. The Board endorsed the following global challenges: climate change</w:t>
        <w:br/>
        <w:t>adaptation and mitigation; fragility and conflict; pandemic prevention and preparedness; energy access; food and</w:t>
        <w:br/>
        <w:t>nutrition security; water security and access; enabling digitalization; and protecting biodiversity and nature. IBRD</w:t>
        <w:br/>
        <w:t>continues to work with partners at global and country levels to support its borrowing countries in addressing the</w:t>
        <w:br/>
        <w:t>impact of these multiple challenges, to enhance resilience, and lay the groundwork for rebuilding better. To further</w:t>
        <w:br/>
        <w:t>support these efforts, the Board and Management have been working on evolving the WBG to better address the</w:t>
        <w:br/>
        <w:t>scale of development challenges. As part of this evolution, in October 2023, the Board of Governors endorsed the</w:t>
        <w:br/>
        <w:t>new vision and mission, as well as initiatives to increase impact, modernize the approach to delivery, and increase</w:t>
        <w:br/>
        <w:t>financing capacity. Since then, IBRD has started the implementation of the evolution process to address countries’</w:t>
        <w:br/>
        <w:t>most pressing development challenges. In particular, in FY24, the Board approved a portfolio guarantee platform</w:t>
        <w:br/>
        <w:t>with shareholders to make more financing available to clients, as well as raising hybrid capital, giving shareholders</w:t>
        <w:br/>
        <w:t>and other partners an opportunity to make investments with strong leverage potential.</w:t>
        <w:br/>
        <w:br/>
        <w:br/>
        <w:t xml:space="preserve"> 1</w:t>
        <w:br/>
        <w:t xml:space="preserve">     The other WBG institutions are the International Development Association (IDA), the International Finance Corporation (IFC), the</w:t>
        <w:br/>
        <w:t xml:space="preserve">     Multilateral Investment Guarantee Agency (MIGA), and the International Centre for Settlement of Investment Disputes (ICSID).</w:t>
        <w:br/>
        <w:t xml:space="preserve">     The World Bank consists of IBRD and IDA.</w:t>
        <w:br/>
        <w:br/>
        <w:br/>
        <w:t xml:space="preserve">                                                IBRD Management's Discussion and Analysis: June 30, 2024                         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Management’s Discussion and Analysis                           Section I: Executive Summary</w:t>
        <w:br/>
        <w:br/>
        <w:br/>
        <w:t>Summary Financial Results</w:t>
        <w:br/>
        <w:t>Net Income</w:t>
        <w:br/>
        <w:t>IBRD recorded net income of $2,142 million for the fiscal year ended June 30, 2024, an increase of $998 million,</w:t>
        <w:br/>
        <w:t>compared with net income of $1,144 million for the fiscal year ended June 30, 2023. The increase in FY24 was</w:t>
        <w:br/>
        <w:t>primarily due to the lower provision expense for losses on loans and other exposures, and unrealized mark-to-market</w:t>
        <w:br/>
        <w:t>gains on non-trading portfolio in FY24, compared to unrealized mark-to-market losses in FY23. Given IBRD’s</w:t>
        <w:br/>
        <w:t>intention to maintain its non-trading portfolio positions to maturity, unrealized mark-to-market gains and losses are</w:t>
        <w:br/>
        <w:t>not included in IBRD’s allocable income.</w:t>
        <w:br/>
        <w:br/>
        <w:t>Allocable Income</w:t>
        <w:br/>
        <w:t>Allocable income is the measure IBRD uses for making net income allocation decisions. For the fiscal year ended</w:t>
        <w:br/>
        <w:t>June 30, 2024, allocable income was $1,849 million, compared with $1,312 million for the fiscal year ended</w:t>
        <w:br/>
        <w:t>June 30, 2023. The increase was primarily due to lower provision expenses for losses on loans and other exposures.</w:t>
        <w:br/>
        <w:br/>
        <w:t>In millions of U.S. dollars</w:t>
        <w:br/>
        <w:br/>
        <w:t xml:space="preserve">                Allocable income</w:t>
        <w:br/>
        <w:t xml:space="preserve">                Net Income/Loss</w:t>
        <w:br/>
        <w:t xml:space="preserve">                Unrealized gains/losses on non-trading portfolios</w:t>
        <w:br/>
        <w:t xml:space="preserve">    6,000</w:t>
        <w:br/>
        <w:br/>
        <w:t xml:space="preserve">    4,000</w:t>
        <w:br/>
        <w:br/>
        <w:t xml:space="preserve">    2,000</w:t>
        <w:br/>
        <w:br/>
        <w:t xml:space="preserve">         0</w:t>
        <w:br/>
        <w:br/>
        <w:t xml:space="preserve">    -2,000</w:t>
        <w:br/>
        <w:t xml:space="preserve">                FY20      FY21       FY22       FY23        FY24</w:t>
        <w:br/>
        <w:br/>
        <w:br/>
        <w:t>Lending Operations</w:t>
        <w:br/>
        <w:t>IBRD’s lending operations during the fiscal year ended June 30, 2024 provided $37.6 billion of net commitments</w:t>
        <w:br/>
        <w:t>and $33.5 billion of gross loan disbursements. Net disbursements of $20.1 billion were the key driver for the</w:t>
        <w:br/>
        <w:t>increase in net loans outstanding from $241.0 billion as of June 30, 2023 to $260.2 billion as of June 30, 2024.</w:t>
        <w:br/>
        <w:br/>
        <w:t>In billions of U.S. dollars</w:t>
        <w:br/>
        <w:br/>
        <w:t xml:space="preserve">               Net Commitments                                      Disbursements                 Net Loans outstanding</w:t>
        <w:br/>
        <w:t xml:space="preserve">    40                                                                Gross   Net      300</w:t>
        <w:br/>
        <w:br/>
        <w:t xml:space="preserve">    32                                              40                                 250</w:t>
        <w:br/>
        <w:t xml:space="preserve">                                                    32                                 200</w:t>
        <w:br/>
        <w:t xml:space="preserve">    24</w:t>
        <w:br/>
        <w:t xml:space="preserve">                                                    24                                 150</w:t>
        <w:br/>
        <w:t xml:space="preserve">    16</w:t>
        <w:br/>
        <w:t xml:space="preserve">                                                    16                                 100</w:t>
        <w:br/>
        <w:t xml:space="preserve">    8                                                8                                  50</w:t>
        <w:br/>
        <w:t xml:space="preserve">    0                                                0                                   0</w:t>
        <w:br/>
        <w:t xml:space="preserve">         FY20 FY21 FY22 FY23 FY24                          FY20 FY21 FY22 FY23 FY24            Jun 20 Jun 21 Jun 22 Jun 23 Jun 24</w:t>
        <w:br/>
        <w:br/>
        <w:br/>
        <w:t>Net commitments were $1.0 billion lower compared with FY23 (Table 9). The regions with the largest share of</w:t>
        <w:br/>
        <w:t>commitments during FY24 were Latin America and the Caribbean with 25%, and Europe and Central Asia with</w:t>
        <w:br/>
        <w:t>25%.</w:t>
        <w:br/>
        <w:br/>
        <w:br/>
        <w:t>6      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Management’s Discussion and Analysis               Section I: Executive Summary</w:t>
        <w:br/>
        <w:br/>
        <w:br/>
        <w:t>Net Investment Portfolio                                      In billions of U.S. dollars</w:t>
        <w:br/>
        <w:br/>
        <w:t>IBRD’s net investment portfolio increased by $3.5                             Net Investment Portfolio</w:t>
        <w:br/>
        <w:t xml:space="preserve">                                                                 120</w:t>
        <w:br/>
        <w:t>billion, from $79.2 billion as of June 30, 2023, to</w:t>
        <w:br/>
        <w:t>$82.7 billion as of June 30, 2024. The increase was               90</w:t>
        <w:br/>
        <w:br/>
        <w:t>primarily due to net new debt issuances that were                 60</w:t>
        <w:br/>
        <w:t>higher than net loan disbursements during the year                30</w:t>
        <w:br/>
        <w:t>and is consistent with the higher target liquidity level</w:t>
        <w:br/>
        <w:t xml:space="preserve">                                                                   0</w:t>
        <w:br/>
        <w:t>in FY24, compared to FY23. 77% of the investments                        Jun-20     Jun-21   Jun-22   Jun-23   Jun-24</w:t>
        <w:br/>
        <w:t>are rated AA or above (Table 31), reflecting IBRD’s</w:t>
        <w:br/>
        <w:t>objective of principal protection and its preference</w:t>
        <w:br/>
        <w:t>for high-quality investments.</w:t>
        <w:br/>
        <w:br/>
        <w:br/>
        <w:t>Borrowing Portfolio</w:t>
        <w:br/>
        <w:t xml:space="preserve">                                                              In billions of U.S. dollars</w:t>
        <w:br/>
        <w:t>As of June 30, 2024, the borrowing portfolio was</w:t>
        <w:br/>
        <w:t>$287.1 billion, $20.3 billion higher than June 30,                                 Borrowing Portfolio</w:t>
        <w:br/>
        <w:t xml:space="preserve">                                                                 300</w:t>
        <w:br/>
        <w:t>2023. The increase was mainly due to net new debt                240</w:t>
        <w:br/>
        <w:t>issuances that financed the growing development and              180</w:t>
        <w:br/>
        <w:t>lending    operations     and    satisfied liquidity             120</w:t>
        <w:br/>
        <w:t>requirements.                                                     60</w:t>
        <w:br/>
        <w:t xml:space="preserve">                                                                   0</w:t>
        <w:br/>
        <w:t xml:space="preserve">                                                                         Jun-20     Jun-21   Jun-22   Jun-23   Jun-24</w:t>
        <w:br/>
        <w:br/>
        <w:br/>
        <w:t>Equity-to-Loans Ratio</w:t>
        <w:br/>
        <w:t xml:space="preserve">                                                              Ratio in percentages</w:t>
        <w:br/>
        <w:t>The Equity-to-Loans ratio decreased from 22.0% as</w:t>
        <w:br/>
        <w:t>of June 30, 2023 to 21.5% as of June 30, 2024,                                  Equity-to-Loans Ratio</w:t>
        <w:br/>
        <w:t>primarily due to the increase in loan exposures</w:t>
        <w:br/>
        <w:t>(Section VIII), and remained above the policy                    30%</w:t>
        <w:br/>
        <w:br/>
        <w:t>minimum of 19%. In line with IBRD’s currency</w:t>
        <w:br/>
        <w:t>management policy, exchange rate movements during                20%</w:t>
        <w:br/>
        <w:t>the year did not have an impact on IBRD’s Equity-to-</w:t>
        <w:br/>
        <w:t>Loans ratio.</w:t>
        <w:br/>
        <w:t xml:space="preserve">                                                                 10%</w:t>
        <w:br/>
        <w:t>In FY24, IBRD received $0.6 billion of paid-in                            Jun 20    Jun 21   Jun 22   Jun 23   Jun 24</w:t>
        <w:br/>
        <w:t>capital subscribed under the 2018 General and                            Equity-to-Loans Ratio        Policy Minimum</w:t>
        <w:br/>
        <w:t>Selective Capital Increases (GCI and SCI), bringing</w:t>
        <w:br/>
        <w:t>the cumulative amounts received to $6.0 billion,</w:t>
        <w:br/>
        <w:t>representing 80% of the total amount expected over</w:t>
        <w:br/>
        <w:t>the subscription period. The subscription period for</w:t>
        <w:br/>
        <w:t>the GCI and SCI ends on October 1, 2025.</w:t>
        <w:br/>
        <w:br/>
        <w:br/>
        <w:t xml:space="preserve">                                          IBRD Management's Discussion and Analysis: June 30, 2024                      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Management’s Discussion and Analysis              Section II: Overview</w:t>
        <w:br/>
        <w:br/>
        <w:br/>
        <w:t>Section II: Overview</w:t>
        <w:br/>
        <w:t>Introduction</w:t>
        <w:br/>
        <w:t>IBRD, an international organization owned by its 189 member countries, is one of the five institutions of the WBG.</w:t>
        <w:br/>
        <w:t>Each institution is legally and financially independent, with separate assets and liabilities. IBRD is not liable for the</w:t>
        <w:br/>
        <w:t>obligations of the other institutions.</w:t>
        <w:br/>
        <w:t>IBRD is a Multilateral Development Bank that combines knowledge services and financing with a global reach.</w:t>
        <w:br/>
        <w:t>IBRD’s value is derived from its ability to help eligible borrowing members address their development challenges</w:t>
        <w:br/>
        <w:t>and meet their rising demand for innovative products. IBRD provides loans, guarantees, and other financial products</w:t>
        <w:br/>
        <w:t>for development-focused projects and programs to creditworthy middle-income and lower-income countries to</w:t>
        <w:br/>
        <w:t>support sustainable development. By operating across a full range of country clients, IBRD maintains a depth of</w:t>
        <w:br/>
        <w:t>development knowledge, uses its convening power to promote development, and coordinates responses to regional</w:t>
        <w:br/>
        <w:t>and global challenges.</w:t>
        <w:br/>
        <w:t>Member countries use IBRD’s technical advice and analysis and convening power to develop or implement better</w:t>
        <w:br/>
        <w:t>policies, programs, and reforms that help sustain development over the long term. The products delivered range</w:t>
        <w:br/>
        <w:t>from development data, to reports on key social economic and social issues at the local, country, regional and global</w:t>
        <w:br/>
        <w:t>levels. The products also include knowledge-sharing workshops focused on local issues, flagship events and fora to</w:t>
        <w:br/>
        <w:t>address the most pressing global development challenges.</w:t>
        <w:br/>
        <w:t>Financial Business Model</w:t>
        <w:br/>
        <w:t>IBRD’s objective is not to maximize profits, but to earn adequate income to ensure that it has the long-term financial</w:t>
        <w:br/>
        <w:t>capacity necessary to support its development activities. IBRD seeks to generate sufficient revenue to finance its</w:t>
        <w:br/>
        <w:t>operations as well as to be able to set aside funds in reserves to strengthen its financial position.</w:t>
        <w:br/>
        <w:t>It also seeks to provide support to IDA and trust funds through income transfers for other developmental purposes.</w:t>
        <w:br/>
        <w:t>IBRD’s financial strength rests on the support it receives from its shareholders, and on its array of financial policies</w:t>
        <w:br/>
        <w:t>and practices. Shareholder support for IBRD is reflected in the capital backing it continues to receive from its</w:t>
        <w:br/>
        <w:t>members and in the record of its borrowing member countries in meeting their debt service obligations to IBRD.</w:t>
        <w:br/>
        <w:t>Sound financial and risk management policies and practices have enabled IBRD to maintain adequate capital,</w:t>
        <w:br/>
        <w:t>diversify its funding sources, hold a portfolio of liquid investments to meet its financial commitments, and limit its</w:t>
        <w:br/>
        <w:t>risks, including credit and market risks.</w:t>
        <w:br/>
        <w:t>IBRD offers its borrowers, in middle-income and creditworthy low-income countries, long-term loans with</w:t>
        <w:br/>
        <w:t>maturities up to 35 years. For some projects, the maximum loan maturity can be extended to up to 50 years (Table</w:t>
        <w:br/>
        <w:t>13). Borrowers may customize their repayment terms to meet their debt management or project needs, in multiple</w:t>
        <w:br/>
        <w:t>currencies. Borrowers have generally preferred loans denominated in U.S dollars and euros. IBRD also supports its</w:t>
        <w:br/>
        <w:t>borrowers by providing access to risk management products such as derivative instruments, including currency and</w:t>
        <w:br/>
        <w:t>interest rate swaps, catastrophe derivatives, and interest rate caps and collars.</w:t>
        <w:br/>
        <w:t>To meet its development goals, IBRD intermediates funds for lending from the international capital markets.</w:t>
        <w:br/>
        <w:t>IBRD’s loans are financed through its equity and from borrowings raised in the capital markets. IBRD is rated</w:t>
        <w:br/>
        <w:t>triple-A by the major rating agencies and its bonds are viewed as high-quality securities by investors. IBRD’s</w:t>
        <w:br/>
        <w:t>funding strategy is aimed at achieving the best long-term value on a sustainable basis for its borrowing members.</w:t>
        <w:br/>
        <w:t>This strategy has enabled IBRD to borrow at favorable market terms and pass the savings on to its borrowing</w:t>
        <w:br/>
        <w:t>members. IBRD’s annual funding volumes vary from year to year, and funds raised are used to finance development</w:t>
        <w:br/>
        <w:t>projects and programs in member countries. Funds not deployed for lending are maintained in IBRD’s investment</w:t>
        <w:br/>
        <w:t>portfolio to supply liquidity for its operations.</w:t>
        <w:br/>
        <w:t>IBRD uses derivatives to manage its exposure to various market risks from the above activities. These are used to</w:t>
        <w:br/>
        <w:t>align the interest and currency composition of its assets (loan and investment trading portfolios) with that of its</w:t>
        <w:br/>
        <w:t>liabilities (borrowing portfolio), and to stabilize earnings on the portion of the loan portfolio funded by equity. See</w:t>
        <w:br/>
        <w:t>Section IX: Risk Management for additional details on how IBRD uses derivatives.</w:t>
        <w:br/>
        <w:br/>
        <w:br/>
        <w:t>8 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Management’s Discussion and Analysis                Section II: Overview</w:t>
        <w:br/>
        <w:br/>
        <w:br/>
        <w:t>Management believes that these risk management strategies, taken together, effectively manage market risk in</w:t>
        <w:br/>
        <w:t>IBRD’s operations from an economic perspective. However, these strategies entail the use of derivatives, which</w:t>
        <w:br/>
        <w:t>introduce volatility in net income through unrealized mark-to-market gains and losses (particularly given the long-</w:t>
        <w:br/>
        <w:t>term nature of some of IBRD’s assets and liabilities). Accordingly, management makes decisions on income</w:t>
        <w:br/>
        <w:t>allocation without reference to unrealized mark-to-market gains and losses on risk management instruments in the</w:t>
        <w:br/>
        <w:t>non-trading portfolios – see Basis of Reporting – Allocable Income.</w:t>
        <w:br/>
        <w:t>Financial Performance</w:t>
        <w:br/>
        <w:t>IBRD’s primary sources of revenue are from loans and investments, both net of funding costs (Figure 1). These</w:t>
        <w:br/>
        <w:t>revenues cover administrative expenses, provisions for losses on loans and other exposures2 (LLP), as well as</w:t>
        <w:br/>
        <w:t>transfers to Reserves, Surplus, and for other development purposes, including transfers to IDA.</w:t>
        <w:br/>
        <w:t>In addition, other development activities generate non-interest revenue that is classified as Revenue from externally</w:t>
        <w:br/>
        <w:t>funded activities. These external funds include trust funds, reimbursable funds and revenues from fee-based</w:t>
        <w:br/>
        <w:t>services. Non-interest revenue from externally funded activities provides additional capacity to support the</w:t>
        <w:br/>
        <w:t>development needs of client countries.</w:t>
        <w:br/>
        <w:t>Figure 1: Sources and Uses of Revenue</w:t>
        <w:br/>
        <w:br/>
        <w:br/>
        <w:t>Basis of Reporting</w:t>
        <w:br/>
        <w:t>Audited Financial Statements</w:t>
        <w:br/>
        <w:t>IBRD’s financial statements conform with accounting principles generally accepted in the United States of America</w:t>
        <w:br/>
        <w:t>(U.S. GAAP). All financial instruments in the investment and borrowing portfolios and all other derivatives are</w:t>
        <w:br/>
        <w:t>reported at fair value, with changes in fair value reported in the Statements of Income, except for changes in IBRD’s</w:t>
        <w:br/>
        <w:t>own credit, which are reflected in Other Comprehensive Income. IBRD’s loans are reported at amortized cost.</w:t>
        <w:br/>
        <w:t>Management uses net income as the basis for deriving allocable income, as discussed below.</w:t>
        <w:br/>
        <w:br/>
        <w:t>2</w:t>
        <w:br/>
        <w:t xml:space="preserve">    Other exposures include deferred drawdown options (DDO), irrevocable commitments, exposures to member countries’ derivatives</w:t>
        <w:br/>
        <w:t xml:space="preserve">    and guarantees.</w:t>
        <w:br/>
        <w:br/>
        <w:br/>
        <w:t xml:space="preserve">                                              IBRD Management's Discussion and Analysis: June 30, 2024                       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Management’s Discussion and Analysis             Section II: Overview</w:t>
        <w:br/>
        <w:br/>
        <w:br/>
        <w:t>Allocable Income</w:t>
        <w:br/>
        <w:t>IBRD’s Articles of Agreement (the Articles) require that the Governors determine the allocation of income at the</w:t>
        <w:br/>
        <w:t>end of every fiscal year. Allocable income, which is a non-GAAP financial measure, is an internal management</w:t>
        <w:br/>
        <w:t>measure that reflects income available for allocation. IBRD defines allocable income as net income after certain</w:t>
        <w:br/>
        <w:t>adjustments, that are approved by the Board at the end of every fiscal year. These adjustments primarily relate to</w:t>
        <w:br/>
        <w:t>unrealized mark-to-market gains and losses associated with the non-trading portfolios, as well as the expenses for</w:t>
        <w:br/>
        <w:t>Board of Governors-approved and other transfers, which primarily relate to the allocation of the prior year’s net</w:t>
        <w:br/>
        <w:t>income.</w:t>
        <w:br/>
        <w:t>See Section III: Financial Results Section and Table 2, for details of the adjustments to reported net income to</w:t>
        <w:br/>
        <w:t>calculate allocable income.</w:t>
        <w:br/>
        <w:t>The volatility in IBRD’s reported net income is usually driven by the unrealized mark-to-market gains and losses on</w:t>
        <w:br/>
        <w:t>the financial instruments in IBRD’s non-trading portfolios. IBRD’s risk management strategy entails the use of</w:t>
        <w:br/>
        <w:t>derivatives to manage market risk. These derivatives are primarily used to align the interest rate and currency bases</w:t>
        <w:br/>
        <w:t>of its assets and liabilities. IBRD has elected not to designate any hedging relationships for accounting purposes.</w:t>
        <w:br/>
        <w:t>Rather, all derivative instruments are reported at fair value on the Balance Sheets, with changes in fair values</w:t>
        <w:br/>
        <w:t>accounted for through the Statements of Income.</w:t>
        <w:br/>
        <w:t>In line with its financial risk management policies, for the non-trading portfolios, unrealized mark-to-market gains</w:t>
        <w:br/>
        <w:t>and losses from instruments carried at fair value (borrowing portfolio, and derivatives in the loan and other ALM</w:t>
        <w:br/>
        <w:t>portfolios) are excluded from allocable income.</w:t>
        <w:br/>
        <w:t>For the trading portfolio (investment portfolio), allocable income generally includes both realized and unrealized</w:t>
        <w:br/>
        <w:t>mark-to-market gains and losses. In some cases, the unrealized mark-to-market gains and losses on certain trades are</w:t>
        <w:br/>
        <w:t>excluded from allocable income when the underlying item is a physical asset held at amortized cost.</w:t>
        <w:br/>
        <w:br/>
        <w:br/>
        <w:t>10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Management’s Discussion and Analysis                     Section III: Financial Results</w:t>
        <w:br/>
        <w:br/>
        <w:br/>
        <w:t>Section III: Financial Results</w:t>
        <w:br/>
        <w:t>Financial Results and Portfolio Performance</w:t>
        <w:br/>
        <w:t>The following is a discussion of the key drivers of IBRD’s financial performance, including a reconciliation between</w:t>
        <w:br/>
        <w:t>IBRD’s net income and allocable income.</w:t>
        <w:br/>
        <w:br/>
        <w:t>Table 2: Condensed Statements of Income</w:t>
        <w:br/>
        <w:t>In millions of U.S. dollars                                                                            Impact on income</w:t>
        <w:br/>
        <w:t>For the fiscal year ended June 30,                                            2024      2023      Decrease         Increase</w:t>
        <w:br/>
        <w:t>Revenue on interest earning assets</w:t>
        <w:br/>
        <w:t xml:space="preserve">  Loan interest revenue, net of funding costs a                              $ 4,874 $ 3,874                                      1,000</w:t>
        <w:br/>
        <w:t xml:space="preserve">  Other ALM derivatives, net                                                   (1,726)   (850) (876)</w:t>
        <w:br/>
        <w:t xml:space="preserve">  Investment revenue, net of funding costs a,b                                     61     188           (127)</w:t>
        <w:br/>
        <w:t>Total revenue on interest earning assets, net                                $ 3,209 $ 3,212                 (3)</w:t>
        <w:br/>
        <w:t xml:space="preserve">  Provision for losses on loans and other exposures                               (94)   (683)                              589</w:t>
        <w:br/>
        <w:t xml:space="preserve">  Net non-interest expenses (Table 5)                                          (1,436) (1,459)                     23</w:t>
        <w:br/>
        <w:t xml:space="preserve"> Net pension cost, other than service cost (Table 5)                             194     205                (11)</w:t>
        <w:br/>
        <w:t xml:space="preserve"> Net other revenue (Table 4)                                                     280     218                        62</w:t>
        <w:br/>
        <w:t xml:space="preserve"> Board of Governors-approved and other transfers                                (371)   (221)           (150)</w:t>
        <w:br/>
        <w:t xml:space="preserve"> Non-functional currency translation adjustments gains, net                       73      39                       34</w:t>
        <w:br/>
        <w:t xml:space="preserve"> Unrealized mark-to-market gains (losses) on non-trading portfolios, net c       287    (167)                            454</w:t>
        <w:br/>
        <w:t>Net Income                                                                   $ 2,142 $ 1,144                                      998</w:t>
        <w:br/>
        <w:t>Adjustments to reconcile net income to allocable income:</w:t>
        <w:br/>
        <w:t xml:space="preserve"> Pension d and other adjustments                                                (304)   (181)           (123)</w:t>
        <w:br/>
        <w:t xml:space="preserve"> Board of Governors-approved and other transfers                                 371     221                         150</w:t>
        <w:br/>
        <w:t xml:space="preserve"> Non-functional currency translation adjustment (gains), net                     (73)    (39)               (34)</w:t>
        <w:br/>
        <w:t xml:space="preserve"> Unrealized mark-to-market (gains) losses on non-trading portfolios, net c      (287)    167        (454)</w:t>
        <w:br/>
        <w:t>Allocable Income                                                             $ 1,849 $ 1,312                                537</w:t>
        <w:br/>
        <w:br/>
        <w:t>a. Includes related derivatives.</w:t>
        <w:br/>
        <w:t>b. Includes unrealized mark-to-market losses on the Investments-Trading portfolio of $12 million in FY24 (unrealized mark-to-</w:t>
        <w:br/>
        <w:t xml:space="preserve">   market gains of $28 million for FY23) and excludes gains from Post Employment Benefit Plan (PEBP) and Post Retirement</w:t>
        <w:br/>
        <w:t xml:space="preserve">   Contribution Reserve Fund (PCRF) and other adjustments of $112 million in FY24 ($74 million gains for FY23) reported in Net</w:t>
        <w:br/>
        <w:t xml:space="preserve">   other revenue (Table 4).</w:t>
        <w:br/>
        <w:t>c. Adjusted to exclude amounts reclassified to realized gains (losses).</w:t>
        <w:br/>
        <w:t>d. Adjustment to pension accounting expense to arrive at pension plan contributions. Pension plan and PCRF contributions were</w:t>
        <w:br/>
        <w:t xml:space="preserve">   $283 million in FY24 and $264 million in FY23.</w:t>
        <w:br/>
        <w:br/>
        <w:t>Table 3: Condensed Balance Sheets</w:t>
        <w:br/>
        <w:t>In millions of U.S. dollars</w:t>
        <w:br/>
        <w:t>As of June 30,                                                  2024             2023   Decrease Increase</w:t>
        <w:br/>
        <w:t>Investments and due from banks                        $       83,297 $         79,824                  3,473</w:t>
        <w:br/>
        <w:t>Net loans outstanding a                                      260,236          241,041                       19,195</w:t>
        <w:br/>
        <w:t>Derivative assets, net                                           456              271               185</w:t>
        <w:br/>
        <w:t>Other assets                                                  12,623           11,505                1,118</w:t>
        <w:br/>
        <w:t>Total Assets                                          $      356,612 $        332,641                           23,971</w:t>
        <w:br/>
        <w:t>Borrowings                                                   261,790          237,265                           24,525</w:t>
        <w:br/>
        <w:t>Derivative liabilities, net                                   22,728           26,893   (4,165)</w:t>
        <w:br/>
        <w:t>Other liabilities                                              8,610            8,101               509</w:t>
        <w:br/>
        <w:t>Equity                                                        63,484           60,382                 3,102</w:t>
        <w:br/>
        <w:t>Total Liabilities and Equity                          $      356,612 $        332,641                              23,971</w:t>
        <w:br/>
        <w:br/>
        <w:br/>
        <w:t>a. The fair value of IBRD’s loans was $257,415 million as of June 30, 2024 ($236,521 million – June 30, 2023).</w:t>
        <w:br/>
        <w:br/>
        <w:br/>
        <w:t xml:space="preserve">                                             IBRD Management's Discussion and Analysis: June 30, 2024                              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          Section III: Financial Results</w:t>
        <w:br/>
        <w:br/>
        <w:br/>
        <w:t>The main drivers of the change in the Balance Sheet items are below:</w:t>
        <w:br/>
        <w:t xml:space="preserve">     •       Increase in investments and due from banks primarily due to net new debt issuances exceeding net loan</w:t>
        <w:br/>
        <w:t xml:space="preserve">             disbursements;</w:t>
        <w:br/>
        <w:t xml:space="preserve">     •       Increase in net loans outstanding primarily from net loan disbursements;</w:t>
        <w:br/>
        <w:t xml:space="preserve">     •       Increase in other assets reflecting the increase in accrued interest receivable on loans and the increase in</w:t>
        <w:br/>
        <w:t xml:space="preserve">             receivable from investment securities traded;</w:t>
        <w:br/>
        <w:t xml:space="preserve">     •       Increase in borrowings primarily due to net new issuances and unrealized mark-to-market losses as a result</w:t>
        <w:br/>
        <w:t xml:space="preserve">             of the decrease in relevant interest rates, with offsetting gains on borrowing-related derivatives that</w:t>
        <w:br/>
        <w:t xml:space="preserve">             decreased derivative liabilities;</w:t>
        <w:br/>
        <w:t xml:space="preserve">     •       Increase in equity, primarily due to the increase in retained earnings and the increase in paid-in capital</w:t>
        <w:br/>
        <w:t xml:space="preserve">             during the year.</w:t>
        <w:br/>
        <w:t>Net Income</w:t>
        <w:br/>
        <w:t>IBRD’s net income was $2,142 million in FY24, compared with net income of $1,144 million in FY23. The increase</w:t>
        <w:br/>
        <w:t>was primarily due to lower provision expenses for losses on loans and other exposures, and unrealized mark-to-</w:t>
        <w:br/>
        <w:t>market gains on IBRD's non-trading portfolios in FY24, compared to unrealized mark-to-market losses in FY23</w:t>
        <w:br/>
        <w:t>(Table 2).</w:t>
        <w:br/>
        <w:t>Results from Lending activities</w:t>
        <w:br/>
        <w:t>Loan Interest Revenue</w:t>
        <w:br/>
        <w:t>Under IBRD’s pricing policy, the lending rates for all loans are based on the underlying cost of the borrowings</w:t>
        <w:br/>
        <w:t>funding these loans. After the effect of related derivatives, the loan and borrowing portfolios are based on variable</w:t>
        <w:br/>
        <w:t>interest rates. The portion of the loan portfolio funded by equity is sensitive to changes in interest rates.</w:t>
        <w:br/>
        <w:t>Figure 2: Loan interest revenue and funding cost                                 Figure 3: Loan Interest Revenue, net of funding</w:t>
        <w:br/>
        <w:t>(including related derivatives)                                                  costs a</w:t>
        <w:br/>
        <w:t>In millions of U.S. dollars                                                      In millions of U.S. dollars</w:t>
        <w:br/>
        <w:t xml:space="preserve">             Loan interest revenue (including related derivatives)</w:t>
        <w:br/>
        <w:t xml:space="preserve">             Loan funding cost (including related derivatives)</w:t>
        <w:br/>
        <w:t xml:space="preserve">                                                                                              Loan interest revenue, net of funding costs ᵃ</w:t>
        <w:br/>
        <w:t xml:space="preserve">   20,000                                                                                     Loan interest revenue, net of funding costs ᵃ and</w:t>
        <w:br/>
        <w:t xml:space="preserve">                                                                                              Other ALM derivatives, net combined</w:t>
        <w:br/>
        <w:t xml:space="preserve">   15,000                                                                           6,000</w:t>
        <w:br/>
        <w:br/>
        <w:br/>
        <w:t xml:space="preserve">   10,000                                                                           4,000</w:t>
        <w:br/>
        <w:br/>
        <w:t xml:space="preserve">     5,000</w:t>
        <w:br/>
        <w:t xml:space="preserve">                                                                                    2,000</w:t>
        <w:br/>
        <w:t xml:space="preserve">         0</w:t>
        <w:br/>
        <w:t xml:space="preserve">                  FY20      FY21        FY22       FY23       FY24</w:t>
        <w:br/>
        <w:t xml:space="preserve">                                                                                        0</w:t>
        <w:br/>
        <w:t xml:space="preserve">                                                                                              FY20      FY21       FY22         FY23       FY24</w:t>
        <w:br/>
        <w:t xml:space="preserve">                                                                                   a.   Includes related derivatives.</w:t>
        <w:br/>
        <w:br/>
        <w:br/>
        <w:t>IBRD’s FY24 loan interest revenue, net of funding costs was $4,874 million, an increase of $1,000 million</w:t>
        <w:br/>
        <w:t>compared with $3,874 million in FY23 (Figure 3). Other ALM derivatives moderate the impact of interest rate</w:t>
        <w:br/>
        <w:t>changes on the portion of the loan portfolio that is sensitive to interest rate movements, thereby partially stabilizing</w:t>
        <w:br/>
        <w:t>the net interest revenue earned from these loans (Figure 3). Other ALM derivatives comprise interest rate swaps,</w:t>
        <w:br/>
        <w:t>which are used to convert the variable rate cash flows from these loans to fixed rate cash flows.</w:t>
        <w:br/>
        <w:t>The combined effect of the increase in loan interest revenue, net of $1,000 million and the increase in interest</w:t>
        <w:br/>
        <w:t>expenses from Other ALM derivatives, net of $876 million from FY23 to FY24, resulted in a total combined</w:t>
        <w:br/>
        <w:t>increase in net loan interest revenue of $124 million. This increase was primarily driven by the higher average loan</w:t>
        <w:br/>
        <w:br/>
        <w:br/>
        <w:t>12  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       Section III: Financial Results</w:t>
        <w:br/>
        <w:br/>
        <w:br/>
        <w:t>balance during the year. This was partially offset by the impact from the lag in the 6-month London Interbank Offer</w:t>
        <w:br/>
        <w:t>Rate (LIBOR) based borrowing portfolio resetting to Secured Overnight Financing Rate (SOFR) at higher rates</w:t>
        <w:br/>
        <w:t>during FY24, whereas the majority of the loan portfolio had transitioned to daily SOFR by the end of FY23.</w:t>
        <w:br/>
        <w:t>Provision for losses on loans and other exposures</w:t>
        <w:br/>
        <w:t>During FY24, IBRD recorded a provision expense for losses on loans and other exposures of $94 million, a $589</w:t>
        <w:br/>
        <w:t>million lower expense compared to FY23. As the majority of IBRD’s loans carry a variable interest rate, changes in</w:t>
        <w:br/>
        <w:t>forward interest rates impact the expected losses that are recorded through the provision for losses on loans and</w:t>
        <w:br/>
        <w:t>other exposures in the Statements of Income. Accordingly, the decrease in expense was primarily driven by the</w:t>
        <w:br/>
        <w:t>decrease in the loss given default (severity), due to the lower increase in the relevant implied forward interest rates</w:t>
        <w:br/>
        <w:t>in FY24, compared to FY23. The severity reflects the expected losses from delays in receiving interest payments</w:t>
        <w:br/>
        <w:t>since IBRD does not charge interest for overdue interest.</w:t>
        <w:br/>
        <w:br/>
        <w:t>Figure 4: Change in Net Loans Outstanding                                                 Figure 5: Net Loans Outstanding</w:t>
        <w:br/>
        <w:t>In billions of U.S. dollars                                                               In billions of U.S. dollars</w:t>
        <w:br/>
        <w:br/>
        <w:t xml:space="preserve">                                                                                                                                        260.2</w:t>
        <w:br/>
        <w:t xml:space="preserve"> 280                                                                                      250                                   241.0</w:t>
        <w:br/>
        <w:t xml:space="preserve">                         33.5                                                                                           227.1</w:t>
        <w:br/>
        <w:t xml:space="preserve">                                                                                                              218.8</w:t>
        <w:br/>
        <w:t xml:space="preserve">                                                                                                    202.2</w:t>
        <w:br/>
        <w:t xml:space="preserve"> 270                                                                                      200</w:t>
        <w:br/>
        <w:br/>
        <w:t xml:space="preserve">                                                                             260.2</w:t>
        <w:br/>
        <w:t xml:space="preserve"> 260                                                                                      150</w:t>
        <w:br/>
        <w:t xml:space="preserve">                                      (13.4)          *          (0.9)</w:t>
        <w:br/>
        <w:br/>
        <w:t xml:space="preserve"> 250                                                                                      100</w:t>
        <w:br/>
        <w:t xml:space="preserve">            241.0</w:t>
        <w:br/>
        <w:t xml:space="preserve"> 240                                                                                        50</w:t>
        <w:br/>
        <w:br/>
        <w:br/>
        <w:t xml:space="preserve"> 230                                                                                         0</w:t>
        <w:br/>
        <w:t xml:space="preserve">           Net Loans    Gross loan Repayments Accumulated Translation        Net Loans             Jun 20    Jun 21     Jun 22 Jun 23   Jun 24</w:t>
        <w:br/>
        <w:t xml:space="preserve">          outstanding disbursements     and     provision for adjustments   outstanding</w:t>
        <w:br/>
        <w:t xml:space="preserve">           as of June               prepayments loan losses    and others    as of June</w:t>
        <w:br/>
        <w:t xml:space="preserve">            30, 2023                                                          30, 2024</w:t>
        <w:br/>
        <w:br/>
        <w:t>* Indicates amount less than $0.1 billion.</w:t>
        <w:br/>
        <w:br/>
        <w:t>As of June 30, 2024, IBRD’s net loans outstanding totaled $260.2 billion, $19.2 billion or 8% higher than June 30,</w:t>
        <w:br/>
        <w:t>2023 (Figure 5). The increase was mainly attributable to $20.1 billion of net loan disbursements in FY24.</w:t>
        <w:br/>
        <w:t>Gross disbursements were $33.5 billion, a $7.9 billion increase compared to FY23 (Table 10).</w:t>
        <w:br/>
        <w:t>Results from Investing activities</w:t>
        <w:br/>
        <w:t>Net Investment Portfolio</w:t>
        <w:br/>
        <w:t>IBRD’s net investment portfolio was $82.7 billion as of June 30, 2024 ($79.2 billion as of June 30, 2023). Of this</w:t>
        <w:br/>
        <w:t>amount, $78.8 billion related to the liquid asset portfolio ($75.4 billion as of June 30, 2023). See Note C:</w:t>
        <w:br/>
        <w:t>Investments in the Notes to the Financial Statements. The increase in the liquid asset portfolio was primarily due to</w:t>
        <w:br/>
        <w:t>the net new debt issuances that were higher than net loan disbursements during the year, and in line with the higher</w:t>
        <w:br/>
        <w:t>target liquidity level in FY24 (See Section VI: Investment Activities).</w:t>
        <w:br/>
        <w:t>Net Investment Revenue</w:t>
        <w:br/>
        <w:t>During FY24, IBRD’s net investment revenue decreased by $127 million, compared to FY23. This was primarily</w:t>
        <w:br/>
        <w:t>driven by the higher funding costs that exceeded the increase in investment interest income due to higher average</w:t>
        <w:br/>
        <w:t>interest rates in FY24.</w:t>
        <w:br/>
        <w:br/>
        <w:br/>
        <w:t xml:space="preserve">                                                      IBRD Management's Discussion and Analysis: June 30, 2024                           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Section III: Financial Results</w:t>
        <w:br/>
        <w:br/>
        <w:br/>
        <w:t>Figure 6: Net Investment Portfolio                                    Figure 7: Investment Revenue, net</w:t>
        <w:br/>
        <w:t>In billions of U.S. dollars                                           In millions of U.S. dollars</w:t>
        <w:br/>
        <w:br/>
        <w:t xml:space="preserve">          Liquid asset portfolio      Other investments portfolio        250</w:t>
        <w:br/>
        <w:t xml:space="preserve">   100</w:t>
        <w:br/>
        <w:t xml:space="preserve">                                                                         200</w:t>
        <w:br/>
        <w:t xml:space="preserve">               2.6            3.1     3.3                    3.9</w:t>
        <w:br/>
        <w:t xml:space="preserve">     80                                          3.8</w:t>
        <w:br/>
        <w:t xml:space="preserve">                                                                         150</w:t>
        <w:br/>
        <w:t xml:space="preserve">     60                                                                  100</w:t>
        <w:br/>
        <w:br/>
        <w:t xml:space="preserve">     40       79.9            82.8    78.8      75.4        78.8          50</w:t>
        <w:br/>
        <w:br/>
        <w:t xml:space="preserve">     20                                                                     0</w:t>
        <w:br/>
        <w:br/>
        <w:t xml:space="preserve">     0                                                                   (50)</w:t>
        <w:br/>
        <w:t xml:space="preserve">             Jun 20      Jun 21      Jun 22    Jun 23     Jun 24                   FY20       FY21     FY22    FY23       FY24</w:t>
        <w:br/>
        <w:br/>
        <w:br/>
        <w:t>Results from Borrowing activities</w:t>
        <w:br/>
        <w:t>As of June 30, 2024, the borrowing portfolio was $287.1 billion, $20.3 billion higher than June 30, 2023 (Note E:</w:t>
        <w:br/>
        <w:t>Borrowings in the Notes to the Financial Statements). The increase was primarily due to net new debt issuances</w:t>
        <w:br/>
        <w:t>during the year. New issuances of medium-and long-term debt of $52.4 billion during the year (Table 25) were</w:t>
        <w:br/>
        <w:t>diversified by investor profile and location, with an average maturity of 5.9 years. The funds raised financed</w:t>
        <w:br/>
        <w:t>development lending operations and satisfied the liquidity requirements.</w:t>
        <w:br/>
        <w:t>Figure 8: Borrowing Portfolio (original maturities)</w:t>
        <w:br/>
        <w:t>In billions of U.S. dollars</w:t>
        <w:br/>
        <w:br/>
        <w:br/>
        <w:t xml:space="preserve">                 Short-term           Medium-and long-term</w:t>
        <w:br/>
        <w:br/>
        <w:t xml:space="preserve">   300                                                       9.0</w:t>
        <w:br/>
        <w:t xml:space="preserve">                              10.2    15.1       10.1</w:t>
        <w:br/>
        <w:t xml:space="preserve">   250        11.0</w:t>
        <w:br/>
        <w:t xml:space="preserve">   200</w:t>
        <w:br/>
        <w:t xml:space="preserve">   150                                                     278.1</w:t>
        <w:br/>
        <w:t xml:space="preserve">              226.2       243.5      241.8      256.7</w:t>
        <w:br/>
        <w:t xml:space="preserve">   100</w:t>
        <w:br/>
        <w:t xml:space="preserve">     50</w:t>
        <w:br/>
        <w:t xml:space="preserve">     0</w:t>
        <w:br/>
        <w:t xml:space="preserve">             Jun 20      Jun 21      Jun 22    Jun 23     Jun 24</w:t>
        <w:br/>
        <w:br/>
        <w:br/>
        <w:t>Net Other Revenue</w:t>
        <w:br/>
        <w:t>Net other revenue represents certain non-interest sources of revenue, which was higher by $62 million during FY24.</w:t>
        <w:br/>
        <w:t>The increase included higher investment earnings from the PEBP and PCRF holdings, consistent with prevailing</w:t>
        <w:br/>
        <w:t>market conditions.</w:t>
        <w:br/>
        <w:br/>
        <w:t>Table 4: Net Other Revenue</w:t>
        <w:br/>
        <w:t>In millions of U.S. dollars</w:t>
        <w:br/>
        <w:t>For the fiscal year ended June 30,                                                              2024          2023       Variance</w:t>
        <w:br/>
        <w:t>Loan commitment fees                                                                    $        149   $       124   $         25</w:t>
        <w:br/>
        <w:t>Guarantee fees                                                                                    19            15              4</w:t>
        <w:br/>
        <w:t>Others, including net earnings from the PEBP and PCRF                                            112            79             33</w:t>
        <w:br/>
        <w:t>Net other revenue (Table 2)                                                             $        280   $       218   $         62</w:t>
        <w:br/>
        <w:br/>
        <w:br/>
        <w:t>14  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Section III: Financial Results</w:t>
        <w:br/>
        <w:br/>
        <w:br/>
        <w:t>Net Non-Interest Expenses</w:t>
        <w:br/>
        <w:t>As shown in Table 5, IBRD’s net non-interest expenses are primarily comprised of administrative expenses, net of</w:t>
        <w:br/>
        <w:t>revenue from externally funded activities, and include costs related to Bank-executed activities for trust funds and</w:t>
        <w:br/>
        <w:t>other externally funded activities. IBRD and IDA's administrative budget is a single resource envelope that funds the</w:t>
        <w:br/>
        <w:t>combined work programs of both entities. The allocation of net administrative expenses between IBRD and IDA is</w:t>
        <w:br/>
        <w:t>based on an agreed cost and revenue sharing methodology, approved by their Boards, which is primarily driven by</w:t>
        <w:br/>
        <w:t>the relative level of lending, knowledge services, and other services between these two entities.</w:t>
        <w:br/>
        <w:t>Figure 9: Net Non-Interest Expenses (GAAP basis)</w:t>
        <w:br/>
        <w:t>In millions of U.S. dollars</w:t>
        <w:br/>
        <w:br/>
        <w:t xml:space="preserve">   1,800</w:t>
        <w:br/>
        <w:t xml:space="preserve">   1,200</w:t>
        <w:br/>
        <w:t xml:space="preserve">     600</w:t>
        <w:br/>
        <w:t xml:space="preserve">       0</w:t>
        <w:br/>
        <w:t xml:space="preserve">              FY20       FY21   FY22      FY23     FY24</w:t>
        <w:br/>
        <w:br/>
        <w:br/>
        <w:t>The decrease in net non-interest expenses on a GAAP basis was primarily driven by higher revenue from externally</w:t>
        <w:br/>
        <w:t>funded activities and lower pension service cost. The decrease in pension service cost was mainly driven by the</w:t>
        <w:br/>
        <w:t>higher pension discount rate used to measure the pension liabilities. The decrease in non-interest expenses was</w:t>
        <w:br/>
        <w:t>partially offset by higher staff costs and higher travel expenses. On an allocable income basis, net non-interest</w:t>
        <w:br/>
        <w:t>expenses for FY24 increased primarily due to higher staff costs and travel expenses (Table 5).</w:t>
        <w:br/>
        <w:t>Table 5: Net Non-Interest Expenses</w:t>
        <w:br/>
        <w:t xml:space="preserve"> In millions of U.S. dollars</w:t>
        <w:br/>
        <w:t xml:space="preserve"> For the fiscal year ended June 30,                                                          2024             2023        Variance</w:t>
        <w:br/>
        <w:t xml:space="preserve"> Administrative expenses</w:t>
        <w:br/>
        <w:t xml:space="preserve">    Staff costs                                                                   $         1,178    $       1,082    $         96</w:t>
        <w:br/>
        <w:t xml:space="preserve">    Travel                                                                                    158              142              16</w:t>
        <w:br/>
        <w:t xml:space="preserve">    Consultant fees and contractual services                                                  518              505              13</w:t>
        <w:br/>
        <w:t xml:space="preserve">    Pension service cost a                                                                    284              351             (67)</w:t>
        <w:br/>
        <w:t xml:space="preserve">    Communications and technology                                                              99               91               8</w:t>
        <w:br/>
        <w:t xml:space="preserve">    Premises and equipment                                                                    126              128              (2)</w:t>
        <w:br/>
        <w:t xml:space="preserve">    Other expenses                                                                             16               21              (5)</w:t>
        <w:br/>
        <w:t xml:space="preserve">      Total administrative expenses                                               $         2,379    $       2,320    $         59</w:t>
        <w:br/>
        <w:t xml:space="preserve"> Contributions to special programs (Section V)                                                 17               17              —</w:t>
        <w:br/>
        <w:t xml:space="preserve"> Revenue from externally funded activities: (Section V)</w:t>
        <w:br/>
        <w:t xml:space="preserve">    Reimbursable revenue – Bank-executed activities for trust funds                         (612)            (570)             (42)</w:t>
        <w:br/>
        <w:t xml:space="preserve">    Reimbursable advisory services                                                            (47)             (52)              5</w:t>
        <w:br/>
        <w:t xml:space="preserve">    Revenue - Trust fund administration                                                       (99)             (62)            (37)</w:t>
        <w:br/>
        <w:t xml:space="preserve">    Restricted revenue (primarily externally financed outputs)                                 (8)              (3)             (5)</w:t>
        <w:br/>
        <w:t xml:space="preserve">    Revenue - Asset management services                                                       (17)             (16)             (1)</w:t>
        <w:br/>
        <w:t xml:space="preserve">    Other revenue                                                                           (177)            (175)              (2)</w:t>
        <w:br/>
        <w:t xml:space="preserve">      Total Revenue from externally funded activities                             $         (960)    $       (878)    $        (82)</w:t>
        <w:br/>
        <w:t xml:space="preserve">  Net non-interest expenses (Table 2)                                                       1,436            1,459             (23)</w:t>
        <w:br/>
        <w:t xml:space="preserve">  Net pension cost, other than service cost b (Table 2)                                     (194)            (205)              11</w:t>
        <w:br/>
        <w:t xml:space="preserve"> Net Non-Interest Expenses - GAAP Basis                                           $         1,242    $       1,254    $        (12)</w:t>
        <w:br/>
        <w:t xml:space="preserve"> Adjustments to arrive at net non-interest expenses - allocable income basis</w:t>
        <w:br/>
        <w:t xml:space="preserve"> Pension, Externally Financed Outputs (EFO) and Reserve Advisory and</w:t>
        <w:br/>
        <w:t xml:space="preserve">                                                                                              192              107              85</w:t>
        <w:br/>
        <w:t xml:space="preserve"> Management Partnership (RAMP) adjustments c</w:t>
        <w:br/>
        <w:t xml:space="preserve"> Net non-interest expenses - Allocable income basis                               $         1,434    $       1,361    $         73</w:t>
        <w:br/>
        <w:br/>
        <w:t>a. The pension service cost represents the cost of benefits attributable to services performed by employees for the Bank during the</w:t>
        <w:br/>
        <w:t xml:space="preserve">   fiscal year. See Notes to Financial Statements, Note K: Pension and Other Post-Retirement Benefits.</w:t>
        <w:br/>
        <w:t>b. Amount is included in Non-interest expenses - Other in the Statements of Income (Table 2).</w:t>
        <w:br/>
        <w:t>c. Adjustments are included in the Pension and other adjustments line in Table 2.</w:t>
        <w:br/>
        <w:br/>
        <w:br/>
        <w:t xml:space="preserve">                                             IBRD Management's Discussion and Analysis: June 30, 2024                        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Section III: Financial Results</w:t>
        <w:br/>
        <w:br/>
        <w:br/>
        <w:t>IBRD’s goal is to have its net administrative expenses covered by its loan spread revenue (Box 1) and certain fee</w:t>
        <w:br/>
        <w:t>revenue, using a measure referred to as the Budget Anchor. In FY24, IBRD’s Budget Anchor was 62.7%, an</w:t>
        <w:br/>
        <w:t>increase of 2.4% compared with 60.3% in FY23. The increase was primarily due to the increase in net</w:t>
        <w:br/>
        <w:t>administrative expenses outpacing the increase in budget anchor revenue. Growth in loan spread revenue was</w:t>
        <w:br/>
        <w:t>moderated in FY24 by the impact from the lag in the 6-month London Interbank Offer Rate (LIBOR) based</w:t>
        <w:br/>
        <w:t>borrowing portfolio resetting to Secured Overnight Financing Rate (SOFR) at higher rates during FY24, whereas the</w:t>
        <w:br/>
        <w:t>majority of the loan portfolio had transitioned to daily SOFR by the end of FY23 (see Table 6 for details of the</w:t>
        <w:br/>
        <w:t>Budget Anchor components).</w:t>
        <w:br/>
        <w:br/>
        <w:t>Table 6: Budget Anchor Ratio</w:t>
        <w:br/>
        <w:t>In millions of U.S. dollars</w:t>
        <w:br/>
        <w:t>For the fiscal year ended June 30,                                                       2024               2023           Variance</w:t>
        <w:br/>
        <w:t>Total Net non-interest expenses (From Table 5)                             $        1,242       $         1,254    $            (12)</w:t>
        <w:br/>
        <w:t>Pension adjustment (From Table 8) a                                                   194                   119                  75</w:t>
        <w:br/>
        <w:t>RAMP adjustment a                                                                      (2)                   (1)                 (1)</w:t>
        <w:br/>
        <w:t>EFO adjustment a                                                                       —                    (11)                 11</w:t>
        <w:br/>
        <w:t>Net administrative expenses – for Budget Anchor                            $        1,434       $         1,361    $             73</w:t>
        <w:br/>
        <w:br/>
        <w:br/>
        <w:t>Loan spread revenue, net                                                            2,119                 2,118                  1</w:t>
        <w:br/>
        <w:t>Loan commitment fees (From Table 4)                                                   149                   124                 25</w:t>
        <w:br/>
        <w:t>Guarantee fees (From Table 4)                                                          19                    15                  4</w:t>
        <w:br/>
        <w:t>Budget anchor revenue                                                      $        2,287   $             2,257   $             30</w:t>
        <w:br/>
        <w:t>Budget Anchor                                                                        62.7 %                60.3 %</w:t>
        <w:br/>
        <w:t>a. These adjustments are made to arrive at net administrative expenses used for allocable income purposes. For more information</w:t>
        <w:br/>
        <w:t xml:space="preserve">   see Table 8 in Net Income Allocation section.</w:t>
        <w:br/>
        <w:br/>
        <w:t>Unrealized mark-to-market gains/losses on non-trading portfolios</w:t>
        <w:br/>
        <w:t>Unrealized mark-to-market gains and losses associated with the non-trading portfolios are excluded from reported</w:t>
        <w:br/>
        <w:t>net income to arrive at allocable income. As a result, from a long-term financial sustainability perspective, income</w:t>
        <w:br/>
        <w:t>allocations are generally based on amounts that have been realized (except for the Investments-Trading portfolio, as</w:t>
        <w:br/>
        <w:t>previously discussed). For FY24, $287 million of net unrealized mark-to-market gains ($167 million net unrealized</w:t>
        <w:br/>
        <w:t>mark-to-market losses in FY23) were excluded from reported net income to arrive at allocable income (Table 2).</w:t>
        <w:br/>
        <w:br/>
        <w:t>Table 7: Unrealized Mark-to-Market gains/ (losses) on non-trading portfolios a</w:t>
        <w:br/>
        <w:t>In millions of U.S. dollars</w:t>
        <w:br/>
        <w:t>For the fiscal year ended June 30,                                                              2024            2023    Variance</w:t>
        <w:br/>
        <w:t>Loan related derivatives                                                             $          (458) $        1,673 $       (2,131)</w:t>
        <w:br/>
        <w:t>Other asset/liability management derivatives, net                                                708          (1,642)         2,350</w:t>
        <w:br/>
        <w:t>Borrowings, including related derivatives                                                          7            (198)           205</w:t>
        <w:br/>
        <w:t>Client operations and other derivatives, net                                                      30              —              30</w:t>
        <w:br/>
        <w:t>Total                                                                                $           287 $          (167) $         454</w:t>
        <w:br/>
        <w:br/>
        <w:br/>
        <w:t>a. Adjusted to exclude amounts reclassified to realized mark-to-market gains (losses).</w:t>
        <w:br/>
        <w:br/>
        <w:t>Loan Portfolio</w:t>
        <w:br/>
        <w:t>Loans are reported at amortized cost on the Balance Sheets and therefore the mark-to-market effect on loans is not</w:t>
        <w:br/>
        <w:t>reflected in reported net income. However, the derivatives used to convert the loans from fixed-rate to variable-rate</w:t>
        <w:br/>
        <w:t>instruments, for asset / liability management purposes, are reported at fair value. From an economic perspective,</w:t>
        <w:br/>
        <w:t>IBRD’s loans, after the effect of derivatives, carry variable interest rates and have a low sensitivity to interest rate</w:t>
        <w:br/>
        <w:t>movements. The unrealized mark-to-market losses on loan related derivatives were $458 million in FY24, primarily</w:t>
        <w:br/>
        <w:t>due to the decrease in relevant interest rates during the year. See Section IX: Risk Management for additional details</w:t>
        <w:br/>
        <w:t>on how IBRD uses derivatives in the loan portfolio.</w:t>
        <w:br/>
        <w:br/>
        <w:br/>
        <w:t>16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III: Financial Results</w:t>
        <w:br/>
        <w:br/>
        <w:br/>
        <w:t>Other ALM Portfolio</w:t>
        <w:br/>
        <w:t>IBRD uses derivatives to stabilize its interest revenue from the portion of loans that is sensitive to changes in short -</w:t>
        <w:br/>
        <w:t>term interest rates. The Other ALM portfolio consists of derivatives which convert variable rate loan cash flows to</w:t>
        <w:br/>
        <w:t>fixed rate loan cash flows. In FY24, IBRD recorded unrealized mark-to-market gains of $708 million on this</w:t>
        <w:br/>
        <w:t>portfolio, primarily due to the decrease in relevant interest rates as of June 30, 2024 compared to June 30, 2023. The</w:t>
        <w:br/>
        <w:t>duration of this portfolio was 4.6 years as of June 30, 2024, within the Board established limit of 5 years.</w:t>
        <w:br/>
        <w:t>Borrowing Portfolio</w:t>
        <w:br/>
        <w:t>IBRD’s bonds and the related derivatives are reported at fair value. IBRD recorded $7 million of net unrealized</w:t>
        <w:br/>
        <w:t>mark-to-market gains on IBRD’s bonds and associated derivatives, due to the decrease in relevant interest rates as of</w:t>
        <w:br/>
        <w:t>June 30, 2024 compared to June 30, 2023. The gains on the bond-related derivatives exceeded the losses on the</w:t>
        <w:br/>
        <w:t>bonds. The net unrealized mark-to-market losses on IBRD’s bonds exclude changes in IBRD’s own credit, referred</w:t>
        <w:br/>
        <w:t>to as the Debit Valuation Adjustment (DVA) on Fair Value Option elected liabilities, which is instead recorded in</w:t>
        <w:br/>
        <w:t>Accumulated Other Comprehensive Income (AOCI). In FY24, the DVA was $322 million of unrealized mark-to-</w:t>
        <w:br/>
        <w:t>market gains, resulting mainly from the widening of IBRD’s credit spreads relative to the applicable reference rate</w:t>
        <w:br/>
        <w:t>during the year. As of June 30, 2024, IBRD’s Balance Sheets included a cumulative DVA of $673 million of mark-</w:t>
        <w:br/>
        <w:t>to-market gains reflected in AOCI (See Notes to the Financial Statements, Note J – Fair Value Disclosures).</w:t>
        <w:br/>
        <w:br/>
        <w:t>Board of Governors-approved Transfers</w:t>
        <w:br/>
        <w:t>On August 21, 2023, IBRD’s Board of Governors approved a transfer of $80 million from Surplus to the Trust Fund</w:t>
        <w:br/>
        <w:t>for Gaza and the West Bank, and $40 million from Surplus to the IBRD Fund for Innovative Global Public Goods</w:t>
        <w:br/>
        <w:t>Solutions (subsequently renamed IBRD Surplus-Funded Livable Planet Fund or LPF1). The transfers were made on</w:t>
        <w:br/>
        <w:t>September 6, 2023 and September 12, 2023 respectively. During the fiscal year ended June 30, 2024, out of the</w:t>
        <w:br/>
        <w:t>cumulative transfers of $125 million to LPF1, no transaction met the criteria for recognition as an expense in the</w:t>
        <w:br/>
        <w:t>Statement of Income. As of June 30, 2024, the balance available for disbursements out of the cumulative transfers to</w:t>
        <w:br/>
        <w:t>LPF1 was $101 million.</w:t>
        <w:br/>
        <w:t>On October 13, 2023, IBRD’s Board of Governors approved a transfer to IDA of $291 million and a transfer of $100</w:t>
        <w:br/>
        <w:t>million to Surplus out of the net income earned in the fiscal year ended June 30, 2023. The transfer to IDA was</w:t>
        <w:br/>
        <w:t>made on October 24, 2023.</w:t>
        <w:br/>
        <w:br/>
        <w:br/>
        <w:t xml:space="preserve">                                          IBRD Management's Discussion and Analysis: June 30, 2024                   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Section III: Financial Results</w:t>
        <w:br/>
        <w:br/>
        <w:br/>
        <w:t>Net Income Allocation</w:t>
        <w:br/>
        <w:t>Management recommends allocations of income to the Board, at the end of each fiscal year, to augment reserves and</w:t>
        <w:br/>
        <w:t>support developmental activities. These allocations are based on allocable income. As illustrated in Table 8, the key</w:t>
        <w:br/>
        <w:t>differences between allocable income and net income relate to unrealized mark-to-market gains and losses on</w:t>
        <w:br/>
        <w:t>IBRD’s non-trading portfolios, and expenses related to Board of Governors-approved and other transfers.</w:t>
        <w:br/>
        <w:br/>
        <w:t>Table 8: Allocable Income</w:t>
        <w:br/>
        <w:t>In millions of U.S. dollars</w:t>
        <w:br/>
        <w:t>For the fiscal years ended June 30,                                                                       2024        2023</w:t>
        <w:br/>
        <w:t xml:space="preserve"> Net Income                                                                                   $           2,142   $   1,144</w:t>
        <w:br/>
        <w:t xml:space="preserve"> Adjustments to Reconcile Net Income to Allocable Income:</w:t>
        <w:br/>
        <w:t xml:space="preserve">   Board of Governors-approved and other transfers                                                          371         221</w:t>
        <w:br/>
        <w:t xml:space="preserve">   Non-functional currency translation adjustments gains, net a                                             (73)        (39)</w:t>
        <w:br/>
        <w:t xml:space="preserve">   Unrealized mark-to-market losses (gains) on non-trading portfolios, net b                               (287)        167</w:t>
        <w:br/>
        <w:t xml:space="preserve">   Pension c                                                                                               (194)       (119)</w:t>
        <w:br/>
        <w:t xml:space="preserve">   PEBP and PCRF adjustment                                                                                (112)        (74)</w:t>
        <w:br/>
        <w:t xml:space="preserve">   Other adjustments                                                                                          2          12</w:t>
        <w:br/>
        <w:t xml:space="preserve"> Allocable Income                                                                             $           1,849 $     1,312</w:t>
        <w:br/>
        <w:br/>
        <w:t xml:space="preserve"> Recommended Allocations</w:t>
        <w:br/>
        <w:t xml:space="preserve">  General Reserve                                                                                           834         921</w:t>
        <w:br/>
        <w:t xml:space="preserve">  Surplus                                                                                                   500         100</w:t>
        <w:br/>
        <w:t xml:space="preserve">  Transfer to IDA                                                                                           515         291</w:t>
        <w:br/>
        <w:t xml:space="preserve"> Total Allocations                                                                            $           1,849   $   1,312</w:t>
        <w:br/>
        <w:br/>
        <w:br/>
        <w:t>a. Translation adjustments relating to assets and liabilities denominated in non-functional currencies.</w:t>
        <w:br/>
        <w:t>b. Adjusted to exclude amounts reclassified to realized gains/losses.</w:t>
        <w:br/>
        <w:t>c. Represents the difference between the pension cost incurred and pension contributions.</w:t>
        <w:br/>
        <w:br/>
        <w:br/>
        <w:t>All of the adjustments between reported net income and allocable income are recommended by management and</w:t>
        <w:br/>
        <w:t>approved by the Board:</w:t>
        <w:br/>
        <w:t>Board of Governors-approved and other transfers</w:t>
        <w:br/>
        <w:t>Board of Governors-approved and other transfers refer to the allocations recommended by the Board and approved</w:t>
        <w:br/>
        <w:t>by the Governors, as part of the prior year’s net income allocation process and subsequent decisions on uses of</w:t>
        <w:br/>
        <w:t>surplus, as well as on payments from restricted retained earnings.</w:t>
        <w:br/>
        <w:t>Since these amounts primarily relate to allocations out of IBRD’s FY23 allocable income, Surplus, or restricted</w:t>
        <w:br/>
        <w:t>retained earnings, they are excluded from FY24 reported net income in calculating FY24 allocable income.</w:t>
        <w:br/>
        <w:t>Non-functional currency translation adjustment gains/losses</w:t>
        <w:br/>
        <w:t>Translation gains and losses relating to non-functional currencies are reflected in reported net income. Since these</w:t>
        <w:br/>
        <w:t>are unrealized gains/losses that relate to asset/liability positions still held by IBRD, they are excluded from reported</w:t>
        <w:br/>
        <w:t>net income to arrive at allocable income.</w:t>
        <w:br/>
        <w:t>Unrealized mark-to-market gains/losses on non-trading portfolios</w:t>
        <w:br/>
        <w:t>These mainly comprise unrealized mark-to-market gains and losses on the loan, borrowing, and other ALM</w:t>
        <w:br/>
        <w:t>portfolios as previously discussed.</w:t>
        <w:br/>
        <w:t>Unrealized mark-to-market gains/losses on certain positions in the investments-trading portfolio, net</w:t>
        <w:br/>
        <w:t>This adjustment applies to trades where the unrealized gains and losses on derivative forward contracts are recorded</w:t>
        <w:br/>
        <w:t>in the Statements of Income and the underlying physical assets being purchased and sold are recorded at amortized</w:t>
        <w:br/>
        <w:t>cost during the holding period. In these cases, the unrealized gains and losses on the forward contract at the end of</w:t>
        <w:br/>
        <w:br/>
        <w:br/>
        <w:t>18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Section III: Financial Results</w:t>
        <w:br/>
        <w:br/>
        <w:br/>
        <w:t>the reporting period (if any) are excluded from net income when calculating allocable income. As of June 30, 2024,</w:t>
        <w:br/>
        <w:t>there were no active trades requiring adjustment.</w:t>
        <w:br/>
        <w:t>Pension, PEBP and PCRF adjustments</w:t>
        <w:br/>
        <w:t>The Pension adjustment reflects the difference between the accounting expense and IBRD’s cash contributions to</w:t>
        <w:br/>
        <w:t>the pension plans, the Post-Employment Benefit Plan (PEBP), and the Post-Retirement Contribution Reserve Fund</w:t>
        <w:br/>
        <w:t>(PCRF). It also includes investment revenue earned on pension plan, PEBP, and PCRF assets. The PCRF was</w:t>
        <w:br/>
        <w:t>established by the Board to stabilize contributions to the pension and post-retirement benefits plans. Management</w:t>
        <w:br/>
        <w:t>bases allocation decisions on IBRD’s cash contributions to the pension plans, PEBP and PCRF, rather than pension</w:t>
        <w:br/>
        <w:t>accounting expenses. In addition, Management has designated the income from these assets to meet the future needs</w:t>
        <w:br/>
        <w:t>of the pension plans. As a result, PEBP and PCRF investment revenues are excluded from allocable income.</w:t>
        <w:br/>
        <w:t>Other Adjustments</w:t>
        <w:br/>
        <w:t xml:space="preserve">  •   Under certain arrangements (such as Externally Financed Outputs), IBRD enters into agreements with donors</w:t>
        <w:br/>
        <w:t xml:space="preserve">      under which it receives grants to finance specified IBRD outputs or services. These funds may be utilized</w:t>
        <w:br/>
        <w:t xml:space="preserve">      only for the purposes specified in the agreements and are, therefore, considered restricted until IBRD has</w:t>
        <w:br/>
        <w:t xml:space="preserve">      fulfilled those purposes. Management excludes amounts arising from these arrangements from allocable</w:t>
        <w:br/>
        <w:t xml:space="preserve">      income because IBRD has no discretion over the use of the related funds. In line with this, in FY24, income</w:t>
        <w:br/>
        <w:t xml:space="preserve">      of less than $1 million was transferred to restricted retained earnings (Table 8). Consequently, the net balance</w:t>
        <w:br/>
        <w:t xml:space="preserve">      of these restricted funds increased by the same amount.</w:t>
        <w:br/>
        <w:t xml:space="preserve">  •   Under the Board-approved framework, RAMP fees are dedicated for the purpose of providing technical</w:t>
        <w:br/>
        <w:t xml:space="preserve">      assistance and asset management services to external clients. Due to the potential timing mismatch between</w:t>
        <w:br/>
        <w:t xml:space="preserve">      fee revenue (recognized as earned) and program expenditures (recognized when incurred), fees earned in a</w:t>
        <w:br/>
        <w:t xml:space="preserve">      given fiscal year may be used to provide services in a future fiscal year. To ensure that RAMP revenues are</w:t>
        <w:br/>
        <w:t xml:space="preserve">      only used for the delivery of RAMP services, and not allocated for other purposes, any difference between fee</w:t>
        <w:br/>
        <w:t xml:space="preserve">      revenue and expenses from RAMP included in reported net income are excluded to arrive at allocable</w:t>
        <w:br/>
        <w:t xml:space="preserve">      income. Allocable income for FY24 was adjusted for the $2 million excess of RAMP expenses over the fee</w:t>
        <w:br/>
        <w:t xml:space="preserve">      revenue from RAMP (Table 8).</w:t>
        <w:br/>
        <w:br/>
        <w:br/>
        <w:t xml:space="preserve">                                        IBRD Management's Discussion and Analysis: June 30, 2024                  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Section III: Financial Results</w:t>
        <w:br/>
        <w:br/>
        <w:br/>
        <w:t>Income Allocation</w:t>
        <w:br/>
        <w:t>Since 1964, IBRD has made transfers to IDA from its net income, upon approval by the Board of Governors. In</w:t>
        <w:br/>
        <w:t>FY17, the Board approved a formula-based approach for determining IBRD’s transfers to IDA. The approach links</w:t>
        <w:br/>
        <w:t>proposed transfers to IDA with IBRD’s allocable income for the year, ensuring that most allocable income is</w:t>
        <w:br/>
        <w:t>retained to grow IBRD’s reserves. In addition, as part of the commitment made under the 2018 capital package, the</w:t>
        <w:br/>
        <w:t>incremental revenue from the 2018 price increase is excluded from the formula used to calculate the amount to be</w:t>
        <w:br/>
        <w:t>transferred to IDA, and fully retained in IBRD’s reserves.</w:t>
        <w:br/>
        <w:t>IBRD’s strong support of IDA is reflected in the $16.8 billion of cumulative income transfers it has made since</w:t>
        <w:br/>
        <w:t>IDA’s first replenishment.</w:t>
        <w:br/>
        <w:t>Annual IDA transfer recommendations are subject to approval by the Governors as part of the net income allocation</w:t>
        <w:br/>
        <w:t>process in accordance with IBRD’s Articles. In making their decisions, Governors will continue to take the overall</w:t>
        <w:br/>
        <w:t>financial standing of IBRD into consideration.</w:t>
        <w:br/>
        <w:t>Allocable income in FY24 was $1,849 million, and out of this, the Board approved the allocation of $834 million to</w:t>
        <w:br/>
        <w:t>the General Reserve on August 6, 2024, and the Board recommended to IBRD’s Governors a transfer of $515</w:t>
        <w:br/>
        <w:t>million to IDA and $500 million to Surplus.</w:t>
        <w:br/>
        <w:t>Figure 10: FY24 Allocable Income and Income Allocation</w:t>
        <w:br/>
        <w:t>In millions of U.S. dollars</w:t>
        <w:br/>
        <w:br/>
        <w:br/>
        <w:t xml:space="preserve">                                                      Allocable Income</w:t>
        <w:br/>
        <w:t xml:space="preserve">    Income                                                 $1,849</w:t>
        <w:br/>
        <w:br/>
        <w:br/>
        <w:t xml:space="preserve">                     Transfer to IDA                      General Reserve                   Surplus</w:t>
        <w:br/>
        <w:t xml:space="preserve"> Allocation              $515                                  $834                          $500</w:t>
        <w:br/>
        <w:br/>
        <w:br/>
        <w:t xml:space="preserve">              —                        500                 1,000                    1,500                   2,000</w:t>
        <w:br/>
        <w:br/>
        <w:br/>
        <w:t>In addition, on July 31, 2024, the Board approved a recommendation to IBRD's Governors for a transfer of $100</w:t>
        <w:br/>
        <w:t>million from Surplus available as of June 30, 2024, to the Trust Fund for Gaza and the West Bank.</w:t>
        <w:br/>
        <w:br/>
        <w:br/>
        <w:t>20  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Management’s Discussion and Analysis             Section IV: Lending Activities</w:t>
        <w:br/>
        <w:br/>
        <w:br/>
        <w:t>Section IV: Lending Activities</w:t>
        <w:br/>
        <w:t>IBRD provides financing instruments and knowledge services to middle-income and creditworthy low-income</w:t>
        <w:br/>
        <w:t>countries, while ensuring that social, environmental, and governance considerations are taken into account. Country</w:t>
        <w:br/>
        <w:t>teams with an understanding of each country’s circumstances work with clients to tailor the mix of instruments,</w:t>
        <w:br/>
        <w:t>products, and services.</w:t>
        <w:br/>
        <w:t>Engagement with borrowing members is increasingly aligned with IBRD’s strategic priorities. IBRD remains</w:t>
        <w:br/>
        <w:t>focused on countries' priorities while also taking into consideration its corporate priorities, including engagements</w:t>
        <w:br/>
        <w:t>that address global challenges.</w:t>
        <w:br/>
        <w:t>Projects and programs supported by IBRD are designed to achieve a positive social impact and undergo a rigorous</w:t>
        <w:br/>
        <w:t>review and internal approval process, aimed at safeguarding equitable and sustainable economic growth, that</w:t>
        <w:br/>
        <w:t>includes early screening to identify environmental and social impacts and designing mitigation actions. From July 1,</w:t>
        <w:br/>
        <w:t>2023, new financing and guarantees provided by IBRD are being assessed against the objectives of the Paris</w:t>
        <w:br/>
        <w:t>Agreement and a country's pathway towards low greenhouse gas emissions and climate-resilient development.</w:t>
        <w:br/>
        <w:t>Financing cycles involve identifying and appraising a project and approving and disbursing the funds. In response to</w:t>
        <w:br/>
        <w:t>emergency situations, such as natural disasters and crises, IBRD is able to accelerate the preparation and approval</w:t>
        <w:br/>
        <w:t>cycle.</w:t>
        <w:br/>
        <w:t>Loan disbursements must meet the requirements set out in loan agreements. During implementation of IBRD-</w:t>
        <w:br/>
        <w:t>supported operations, IBRD’s staff review progress, monitor compliance with IBRD policies, and help resolve any</w:t>
        <w:br/>
        <w:t>problems that may arise. The Independent Evaluation Group, an IBRD unit whose Director General reports to the</w:t>
        <w:br/>
        <w:t>Board, evaluates the extent to which operations have met their development objectives.</w:t>
        <w:br/>
        <w:t>All IBRD loans, are made to, or guaranteed by, member countries. IBRD may also make loans to IFC without any</w:t>
        <w:br/>
        <w:t>guarantee. In most cases, IBRD’s Board approves each loan and guarantee after appraisal of a project by staff.</w:t>
        <w:br/>
        <w:t>Under the Multiphase Programmatic Approach, the Board may approve an overall program framework, its financing</w:t>
        <w:br/>
        <w:t>envelope and the first appraised phase, and then authorize Management to appraise and commit financing for later</w:t>
        <w:br/>
        <w:t>program phases.</w:t>
        <w:br/>
        <w:t>For FY25, eligible countries with 2023 per capita Gross National Income (GNI) of more than $1,335 are eligible for</w:t>
        <w:br/>
        <w:t>new lending from IBRD.</w:t>
        <w:br/>
        <w:t>Net Lending Commitments and Gross Disbursements</w:t>
        <w:br/>
        <w:t>IBRD provided $37.6 billion of new net loan commitments in FY24, through 126 operations (including blend</w:t>
        <w:br/>
        <w:t>operations), a decrease of $1.0 billion (3%) compared to FY23.</w:t>
        <w:br/>
        <w:br/>
        <w:t>Table 9: Net Commitments by Region</w:t>
        <w:br/>
        <w:t>In millions of U.S. dollars</w:t>
        <w:br/>
        <w:t>For the fiscal year ended June 30,               2024     % of total            2023        % of total      Variance</w:t>
        <w:br/>
        <w:t>Eastern and Southern Africa            $        2,914             8% $         2,364             6% $            550</w:t>
        <w:br/>
        <w:t>Western and Central Africa                      1,725             5              564             2            1,161</w:t>
        <w:br/>
        <w:t>East Asia and Pacific                           6,788            18            6,636            17               152</w:t>
        <w:br/>
        <w:t>Europe and Central Asia                         9,302            25           10,162            26              (860)</w:t>
        <w:br/>
        <w:t>Latin America and the Caribbean                 9,463            25            9,828            26              (365)</w:t>
        <w:br/>
        <w:t>Middle East and North Africa                    4,233            11            4,697            12              (464)</w:t>
        <w:br/>
        <w:t>South Asia                                      3,143             8            4,321            11            (1,178)</w:t>
        <w:br/>
        <w:t>Total                                  $       37,568           100 % $       38,572           100 % $        (1,004)</w:t>
        <w:br/>
        <w:br/>
        <w:br/>
        <w:t xml:space="preserve">                                           IBRD Management's Discussion and Analysis: June 30, 2024              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Management’s Discussion and Analysis                         Section IV: Lending Activities</w:t>
        <w:br/>
        <w:br/>
        <w:br/>
        <w:t>Table 10: Gross Disbursements by Region</w:t>
        <w:br/>
        <w:t>In millions of U.S. dollars</w:t>
        <w:br/>
        <w:t>For the fiscal year ended June 30,                            2024        % of total         2023   % of total   Variance</w:t>
        <w:br/>
        <w:t>Eastern and Southern Africa                      $           3,126                 9% $     1,690         7% $      1,436</w:t>
        <w:br/>
        <w:t>Western and Central Africa                                     240                 1          161         1            79</w:t>
        <w:br/>
        <w:t>East Asia and Pacific                                        5,492                16        4,350       17          1,142</w:t>
        <w:br/>
        <w:t>Europe and Central Asia                                     10,574                32        4,833       19          5,741</w:t>
        <w:br/>
        <w:t>Latin America and the Caribbean                              6,305                19        8,216       32         (1,911)</w:t>
        <w:br/>
        <w:t>Middle East and North Africa                                 3,332                10        2,964       11            368</w:t>
        <w:br/>
        <w:t>South Asia                                                   4,381                13        3,290       13          1,091</w:t>
        <w:br/>
        <w:t>Total                                            $          33,450               100 % $   25,504      100 % $      7,946</w:t>
        <w:br/>
        <w:br/>
        <w:br/>
        <w:t>Lending Categories</w:t>
        <w:br/>
        <w:t>IBRD’s lending is classified in three categories: investment project financing, development policy financing, and</w:t>
        <w:br/>
        <w:t>program-for-results (Figure 11).</w:t>
        <w:br/>
        <w:t>Investment Project Financing (IPF)</w:t>
        <w:br/>
        <w:t>IPF provides financing for a wide range of activities aimed at creating the physical and social infrastructure</w:t>
        <w:br/>
        <w:t>necessary to reduce poverty and create sustainable development. IPF generally disburses over 5 to 10-years. FY24</w:t>
        <w:br/>
        <w:t>net IPF commitments were $14.6 billion, compared with $17.4 billion in FY23.</w:t>
        <w:br/>
        <w:t>Development Policy Financing (DPF)</w:t>
        <w:br/>
        <w:t>DPF aims to support borrowers in achieving sustainable development through a program of policy and institutional</w:t>
        <w:br/>
        <w:t>actions. Examples of DPF projects include strengthening public financial management, improving the investment</w:t>
        <w:br/>
        <w:t>climate, addressing bottlenecks to improve service delivery, and diversifying the economy. DPF supports reforms</w:t>
        <w:br/>
        <w:t>through non-earmarked general budget financing. DPF provides fast-disbursing financing to help borrowers address</w:t>
        <w:br/>
        <w:t>actual or anticipated financing requirements. FY24 net DPF commitments were $15.9 billion, compared with $14.0</w:t>
        <w:br/>
        <w:t>billion in FY23.</w:t>
        <w:br/>
        <w:t>Program-for-Results (PforR)</w:t>
        <w:br/>
        <w:t>PforR helps countries improve the design and implementation of their development programs and achieve specific</w:t>
        <w:br/>
        <w:t>results by strengthening institutions and building capacity. PforR disburses when agreed results are achieved and</w:t>
        <w:br/>
        <w:t>verified. Results are identified and agreed upon during the loan preparation stage. FY24 net PforR commitments</w:t>
        <w:br/>
        <w:t>were $7.1 billion, compared with $7.2 billion in FY23.</w:t>
        <w:br/>
        <w:t>Figure 11: Percentage Share of Lending Categories for Annual Net Commitments</w:t>
        <w:br/>
        <w:t>In billions of U.S. dollars, except rates in percentages</w:t>
        <w:br/>
        <w:t xml:space="preserve">                $28.0           $30.5          $33.1           $38.6            $37.6</w:t>
        <w:br/>
        <w:t xml:space="preserve">  100%</w:t>
        <w:br/>
        <w:t xml:space="preserve">                 10%            17%             18%             19%              19%</w:t>
        <w:br/>
        <w:t xml:space="preserve">     80%</w:t>
        <w:br/>
        <w:t xml:space="preserve">                 36%</w:t>
        <w:br/>
        <w:t xml:space="preserve">                                35%             40%             36%</w:t>
        <w:br/>
        <w:t xml:space="preserve">     60%                                                                         42%</w:t>
        <w:br/>
        <w:br/>
        <w:t xml:space="preserve">     40%</w:t>
        <w:br/>
        <w:t xml:space="preserve">                 54%            48%</w:t>
        <w:br/>
        <w:t xml:space="preserve">     20%                                        42%             45%              39%</w:t>
        <w:br/>
        <w:br/>
        <w:t xml:space="preserve">     0%</w:t>
        <w:br/>
        <w:t xml:space="preserve">                 FY20           FY21            FY22            FY23            FY24</w:t>
        <w:br/>
        <w:br/>
        <w:t xml:space="preserve">           Investment Project          Development Policy            Program-for-Results</w:t>
        <w:br/>
        <w:br/>
        <w:br/>
        <w:t>22   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Management’s Discussion and Analysis                     Section IV: Lending Activities</w:t>
        <w:br/>
        <w:br/>
        <w:br/>
        <w:t>Currently Available Lending Products</w:t>
        <w:br/>
        <w:t>As of June 30, 2024, 84 member countries were eligible to borrow from IBRD. See Appendix for a list of eligible</w:t>
        <w:br/>
        <w:t>countries.</w:t>
        <w:br/>
        <w:t>IBRD Flexible Loans (IFLs)</w:t>
        <w:br/>
        <w:t>IFLs allow borrowers to customize their repayment terms (i.e., grace period, repayment period, and amortization</w:t>
        <w:br/>
        <w:t>profile) to meet their debt management or project needs. The IFL previously offered two types of loan terms:</w:t>
        <w:br/>
        <w:t>variable-spread terms and fixed-spread terms. Effective April 1, 2021, IBRD’s offering of loans on fixed spread</w:t>
        <w:br/>
        <w:t>terms as well as a related conversion feature from the variable spread terms to fixed spread terms was suspended</w:t>
        <w:br/>
        <w:t>(see section IX: Risk Management). As of June 30, 2024, 76% of IBRD’s loans outstanding carried variable-spread</w:t>
        <w:br/>
        <w:t>terms and 24% had fixed-spread terms. See Table 13 for details of loan terms for IFL loans.</w:t>
        <w:br/>
        <w:t>IFLs include options to manage the currency and/or interest rate risk over the life of the loan. The outstanding</w:t>
        <w:br/>
        <w:t>balance of loans for which currency or interest rate conversions have been exercised was $52.7 billion as of June 30,</w:t>
        <w:br/>
        <w:t>2024 and $41.7 billion as of June 30, 2023. IFLs may be denominated in the currency or currencies chosen by the</w:t>
        <w:br/>
        <w:t>borrower if IBRD can efficiently intermediate in that currency. Using currency conversions, some borrowing</w:t>
        <w:br/>
        <w:t>member countries have converted their IBRD loans into domestic currencies to reduce their foreign currency</w:t>
        <w:br/>
        <w:t>exposure for projects or programs that do not generate foreign currency revenue. These local currency loans may</w:t>
        <w:br/>
        <w:t>carry fixed or variable-spread terms. The balance of local currency loans outstanding was $3.2 billion as of June 30,</w:t>
        <w:br/>
        <w:t>2024 and $3.4 billion as of June 30, 2023, respectively. Box 1 below shows the components of the spread on</w:t>
        <w:br/>
        <w:t>IBRD’s IFLs and how these are determined.</w:t>
        <w:br/>
        <w:t>Box 1: Components of Loan spread</w:t>
        <w:br/>
        <w:t xml:space="preserve">            Contractual lending spread</w:t>
        <w:br/>
        <w:t xml:space="preserve">                                                                          Subject to the Board's periodic review</w:t>
        <w:br/>
        <w:t xml:space="preserve">                Maturity Premium</w:t>
        <w:br/>
        <w:t xml:space="preserve">             Market Risk Premium a</w:t>
        <w:br/>
        <w:t xml:space="preserve">                                                                                    Set by Management</w:t>
        <w:br/>
        <w:t xml:space="preserve">              Funding Cost Margin</w:t>
        <w:br/>
        <w:t>a. This is only applicable to fixed spread loans which are not currently offered.</w:t>
        <w:br/>
        <w:br/>
        <w:t>The ability to offer long-term financing distinguishes development banks from other sources of funding for member</w:t>
        <w:br/>
        <w:t>countries. Since IBRD introduced maturity-based pricing in 2010, most countries continue to choose loans with the</w:t>
        <w:br/>
        <w:t>longer maturities with a higher maturity premium, highlighting the value of longer maturities to member countries.</w:t>
        <w:br/>
        <w:br/>
        <w:t>Table 11: Net Commitments by Maturity</w:t>
        <w:br/>
        <w:t>In millions of U.S. dollars</w:t>
        <w:br/>
        <w:t xml:space="preserve">                                                                                      For the fiscal year         For the fiscal year</w:t>
        <w:br/>
        <w:t>Maturity</w:t>
        <w:br/>
        <w:t xml:space="preserve">                                                                                     ended June 30, 2024         ended June 30, 2023</w:t>
        <w:br/>
        <w:t>&lt; 8 years                                                                           $                1,477   $                  5,838</w:t>
        <w:br/>
        <w:t>8-10 years                                                                                           7,498                      4,251</w:t>
        <w:br/>
        <w:t>10-12 years                                                                                          7,020                     14,898</w:t>
        <w:br/>
        <w:t>12-15 years                                                                                          4,425                      4,388</w:t>
        <w:br/>
        <w:t>15-18 years                                                                                          4,086                      2,559</w:t>
        <w:br/>
        <w:t>&gt;18 years                                                                                           12,395                      6,597</w:t>
        <w:br/>
        <w:t>Guarantee Commitments                                                                                  667                         41</w:t>
        <w:br/>
        <w:t>Total Net Commitments                                                               $               37,568   $                 38,572</w:t>
        <w:br/>
        <w:br/>
        <w:br/>
        <w:t xml:space="preserve">                                               IBRD Management's Discussion and Analysis: June 30, 2024                            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Management’s Discussion and Analysis                  Section IV: Lending Activities</w:t>
        <w:br/>
        <w:br/>
        <w:br/>
        <w:t>Other Lending Products Currently Available</w:t>
        <w:br/>
        <w:t>In addition to IFLs, IBRD offers loans with a deferred drawdown option, Special Development Policy Loans</w:t>
        <w:br/>
        <w:t>(SDPLs), loan-related derivatives, and loans to IFC (Box 2).</w:t>
        <w:br/>
        <w:t>Box 2: Other Lending Products as of June 30, 2024</w:t>
        <w:br/>
        <w:t>Lending Product          Description</w:t>
        <w:br/>
        <w:t xml:space="preserve">                      The Development Policy Loan Deferred Drawdown Option (DPL DDO) gives borrowers the flexibility to</w:t>
        <w:br/>
        <w:t xml:space="preserve">                      rapidly obtain the financing they require. For example, such funds could be needed owing to a shortfall</w:t>
        <w:br/>
        <w:t xml:space="preserve">                      in resources caused by unfavorable economic events, such as declines in growth or unfavorable shifts</w:t>
        <w:br/>
        <w:t xml:space="preserve">                      in commodity prices or terms of trade. The Catastrophe Risk DDO (CAT DDO) enables borrowers to</w:t>
        <w:br/>
        <w:t xml:space="preserve">                      access immediate funding to respond rapidly in the wake of a natural disaster. The Investment Project</w:t>
        <w:br/>
        <w:t>Loans with a Deferred Financing DDO (IPF DDO) provides clients with contingent financing for specific investment project</w:t>
        <w:br/>
        <w:t>Drawdown Option       expenditures to increase financial preparedness for certain crisis response needs. Under the DPL DDO,</w:t>
        <w:br/>
        <w:t xml:space="preserve">                      borrowers may defer disbursement for up to three years, renewable for an additional three years. Under</w:t>
        <w:br/>
        <w:t xml:space="preserve">                      the IPF DDO, borrowers may defer disbursement for up to five years, renewable for an additional three</w:t>
        <w:br/>
        <w:t xml:space="preserve">                      years. The CAT DDO has a revolving feature and the three-year drawdown period may be renewed up</w:t>
        <w:br/>
        <w:t xml:space="preserve">                      to four times, for a total maximum drawdown period of 15 years (Table 13). As of June 30, 2024, the</w:t>
        <w:br/>
        <w:t xml:space="preserve">                      amount of DDOs disbursed and outstanding was $9.5 billion (compared to $9.3 billion on June 30,</w:t>
        <w:br/>
        <w:t xml:space="preserve">                      2023), and the undisbursed amount of effective DDOs was $0.5 billion, compared to $0.1 billion a year</w:t>
        <w:br/>
        <w:t xml:space="preserve">                      earlier.</w:t>
        <w:br/>
        <w:br/>
        <w:t>Special Development      SDPLs support structural and social reforms by creditworthy borrowers that face a possible global</w:t>
        <w:br/>
        <w:t>Policy Loans (SDPLs)     financial crisis or are already in a crisis and have extraordinary and urgent external financing needs.</w:t>
        <w:br/>
        <w:t xml:space="preserve">                         There were no amounts outstanding as of June 30, 2024 and June 30, 2023. IBRD made no new SDPL</w:t>
        <w:br/>
        <w:t xml:space="preserve">                         commitments in either FY24 or FY23.</w:t>
        <w:br/>
        <w:br/>
        <w:t xml:space="preserve">                         IBRD assists its borrowers with access to better risk management tools by offering derivative</w:t>
        <w:br/>
        <w:t xml:space="preserve">                         instruments, including currency and interest rate swaps and interest rate caps and collars, associated</w:t>
        <w:br/>
        <w:t xml:space="preserve">                         with their loans. These instruments may be executed either under a master derivatives agreement,</w:t>
        <w:br/>
        <w:t>Loan-Related</w:t>
        <w:br/>
        <w:t xml:space="preserve">                         which substantially conforms to industry standards, or under individually negotiated agreements. Under</w:t>
        <w:br/>
        <w:t>Derivatives</w:t>
        <w:br/>
        <w:t xml:space="preserve">                         these arrangements, IBRD passes through the market cost of these instruments to its borrowers. The</w:t>
        <w:br/>
        <w:t xml:space="preserve">                         balance of loans outstanding for which borrowers had entered into currency or interest rate derivative</w:t>
        <w:br/>
        <w:t xml:space="preserve">                         transactions under a master derivatives agreement with IBRD was $8.9 billion as of June 30, 2024 and</w:t>
        <w:br/>
        <w:t xml:space="preserve">                         $9.0 billion as of June 30, 2023.</w:t>
        <w:br/>
        <w:t xml:space="preserve">                         IBRD provides loans to IFC in connection with the release of a member's National Currency Paid-In</w:t>
        <w:br/>
        <w:t xml:space="preserve"> Loans with IFC</w:t>
        <w:br/>
        <w:t xml:space="preserve">                         Capital (NCPIC) to IBRD. (See Section VIII for explanation of NCPIC). There were no loans</w:t>
        <w:br/>
        <w:t xml:space="preserve">                         outstanding as of June 30, 2024 and June 30, 2023.</w:t>
        <w:br/>
        <w:br/>
        <w:br/>
        <w:t>Lending Terms Applicable to IBRD Products</w:t>
        <w:br/>
        <w:t>The current pricing structure classifies member countries into four pricing groups, based on income and other</w:t>
        <w:br/>
        <w:t>factors, and relates the maturity premium to the exemptions, discounts or surcharges applicable to each pricing</w:t>
        <w:br/>
        <w:t>group (Table 12).</w:t>
        <w:br/>
        <w:t>Table 12: Country Pricing Group and Maturity Premium (in basis points)</w:t>
        <w:br/>
        <w:t xml:space="preserve">                                                                                                                      Maturity</w:t>
        <w:br/>
        <w:t>Country pricing group                                            Description                                         Premium a</w:t>
        <w:br/>
        <w:br/>
        <w:t xml:space="preserve">          A               Blends b, small states, countries in fragile and conflict-affected situations (FCS) and      0-50 c</w:t>
        <w:br/>
        <w:t xml:space="preserve">                          recent IDA graduates. These countries are exempt from the maturity premium increase</w:t>
        <w:br/>
        <w:t xml:space="preserve">                          regardless of their income levels.</w:t>
        <w:br/>
        <w:t xml:space="preserve">          B               Countries below-GDI which do not qualify for an exemption listed in Group A.                  0-70</w:t>
        <w:br/>
        <w:t xml:space="preserve">                             Countries above-GDI, but below high-income status and which do not qualify for an</w:t>
        <w:br/>
        <w:t xml:space="preserve">           C                 exemption listed in Group A.                                                                0-90</w:t>
        <w:br/>
        <w:t xml:space="preserve">                             Countries with high income status and which do not qualify for an exemption listed in</w:t>
        <w:br/>
        <w:t xml:space="preserve">           D                                                                                                            5-115</w:t>
        <w:br/>
        <w:t xml:space="preserve">                             Group A.</w:t>
        <w:br/>
        <w:t>a. Based on the weighted average maturity of the loan, borrower’s income, and other factors, approved by the Board and reviewed</w:t>
        <w:br/>
        <w:t xml:space="preserve">   annually.</w:t>
        <w:br/>
        <w:t>b. Countries eligible for IDA and IBRD loans.</w:t>
        <w:br/>
        <w:t>c. Member countries in group A are exempt from the maturity premium increase applicable from July 1, 2018.</w:t>
        <w:br/>
        <w:br/>
        <w:br/>
        <w:t>24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Management’s Discussion and Analysis                      Section IV: Lending Activities</w:t>
        <w:br/>
        <w:br/>
        <w:br/>
        <w:t>Table 13: Loan Terms Available During Fiscal Year Ended June 30, 2024</w:t>
        <w:br/>
        <w:t>Basis points, unless otherwise noted</w:t>
        <w:br/>
        <w:t xml:space="preserve">                                                                   IBRD Flexible Loan (IFL) a b         Special Development Policy Loans</w:t>
        <w:br/>
        <w:t xml:space="preserve">                                                                     Variable-spread Terms                           (SDPL)</w:t>
        <w:br/>
        <w:t>Final maturity                                                             35 years c                               10 years</w:t>
        <w:br/>
        <w:t>Maximum weighted average maturity                                          20 years c                              7.5 years</w:t>
        <w:br/>
        <w:t>Reference market rate                                            Market-based variable rate index        Market-based variable rate index</w:t>
        <w:br/>
        <w:t>Spread</w:t>
        <w:br/>
        <w:t xml:space="preserve">   Contractual lending spread                                                    50                                   min. 200</w:t>
        <w:br/>
        <w:t xml:space="preserve">   Maturity premium                                                            0-115 d                                   —</w:t>
        <w:br/>
        <w:t xml:space="preserve">                                                                    Actual average funding cost</w:t>
        <w:br/>
        <w:t xml:space="preserve">       Funding cost margin                                       incurred during the preceding six-</w:t>
        <w:br/>
        <w:t xml:space="preserve">                                                                           month period                                  —</w:t>
        <w:br/>
        <w:t>Charges</w:t>
        <w:br/>
        <w:t xml:space="preserve">   Front-end fee                                                                 25                                     100</w:t>
        <w:br/>
        <w:t xml:space="preserve">       Late service charge on principal payments received</w:t>
        <w:br/>
        <w:t xml:space="preserve">       after 30 days of due date e                                               50                                      —</w:t>
        <w:br/>
        <w:t xml:space="preserve">       Commitment Fee f g                                                        25                                      25</w:t>
        <w:br/>
        <w:br/>
        <w:t xml:space="preserve">                                                               Development Policy Loan                         Catastrophe Risk</w:t>
        <w:br/>
        <w:t xml:space="preserve">                                                              Deferred Drawdown Option                    Deferred Drawdown Option</w:t>
        <w:br/>
        <w:t>Reference market rate                                       Market-based variable rate index          Market-based variable rate index</w:t>
        <w:br/>
        <w:t>Contractual lending spread                                               IFL variable in effect at the time of withdrawal</w:t>
        <w:br/>
        <w:t>Front-end fee                                                             25                                         50 h</w:t>
        <w:br/>
        <w:t>Renewal fee                                                               —                                           25</w:t>
        <w:br/>
        <w:t>Stand-by fee                                                             50 f                     g</w:t>
        <w:br/>
        <w:t xml:space="preserve">                                                                                                                      —</w:t>
        <w:br/>
        <w:br/>
        <w:t>a. There is an implicit floor of zero on the overall interest rate in IBRD’s loans.</w:t>
        <w:br/>
        <w:t>b. Effective April 1, 2021, IBRD suspended offering loans with fixed spread terms.</w:t>
        <w:br/>
        <w:t>c. For some projects addressing global challenges with cross border externalities, the maximum loan maturity is extended to up to</w:t>
        <w:br/>
        <w:t xml:space="preserve">   50 years and the maximum weighted average maturity is extended to up to 25 years.</w:t>
        <w:br/>
        <w:t>d. Based on the weighted average maturity of the loan and on country pricing group.</w:t>
        <w:br/>
        <w:t>e. See Box 6 in Section IX for a discussion of overdue payments.</w:t>
        <w:br/>
        <w:t>f. Certain waivers of commitment / stand-by fees payable during the first year of financing for health-related COVID-19 operations</w:t>
        <w:br/>
        <w:t xml:space="preserve">   are approved under the Fast Track COVID-19 Facility.</w:t>
        <w:br/>
        <w:t>g. For operations approved under the Additional Financing to the COVID-19 Strategic Preparedness and Response Program</w:t>
        <w:br/>
        <w:t xml:space="preserve">   (SPRP), the commitment fee is waived for a period of up to 18 months starting from the date of approval of the relevant</w:t>
        <w:br/>
        <w:t xml:space="preserve">   operation.</w:t>
        <w:br/>
        <w:t>h. For CAT-DDOs approved under the Fast Track COVID-19 Facility, the Front-End Fee is reduced to 25bps.</w:t>
        <w:br/>
        <w:br/>
        <w:t>IBRD now offers a climate resilient debt clause (CRDCs) for eligible new and existing loans (with minimum</w:t>
        <w:br/>
        <w:t>remaining maturity of five years), for certain borrowers3. CRDCs allow eligible borrowing countries to defer</w:t>
        <w:br/>
        <w:t>payments of principal, interest or charges for up to two years after a qualifying natural disaster. After the deferral</w:t>
        <w:br/>
        <w:t>period, the borrower will restart payments of the deferred amounts according to a modified amortization schedule</w:t>
        <w:br/>
        <w:t>that maintains the average weighted maturity of the loan, and does not extend the final maturity date.</w:t>
        <w:br/>
        <w:br/>
        <w:t>Discontinued Lending Products</w:t>
        <w:br/>
        <w:t>IBRD’s loan portfolio includes lending products whose terms are no longer available for new commitments. These</w:t>
        <w:br/>
        <w:t>products include currency pool loans and fixed-rate single-currency loans. As of June 30, 2024, loans outstanding of</w:t>
        <w:br/>
        <w:t>$445 million (0.2% of the portfolio) carried terms no longer offered, with final maturity in May 2026.</w:t>
        <w:br/>
        <w:br/>
        <w:br/>
        <w:t>3</w:t>
        <w:br/>
        <w:t xml:space="preserve">    Eligible borrowers are IBRD Small State Economies, members of the Small States Forum, and Small Island Developing States as defined by the</w:t>
        <w:br/>
        <w:t xml:space="preserve">    United Nations.</w:t>
        <w:br/>
        <w:br/>
        <w:br/>
        <w:t xml:space="preserve">                                                   IBRD Management's Discussion and Analysis: June 30, 2024                              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Management’s Discussion and Analysis                        Section IV: Lending Activities</w:t>
        <w:br/>
        <w:br/>
        <w:br/>
        <w:t>Waivers</w:t>
        <w:br/>
        <w:t>Loan terms offered prior to September 28, 2007 included a partial waiver of interest and commitment charges on</w:t>
        <w:br/>
        <w:t>eligible loans, which were approved by the Board on annual basis until FY23. In FY23, the Board approved that in</w:t>
        <w:br/>
        <w:t>view of the small residual balance in these loans, the same waiver rates apply on all future payments for all eligible</w:t>
        <w:br/>
        <w:t>loans without recurring annual Board approval. The foregone income in FY24 due to such approved waivers was $9</w:t>
        <w:br/>
        <w:t>million (FY23: $16 million).</w:t>
        <w:br/>
        <w:t>Figure 12 illustrates a breakdown of IBRD’s undisbursed balances by financial loan terms. As of June 30, 2024,</w:t>
        <w:br/>
        <w:t>80% of loans outstanding were denominated in U.S. dollars, 18% were denominated in euros and 2% were</w:t>
        <w:br/>
        <w:t>denominated in other currencies, before the use of derivatives. The interest and currency profile of loans outstanding</w:t>
        <w:br/>
        <w:t>after the use of derivatives for risk management purposes is discussed under Market Risk in Section IX.</w:t>
        <w:br/>
        <w:br/>
        <w:t>Table 14: Loans outstanding by interest rate structure, excluding derivatives</w:t>
        <w:br/>
        <w:t>In millions of U.S. dollars, except for ratios</w:t>
        <w:br/>
        <w:t xml:space="preserve">                          June 30, 2024                                                      June 30, 2023</w:t>
        <w:br/>
        <w:t xml:space="preserve">                                    Of which                                                          Of which</w:t>
        <w:br/>
        <w:t xml:space="preserve">  Product                  % of                              % of      Product               % of                             % of</w:t>
        <w:br/>
        <w:t xml:space="preserve">                Total               reference      Total                           Total              reference     Total</w:t>
        <w:br/>
        <w:t xml:space="preserve">   terms                   Total                             Total      terms                Total                            Total</w:t>
        <w:br/>
        <w:t xml:space="preserve">                                      rate is                                                           rate is</w:t>
        <w:br/>
        <w:t>Fixed                                                               Fixed</w:t>
        <w:br/>
        <w:t>Spread       $ 63,170       24 % Fixed           $ 31,110      12 % Spread       $ 65,340     27 % Fixed          $ 32,678      14 %</w:t>
        <w:br/>
        <w:t>Loans                                                               Loans</w:t>
        <w:br/>
        <w:t xml:space="preserve">                                   Variable        32,060      12                                    Variable       32,662      13</w:t>
        <w:br/>
        <w:t>Variable                                                              Variable</w:t>
        <w:br/>
        <w:t>Spread         200,020      76     Fixed           20,362       8     Spread      178,556     73     Fixed            7,770     3</w:t>
        <w:br/>
        <w:t>Loans                                                                 Loans</w:t>
        <w:br/>
        <w:t xml:space="preserve">                                   Variable        179,658     68                                    Variable       170,786    70</w:t>
        <w:br/>
        <w:t>Total        $ 263,190     100 %                 $ 263,190    100 %              $ 243,896   100 %                $ 243,896   100 %</w:t>
        <w:br/>
        <w:br/>
        <w:br/>
        <w:t>Figure 12: Undisbursed Balances by Loan Terms</w:t>
        <w:br/>
        <w:t>In millions of U.S. dollars, except for ratios</w:t>
        <w:br/>
        <w:br/>
        <w:br/>
        <w:t xml:space="preserve">                           June 30, 2024                                                     June 30, 2023</w:t>
        <w:br/>
        <w:br/>
        <w:br/>
        <w:t xml:space="preserve">        Fixed</w:t>
        <w:br/>
        <w:t xml:space="preserve">                                                                          Fixed</w:t>
        <w:br/>
        <w:t xml:space="preserve">        Spread</w:t>
        <w:br/>
        <w:t xml:space="preserve">                                                                          Spread</w:t>
        <w:br/>
        <w:t xml:space="preserve">        terms, 9%</w:t>
        <w:br/>
        <w:t xml:space="preserve">                                                                          terms, 12%</w:t>
        <w:br/>
        <w:t xml:space="preserve">                              $85,058                                                              $85,112</w:t>
        <w:br/>
        <w:t xml:space="preserve">                                                   Variable                                                        Variable</w:t>
        <w:br/>
        <w:t xml:space="preserve">                                                   Spread                                                          Spread</w:t>
        <w:br/>
        <w:t xml:space="preserve">                                                   terms, 91%                                                      terms, 88%</w:t>
        <w:br/>
        <w:br/>
        <w:br/>
        <w:t>26   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Section V: Other Development Activities</w:t>
        <w:br/>
        <w:br/>
        <w:br/>
        <w:t>Section V: Other Development Activities</w:t>
        <w:br/>
        <w:t>IBRD continues to deliver value to its client countries through its knowledge services, convening power, and</w:t>
        <w:br/>
        <w:t>capacity to implement solutions that address global issues where coordinated action is critical.</w:t>
        <w:br/>
        <w:t>IBRD also assists clients with designing financial products and structuring transactions to help mobilize resources</w:t>
        <w:br/>
        <w:t>for development projects and mitigate the financial effects of market volatility and disasters.</w:t>
        <w:br/>
        <w:t>Other financial products and services provided to borrowing member countries, and to affiliated and non-affiliated</w:t>
        <w:br/>
        <w:t>organizations, include financial guarantees, grants, externally-funded activities, and advisory services and analytics.</w:t>
        <w:br/>
        <w:t>Guarantees</w:t>
        <w:br/>
        <w:t>IBRD offers project-based and policy-based guarantees for priority projects and programs in member countries.</w:t>
        <w:br/>
        <w:t>IBRD also offers guarantees for enclave operations. Project-based guarantees are provided to mobilize private</w:t>
        <w:br/>
        <w:t>financing for projects; they are also used to mitigate projects’ payment- and performance-related risks. Policy-based</w:t>
        <w:br/>
        <w:t>guarantees are provided to mobilize private financing for sovereigns or sub- sovereigns. IBRD’s guarantees are</w:t>
        <w:br/>
        <w:t>partial and are intended to provide only the coverage necessary to obtain the required private financing, considering</w:t>
        <w:br/>
        <w:t>country, market and, if appropriate, project circumstances. All guarantees require a sovereign counter-guarantee and</w:t>
        <w:br/>
        <w:t>indemnity, comparable to the requirement of a sovereign guarantee for IBRD lending to sub-sovereign and non-</w:t>
        <w:br/>
        <w:t>sovereign borrowers (Box 3). On July 1, 2024, the WBG Guarantee Platform, housed at MIGA, was launched to</w:t>
        <w:br/>
        <w:t>bring together products and experts from the World Bank, IFC, and MIGA and aims to boost WBG annual guarantee</w:t>
        <w:br/>
        <w:t>issuances for all entities.</w:t>
        <w:br/>
        <w:t>Box 3: Types of Guarantees Provided by IBRD</w:t>
        <w:br/>
        <w:t>Guarantee                Description</w:t>
        <w:br/>
        <w:t xml:space="preserve">                         Two types of project-based guarantees are offered:</w:t>
        <w:br/>
        <w:t xml:space="preserve">                          1. Loan guarantees: these cover loan-related debt service defaults caused by the government’s</w:t>
        <w:br/>
        <w:t xml:space="preserve">                              failure to meet specific payment and/or performance obligations arising from contract, law or</w:t>
        <w:br/>
        <w:t xml:space="preserve">                              regulation, in relation to a project. Loan guarantees include coverage for debt service defaults on:</w:t>
        <w:br/>
        <w:t xml:space="preserve">  Project-based               (i) commercial debt, normally for a private sector project where the cause of debt service default is</w:t>
        <w:br/>
        <w:t xml:space="preserve">  guarantees                  specifically covered by IBRD’s guarantee; and, (ii) a specific portion of commercial debt</w:t>
        <w:br/>
        <w:t xml:space="preserve">                              irrespective of the cause of such default, normally for a public-sector project.</w:t>
        <w:br/>
        <w:t xml:space="preserve">                          2.   Payment guarantees: These cover payment default on non-loan related government payment</w:t>
        <w:br/>
        <w:t xml:space="preserve">                               obligations to private entities and foreign public entities arising from contract, law or regulation.</w:t>
        <w:br/>
        <w:t xml:space="preserve">                         These cover debt service default, irrespective of the cause of such default, on a specific portion of</w:t>
        <w:br/>
        <w:t xml:space="preserve">  Policy-based           commercial debt owed by national or sub national government and associated with the supported</w:t>
        <w:br/>
        <w:t xml:space="preserve">  guarantees</w:t>
        <w:br/>
        <w:t xml:space="preserve">                         government’s program of policy and institutional actions.</w:t>
        <w:br/>
        <w:t xml:space="preserve">                         IBRD extends guarantees for projects in IDA-only member countries that (i) are expected to generate</w:t>
        <w:br/>
        <w:t xml:space="preserve">                         large economic benefits with significant developmental impact in the member country; and (ii) cannot be</w:t>
        <w:br/>
        <w:t xml:space="preserve">  Guarantees for</w:t>
        <w:br/>
        <w:t xml:space="preserve">                         fully financed out of the country’s own resources, IDA resources, or other concessional financing. The</w:t>
        <w:br/>
        <w:t xml:space="preserve">  enclave operations</w:t>
        <w:br/>
        <w:t xml:space="preserve">                         provision of IBRD support to enclave operations is subject to credit enhancement features that</w:t>
        <w:br/>
        <w:t xml:space="preserve">                         adequately mitigate IBRD’s credit risk.</w:t>
        <w:br/>
        <w:br/>
        <w:t>Table 15: Pricing for IBRD Project-Based and Policy-Based Guarantees</w:t>
        <w:br/>
        <w:t xml:space="preserve">                                                                                               Basis Points</w:t>
        <w:br/>
        <w:t>Charges for the fiscal year ended June 30,                                         2024                           2023</w:t>
        <w:br/>
        <w:t>Front-end fee                                                                       25                             25</w:t>
        <w:br/>
        <w:t>Processing fee a b                                                                Up to 50                       Up to 50</w:t>
        <w:br/>
        <w:t>Initiation fee c b                                                                  15                             15</w:t>
        <w:br/>
        <w:t>Standby fee                                                                         25                             25</w:t>
        <w:br/>
        <w:t>Guarantee fee d                                                                   50-165                         50-165</w:t>
        <w:br/>
        <w:t>a. Determined on a case by case basis. In exceptional cases, projects can be charged over 50 bps of the guarantee amount.</w:t>
        <w:br/>
        <w:t>b. Not applicable for public projects.</w:t>
        <w:br/>
        <w:t>c. The initiation fee is 15 basis points of the guaranteed amount or $100,000, whichever is greater.</w:t>
        <w:br/>
        <w:t>d. Based on the weighted average maturity of the guarantee and country pricing group.</w:t>
        <w:br/>
        <w:br/>
        <w:br/>
        <w:t xml:space="preserve">                                             IBRD Management's Discussion and Analysis: June 30, 2024                           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V: Other Development Activities</w:t>
        <w:br/>
        <w:br/>
        <w:br/>
        <w:t>IBRD’s exposure on its guarantees was $7.1 billion as of June 30, 2024 compared to $6.5 billion as of June 30, 2023</w:t>
        <w:br/>
        <w:t>(Table 16). Exposure is measured by discounting each guaranteed amount from its next call date.</w:t>
        <w:br/>
        <w:br/>
        <w:t>Table 16: Guarantees Exposure</w:t>
        <w:br/>
        <w:t>In million U.S. dollars</w:t>
        <w:br/>
        <w:t xml:space="preserve"> As of June 30,                                                                                   2024               2023</w:t>
        <w:br/>
        <w:t xml:space="preserve"> Guarantees (project, policy and enclave)                                               $         3,488 $            2,840</w:t>
        <w:br/>
        <w:t xml:space="preserve"> Exposure Exchange Agreements                                                                     3,609              3,619</w:t>
        <w:br/>
        <w:t xml:space="preserve"> Total                                                                                  $         7,097 $$7,097      6,459</w:t>
        <w:br/>
        <w:br/>
        <w:br/>
        <w:t>In addition, IBRD has entered into the following arrangements, which are treated as financial guarantees under U.S.</w:t>
        <w:br/>
        <w:t>GAAP:</w:t>
        <w:br/>
        <w:t>Exposure Exchange Agreements (EEA): IBRD has an exposure exchange agreement outstanding with MIGA under</w:t>
        <w:br/>
        <w:t>which IBRD and MIGA exchanged selected exposures through reciprocal guarantees, with each divesting itself of</w:t>
        <w:br/>
        <w:t>exposure in countries where their lending capacities are limited, in return for exposure in countries where they had</w:t>
        <w:br/>
        <w:t>excess lending capacity.</w:t>
        <w:br/>
        <w:t>IBRD also has a Multilateral Development Bank (MDB) EEA with the African Development Bank (AfDB) and the</w:t>
        <w:br/>
        <w:t>Inter-American Development Bank (IADB). Under this EEA, each MDB exchanged credit risk exposure of a</w:t>
        <w:br/>
        <w:t>reference portfolio supported by underlying loans to borrowing member countries. For each MDB, EEAs through</w:t>
        <w:br/>
        <w:t>diversification benefits, help reduce credit risk at the portfolio level; improve the risk-weighted capital ratios</w:t>
        <w:br/>
        <w:t>especially by addressing exposure concentration concerns; and create lending headroom for individual borrowing</w:t>
        <w:br/>
        <w:t>countries where MDBs may be constrained. The EEA involved the receipt of a guarantee and the provision of a</w:t>
        <w:br/>
        <w:t>guarantee against nonpayment in the reference portfolio by each MDB to the other. The guarantee received and the</w:t>
        <w:br/>
        <w:t>guarantee provided are two separate transactions: (a) a receipt of an asset for the right to be indemnified and receive</w:t>
        <w:br/>
        <w:t>risk coverage (recoverable asset) and (b) the provision of a financial guarantee, respectively (see Notes to the</w:t>
        <w:br/>
        <w:t>Financial Statements, Note D: Loans and Other Exposures).</w:t>
        <w:br/>
        <w:br/>
        <w:t>Table 17: Exposure Exchange Agreements</w:t>
        <w:br/>
        <w:t>In millions of U.S. dollars</w:t>
        <w:br/>
        <w:t>As of June 30,                                                     2024                                 2023</w:t>
        <w:br/>
        <w:t xml:space="preserve">                                                       Guarantee          Guarantee         Guarantee          Guarantee</w:t>
        <w:br/>
        <w:t xml:space="preserve">                                                       Received           Provided          Received           Provided</w:t>
        <w:br/>
        <w:t>Exposure Exchange Agreement</w:t>
        <w:br/>
        <w:t xml:space="preserve">  MIGA                                             $             2   $             —    $            10   $             10</w:t>
        <w:br/>
        <w:t xml:space="preserve">  IADB                                                       2,021              2,021             2,021              2,021</w:t>
        <w:br/>
        <w:t xml:space="preserve">  AfDB                                                       1,588              1,588             1,588              1,588</w:t>
        <w:br/>
        <w:t>Total notional                                     $         3,611   $          3,609   $         3,619   $          3,619</w:t>
        <w:br/>
        <w:br/>
        <w:br/>
        <w:t>28 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V: Other Development Activities</w:t>
        <w:br/>
        <w:br/>
        <w:br/>
        <w:t>Credit enhancement arrangements: As of June 30, 2024, IBRD had $8,850 million of outstanding loans under which</w:t>
        <w:br/>
        <w:t>guarantees were received from highly rated member countries or other Multilateral Development Banks ($3,045</w:t>
        <w:br/>
        <w:t>million as of June 30, 2023). These serve as credit enhancements, which reduce IBRD's internal risk capital</w:t>
        <w:br/>
        <w:t>requirements and, in some cases, loss provisioning (see Notes to the Financial Statements, Note D: Loans and Other</w:t>
        <w:br/>
        <w:t>Exposures).</w:t>
        <w:br/>
        <w:t>Further, IBRD also received other forms of credit enhancements for loans outstanding totaling $2,016 million as of</w:t>
        <w:br/>
        <w:t>June 30, 2024 (Nil as of June 30, 2023), that protect IBRD against the risk of loss on certain loans in IBRD's</w:t>
        <w:br/>
        <w:t>portfolio. These credit enhancements are accounted for as derivatives at fair value and are included in Other assets -</w:t>
        <w:br/>
        <w:t>Miscellaneous on IBRD’s Balance Sheet as they do not meet the accounting definition of guarantees.</w:t>
        <w:br/>
        <w:br/>
        <w:t>Table 18: Credit Enhancements Received</w:t>
        <w:br/>
        <w:t>In millions of U.S. dollars</w:t>
        <w:br/>
        <w:t xml:space="preserve"> As of June 30,                                                                                2024             2023</w:t>
        <w:br/>
        <w:t>Bi-lateral Guarantees Received</w:t>
        <w:br/>
        <w:t>Borrowing Country With Loan Guarantees</w:t>
        <w:br/>
        <w:t>Brazil                                                                                          200                —</w:t>
        <w:br/>
        <w:t>Egypt, Arab Republic of                                                                         142               147</w:t>
        <w:br/>
        <w:t>Indonesia                                                                                       350                —</w:t>
        <w:br/>
        <w:t>Iraq                                                                                            359               393</w:t>
        <w:br/>
        <w:t>Jordan                                                                                          367               296</w:t>
        <w:br/>
        <w:t>Morocco                                                                                         155                —</w:t>
        <w:br/>
        <w:t>Philippines                                                                                     220                —</w:t>
        <w:br/>
        <w:t>Ukraine                                                                                       7,057             2,209</w:t>
        <w:br/>
        <w:t>Total Outstanding                                                                    $        8,850   $         3,045</w:t>
        <w:br/>
        <w:br/>
        <w:br/>
        <w:t>Other Credit Enhancements Received</w:t>
        <w:br/>
        <w:t>Borrowing Country With Other Credit Enhancements</w:t>
        <w:br/>
        <w:t>India                                                                                         1,000                —</w:t>
        <w:br/>
        <w:t>Ukraine                                                                                       1,016                —</w:t>
        <w:br/>
        <w:t>Total Outstanding                                                                    $        2,016   $            —</w:t>
        <w:br/>
        <w:br/>
        <w:br/>
        <w:t>Total Guarantees and Credit Enhancements Received                                    $       10,866   $         3,045</w:t>
        <w:br/>
        <w:br/>
        <w:br/>
        <w:t>Grant Making Facilities</w:t>
        <w:br/>
        <w:t>Grant Making Facilities (GMFs) are IBRD's contributions to specific trust funds and are complementary to IBRD’s</w:t>
        <w:br/>
        <w:t>work. IBRD deployed $17 million under this program in FY24 ($17 million in FY23). These amounts are reflected</w:t>
        <w:br/>
        <w:t>in contributions to special programs in IBRD’s Statements of Income, after IDA’s share is determined in accordance</w:t>
        <w:br/>
        <w:t>with the cost sharing ratio.</w:t>
        <w:br/>
        <w:t>Externally-Funded Activities</w:t>
        <w:br/>
        <w:t>Mobilization of external funds from third-party partners includes trust funds. Additional external funds include</w:t>
        <w:br/>
        <w:t>reimbursable funds and revenues from fee-based services to member countries, which are related to RAS, EFOs, and</w:t>
        <w:br/>
        <w:t>other financial products and services, including RAMP.</w:t>
        <w:br/>
        <w:t>Trust Funds</w:t>
        <w:br/>
        <w:t>Trust Funds provide development solutions that serve member recipients and donors. Trust funded partnerships</w:t>
        <w:br/>
        <w:t>often serve as a platform for IBRD and the partners to access WBG’s diverse technical and financial resources, and</w:t>
        <w:br/>
        <w:t>achieve development goals whose complexity, scale, and scope exceed any individual partner’s capabilities.</w:t>
        <w:br/>
        <w:t>IBRD’s roles and responsibilities in managing trust funds depend on the type of fund, outlined as follows:</w:t>
        <w:br/>
        <w:t xml:space="preserve">  •   Bank-executed activities for trust funds: IBRD, alone or jointly with one or more of its affiliated</w:t>
        <w:br/>
        <w:t xml:space="preserve">      organizations, manages the funds and implements the activities financed. These trust funds support IBRD’s</w:t>
        <w:br/>
        <w:br/>
        <w:br/>
        <w:t xml:space="preserve">                                         IBRD Management's Discussion and Analysis: June 30, 2024                 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Section V: Other Development Activities</w:t>
        <w:br/>
        <w:br/>
        <w:br/>
        <w:t xml:space="preserve">      work program. IBRD disbursed $612 million in FY24 ($570 million in FY23) of trust fund program funds,</w:t>
        <w:br/>
        <w:t xml:space="preserve">      which was included in Non-interest expenses, Administrative in IBRD's Statements of Income.</w:t>
        <w:br/>
        <w:t xml:space="preserve">  •   Recipient-executed activities for trust funds: Funds are provided to a third party, normally in the form of</w:t>
        <w:br/>
        <w:t xml:space="preserve">      project grant financing, and are supervised by IBRD.</w:t>
        <w:br/>
        <w:t xml:space="preserve">  •   Financial Intermediary Funds (FIFs): IBRD, as trustee, administrator, or treasury manager, offers specific</w:t>
        <w:br/>
        <w:t xml:space="preserve">      administrative or financial services with a limited operational role. Arrangements include the administration</w:t>
        <w:br/>
        <w:t xml:space="preserve">      of debt service trust funds, fiscal agency funds and other more specialized limited fund management roles.</w:t>
        <w:br/>
        <w:t>IBRD uses a cost recovery framework for trust funds, to recover the costs of performing agreed roles in</w:t>
        <w:br/>
        <w:t>administering trust funds, and is guided by principles of transparency, fairness, simplification, standardization,</w:t>
        <w:br/>
        <w:t>predictability and consistent treatment across all trust fund donors.</w:t>
        <w:br/>
        <w:t>Management continues to implement measures to improve planning, support sustainability and enhance alignment of</w:t>
        <w:br/>
        <w:t>external funds with mission priorities through greater use of umbrella trust fund programs, increased cost recovery,</w:t>
        <w:br/>
        <w:t>and new budgetary measures to manage external funds usage.</w:t>
        <w:br/>
        <w:t>During FY24, IBRD’s share of revenue and fees from trust fund administration was $99 million ($62 million in</w:t>
        <w:br/>
        <w:t>FY23, which is included in Net non-interest expenses – GAAP basis in Table 5 and in IBRD's Statements of Income</w:t>
        <w:br/>
        <w:t>- see Notes to Financial Statements, Note L: Trust Funds Administration and Other Services). The increase in fees</w:t>
        <w:br/>
        <w:t>was mainly driven by higher disbursements to the trust funds.</w:t>
        <w:br/>
        <w:t>Reimbursable Advisory Services (RAS)</w:t>
        <w:br/>
        <w:t>While most of IBRD’s advisory and analytical work is financed by its own budget or donor contributions (e.g., Trust</w:t>
        <w:br/>
        <w:t>Funds), clients may also pay for services. IBRD offers technical assistance and other advisory services to its member</w:t>
        <w:br/>
        <w:t>countries, in connection with, and independent of, lending operations. Available services include, for example,</w:t>
        <w:br/>
        <w:t>assigning qualified professionals to survey developmental opportunities in member countries; analyzing member</w:t>
        <w:br/>
        <w:t>countries fiscal, economic, and developmental environments; helping members devise coordinated development</w:t>
        <w:br/>
        <w:t>programs; and improving their asset and liability management techniques. In FY24, IBRD earned revenue of $47</w:t>
        <w:br/>
        <w:t>million ($52 million in FY23) from RAS, which are included in Net non-interest expenses – GAAP basis in Table 5.</w:t>
        <w:br/>
        <w:t>Externally Financed Outputs (EFOs)</w:t>
        <w:br/>
        <w:t>IBRD offers donors the ability to contribute to specific projects and programs. EFO contributions are recorded as</w:t>
        <w:br/>
        <w:t>restricted revenue when received because they are for contractually specified purposes. In FY24, IBRD had $8</w:t>
        <w:br/>
        <w:t>million of restricted revenue, compared with $3 million in FY23, which are included in Net non-interest expenses –</w:t>
        <w:br/>
        <w:t>GAAP basis in Table 5.</w:t>
        <w:br/>
        <w:t>Restrictions are released once the funds are used for the purposes specified by donors. In FY24, there was a release</w:t>
        <w:br/>
        <w:t>of $8 million ($14 million in FY23).</w:t>
        <w:br/>
        <w:t>Other Financial Products and Services</w:t>
        <w:br/>
        <w:t>Managing Financial Risks for Clients</w:t>
        <w:br/>
        <w:t>IBRD helps member countries build resilience by facilitating access to risk management solutions to mitigate the</w:t>
        <w:br/>
        <w:t>financial effects of currency, interest rate, and commodity price volatility, disasters, and extreme weather events.</w:t>
        <w:br/>
        <w:t>Box 4 below lists some financial solutions and disaster risk financing instruments IBRD offers:</w:t>
        <w:br/>
        <w:t>Box 4: Financing Instruments</w:t>
        <w:br/>
        <w:t xml:space="preserve">                  Hedging Transactions                                      Disaster Risk Financing</w:t>
        <w:br/>
        <w:t xml:space="preserve">                     Interest Rate                                    Catastrophe Derivatives and Bonds</w:t>
        <w:br/>
        <w:t xml:space="preserve">                       Currency                                           Insurance &amp; Reinsurance</w:t>
        <w:br/>
        <w:t xml:space="preserve">                    Commodity Price                                       Regional Pooling Facilities</w:t>
        <w:br/>
        <w:br/>
        <w:br/>
        <w:t>30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Section V: Other Development Activities</w:t>
        <w:br/>
        <w:br/>
        <w:br/>
        <w:t>IBRD also intermediates the following risk management transactions for clients:</w:t>
        <w:br/>
        <w:t xml:space="preserve">  •    Affiliated Organization: To assist IDA with its asset/liability management IBRD executed currency forward</w:t>
        <w:br/>
        <w:t xml:space="preserve">       contracts on its behalf. There were no open trades as of June 30, 2024.</w:t>
        <w:br/>
        <w:t xml:space="preserve">  •    Unaffiliated Organization: To assist the International Finance Facility for Immunization (IFFIm) with its</w:t>
        <w:br/>
        <w:t xml:space="preserve">       asset/liability management strategy, IBRD executes currency and interest rate swaps on its behalf. In addition,</w:t>
        <w:br/>
        <w:t xml:space="preserve">       IBRD, as Treasury Manager, is a counterparty to IFFIm and enters into offsetting swaps with market</w:t>
        <w:br/>
        <w:t xml:space="preserve">       counterparties. During FY24, IBRD did not execute any swaps under this agreement.</w:t>
        <w:br/>
        <w:t>(See Section IX: Risk Management, for a detailed discussion of IBRD’s risk mitigation of these derivative</w:t>
        <w:br/>
        <w:t>transactions).</w:t>
        <w:br/>
        <w:t>Asset Management</w:t>
        <w:br/>
        <w:t>The Reserves Advisory and Management Partnership (RAMP) provides services that build clients’ capacity to</w:t>
        <w:br/>
        <w:t>support the sound management of their official sector assets. Clients include central banks, sovereign wealth funds,</w:t>
        <w:br/>
        <w:t>national pension funds, and supranational organizations. RAMP helps clients upgrade their asset management</w:t>
        <w:br/>
        <w:t>capabilities, including portfolio and risk management, operational infrastructure, and human resources capacity.</w:t>
        <w:br/>
        <w:t>Under most of these arrangements, IBRD is responsible for managing a portion of the institution’s assets and, in</w:t>
        <w:br/>
        <w:t>return, receives a fee based on the average value of the portfolio managed (Table 19). The fees earned are used to</w:t>
        <w:br/>
        <w:t>provide training and capacity-building services. In addition to RAMP, IBRD invests and manages investments on</w:t>
        <w:br/>
        <w:t>behalf of IDA, MIGA, and trust funds; those investments are not included in IBRD’s assets.</w:t>
        <w:br/>
        <w:br/>
        <w:t>Table 19: RAMP – Assets and Revenues</w:t>
        <w:br/>
        <w:t>In millions of U.S. dollars</w:t>
        <w:br/>
        <w:t xml:space="preserve"> As of June 30,                                                                                                   2024         2023</w:t>
        <w:br/>
        <w:t xml:space="preserve"> Assets managed under RAMP                                                                                $     24,851    $   24,010</w:t>
        <w:br/>
        <w:t xml:space="preserve"> Revenue from RAMP                                                                                        $          14   $      14</w:t>
        <w:br/>
        <w:br/>
        <w:br/>
        <w:t>As noted in the discussion of Trust Fund Activities above, IBRD, alone or jointly with one or more of its affiliated</w:t>
        <w:br/>
        <w:t>organizations, administers on donors’ behalf funds restricted for specific uses. This administration is governed by</w:t>
        <w:br/>
        <w:t>agreements with donors, who include members, their agencies and other entities. These funds are held in trust and</w:t>
        <w:br/>
        <w:t>are not included on IBRD’s Balance Sheets, except for $637 million of undisbursed third-party contributions made</w:t>
        <w:br/>
        <w:t>to Bank-executed activities for trust funds, which are recognized on the Balance Sheets. The funds held in trust by</w:t>
        <w:br/>
        <w:t>IBRD as administrator and trustee totaled $42.3 billion in FY24, of which $0.1 billion ($0.1 billion in FY23) relates</w:t>
        <w:br/>
        <w:t>to IBRD’s own contributions to these trust funds (Table 20).</w:t>
        <w:br/>
        <w:br/>
        <w:t>Table 20: Funds Held in Trust by IBRD</w:t>
        <w:br/>
        <w:t>In millions of U.S dollars</w:t>
        <w:br/>
        <w:t>As of June 30,                                                                                                    2024          2023</w:t>
        <w:br/>
        <w:t>Bank-executed activities                                                                                  $        258    $      257</w:t>
        <w:br/>
        <w:t>Jointly executed with affiliated organizations                                                                   1,085         1,027</w:t>
        <w:br/>
        <w:t>Recipient-executed activities                                                                                    3,330         3,142</w:t>
        <w:br/>
        <w:t>Financial intermediary funds                                                                                    29,826        28,060</w:t>
        <w:br/>
        <w:t>Execution not yet assigned a                                                                                     7,807         9,554</w:t>
        <w:br/>
        <w:t>Total fiduciary assets                                                                                    $     42,306    $   42,040</w:t>
        <w:br/>
        <w:br/>
        <w:t>a.These represent assets held in trust for which the determination as to the type of execution is yet to be finalized.</w:t>
        <w:br/>
        <w:br/>
        <w:br/>
        <w:t xml:space="preserve">                                                 IBRD Management's Discussion and Analysis: June 30, 2024                        31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Section VI: Investment Activities</w:t>
        <w:br/>
        <w:br/>
        <w:br/>
        <w:t>Section VI: Investment Activities</w:t>
        <w:br/>
        <w:t>IBRD’s investment portfolio consists mainly of the liquid asset portfolio. As of June 30, 2024, the net investment</w:t>
        <w:br/>
        <w:t>portfolio totaled $82.7 billion with $78.8 billion representing the liquid asset portfolio. This compares with $79.2</w:t>
        <w:br/>
        <w:t>billion a year earlier, of which $75.4 billion represented the liquid asset portfolio (see Note C: Investments in the</w:t>
        <w:br/>
        <w:t>Notes to the Financial Statements). The increased level of liquidity reflects the higher debt issuances exceeding net</w:t>
        <w:br/>
        <w:t>loan disbursements during the year.</w:t>
        <w:br/>
        <w:br/>
        <w:t>Liquid Asset Portfolio</w:t>
        <w:br/>
        <w:t>Funds raised through IBRD’s borrowing activities that have not yet been deployed for lending are held in the liquid</w:t>
        <w:br/>
        <w:t>asset portfolio to provide liquidity for IBRD’s operations. The portfolio is managed with the goal of ensuring</w:t>
        <w:br/>
        <w:t>sufficient cash flows to meet all of IBRD’s financial commitments. While it seeks a reasonable return on this</w:t>
        <w:br/>
        <w:t>portfolio, IBRD restricts its liquid assets to high-quality investments, consistent with its investment objective of</w:t>
        <w:br/>
        <w:t>prioritizing principal protection over yield. Liquid assets are managed conservatively and are primarily held against</w:t>
        <w:br/>
        <w:t>disruptions in IBRD’s access to capital markets.</w:t>
        <w:br/>
        <w:t>IBRD’s liquid assets are held mainly in highly rated, fixed-income instruments (see Box 7: Eligibility Criteria for</w:t>
        <w:br/>
        <w:t>IBRD's Investments) and include the following:</w:t>
        <w:br/>
        <w:t xml:space="preserve">     •     Government and agency obligations</w:t>
        <w:br/>
        <w:t xml:space="preserve">     •     Time deposits and other unconditional obligations of banks and financial institutions</w:t>
        <w:br/>
        <w:t xml:space="preserve">     •     Asset-backed securities (including agency mortgage-backed securities)</w:t>
        <w:br/>
        <w:t xml:space="preserve">     •     Currency, interest rate and other risk management derivatives</w:t>
        <w:br/>
        <w:t xml:space="preserve">     •     Exchange-traded options and futures</w:t>
        <w:br/>
        <w:t>Figure 13: Liquid Asset Portfolio by Asset Class</w:t>
        <w:br/>
        <w:t>In millions of U.S. dollars, except for ratios</w:t>
        <w:br/>
        <w:br/>
        <w:t xml:space="preserve">                           June 30, 2024                                              June 30, 2023</w:t>
        <w:br/>
        <w:br/>
        <w:t xml:space="preserve">                                                 Asset-backed                                         Asset-backed</w:t>
        <w:br/>
        <w:t xml:space="preserve">                                                 Securities &amp;                                         Securities &amp;</w:t>
        <w:br/>
        <w:t xml:space="preserve">                                                 Others, 3%                                           Others, 1%</w:t>
        <w:br/>
        <w:br/>
        <w:br/>
        <w:t xml:space="preserve">                             $78,792                                                   $75,413</w:t>
        <w:br/>
        <w:br/>
        <w:t xml:space="preserve">                                                 Government                                               Government</w:t>
        <w:br/>
        <w:t xml:space="preserve">  Time                                           and agency         Time                                  and agency</w:t>
        <w:br/>
        <w:t xml:space="preserve">  Deposits, 58%                                  obligations, 39%   Deposits, 49%                         obligations,</w:t>
        <w:br/>
        <w:t xml:space="preserve">                                                                                                          50%</w:t>
        <w:br/>
        <w:br/>
        <w:br/>
        <w:t>IBRD keeps liquidity volumes above a Prudential Minimum which is defined as 80% of the twelve-month Target</w:t>
        <w:br/>
        <w:t>Liquidity Level. The twelve- month Target Liquidity Level is calculated before the end of each fiscal year based on</w:t>
        <w:br/>
        <w:t>Management’s estimates of projected net loan disbursements approved at the time of projection and debt-service for</w:t>
        <w:br/>
        <w:t>the upcoming fiscal year. This twelve-month estimate becomes the target for the upcoming fiscal year and the</w:t>
        <w:br/>
        <w:t>Prudential Minimum is 80% of this target (see Section IX: Risk management, for details of how IBRD manages</w:t>
        <w:br/>
        <w:t>liquidity risk).</w:t>
        <w:br/>
        <w:t>The liquid asset portfolio is composed largely of assets denominated in, or swapped into, U.S. dollars, with net</w:t>
        <w:br/>
        <w:t>exposure to short-term interest rates after derivatives. The portfolio has an average duration of less than three</w:t>
        <w:br/>
        <w:t>months, and the debt funding these liquid assets has a similar currency and duration profile. This is a direct result of</w:t>
        <w:br/>
        <w:br/>
        <w:br/>
        <w:t>32  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Section VI: Investment Activities</w:t>
        <w:br/>
        <w:br/>
        <w:br/>
        <w:t>IBRD’s exchange-rate and interest-rate-risk-management policies (see Section IX: Risk management), combined</w:t>
        <w:br/>
        <w:t>with appropriate investment guidelines (Box 7).</w:t>
        <w:br/>
        <w:t>The maturity profile of IBRD’s liquid asset portfolio reflects a high degree of liquidity. As of June 30, 2024, $70.0</w:t>
        <w:br/>
        <w:t>billion (approximately 89% of total volume) was due to mature within six months, of which $28.8 billion was</w:t>
        <w:br/>
        <w:t>expected to mature within one month.</w:t>
        <w:br/>
        <w:t>The liquid asset portfolio is held in three sub-portfolios: Stable, Operational, and Discretionary, each may have</w:t>
        <w:br/>
        <w:t>different risk profiles and performance guidelines (Table 21).</w:t>
        <w:br/>
        <w:t xml:space="preserve">  •     Stable portfolio is mainly an investment portfolio holding all or a portion of the Prudential Minimum level of</w:t>
        <w:br/>
        <w:t xml:space="preserve">        liquidity, set at the start of each fiscal year.</w:t>
        <w:br/>
        <w:t xml:space="preserve">  •     Operational portfolio is used to meet IBRD’s day-to-day cash flow requirements.</w:t>
        <w:br/>
        <w:t xml:space="preserve">  •     Discretionary portfolio gives IBRD the flexibility to execute its borrowing program and can be used to tap</w:t>
        <w:br/>
        <w:t xml:space="preserve">        attractive market opportunities. Additional portions of the Prudential Minimum may also be held in this</w:t>
        <w:br/>
        <w:t xml:space="preserve">        portfolio.</w:t>
        <w:br/>
        <w:br/>
        <w:t>Table 21: Liquid Asset Portfolio Composition</w:t>
        <w:br/>
        <w:t>In millions of U.S. dollars, except ratios which are in percentages</w:t>
        <w:br/>
        <w:t>As of June 30,                                                          2024                 %         2023               %</w:t>
        <w:br/>
        <w:t>Liquid asset portfolio</w:t>
        <w:br/>
        <w:t xml:space="preserve">   Stable                                                        $    53,182               68 % $    48,205            64 %</w:t>
        <w:br/>
        <w:t xml:space="preserve">   Operational                                                        14,254               18        14,404            19</w:t>
        <w:br/>
        <w:t xml:space="preserve">   Discretionary                                                      11,356              14         12,804            17</w:t>
        <w:br/>
        <w:t>Total                                                           $     78,792             100 % $     75,413           100 %</w:t>
        <w:br/>
        <w:br/>
        <w:br/>
        <w:t>Table 22: Liquid Asset Portfolio - Average Balances and Returns</w:t>
        <w:br/>
        <w:t>In millions of U.S. dollars, except rates which are in percentages</w:t>
        <w:br/>
        <w:t xml:space="preserve">                                                                      Average Balances              Financial Returns %</w:t>
        <w:br/>
        <w:t xml:space="preserve">                                                                        2024              2023          2024            2023</w:t>
        <w:br/>
        <w:t>Liquid asset portfolio</w:t>
        <w:br/>
        <w:t xml:space="preserve">  Stable                                                        $     51,703   $         47,734       5.80 %          4.11 %</w:t>
        <w:br/>
        <w:t xml:space="preserve">  Operational                                                         14,162             13,049       5.95            4.04</w:t>
        <w:br/>
        <w:t xml:space="preserve">  Discretionary                                                       11,067             15,668       5.79            4.36</w:t>
        <w:br/>
        <w:t>Total                                                           $     76,932   $         76,451       5.81 %          4.16 %</w:t>
        <w:br/>
        <w:br/>
        <w:br/>
        <w:t>During FY24, IBRD’s total return on the liquid asset portfolio was 5.81%, an increase compared to last year and</w:t>
        <w:br/>
        <w:t>consistent with the rising interest rate environment. In addition to monitoring gross investment returns relative to</w:t>
        <w:br/>
        <w:t>their benchmarks, IBRD also monitors overall earnings from the investment portfolio, net of funding costs. In FY24,</w:t>
        <w:br/>
        <w:t>IBRD had $61 million of revenue, net of funding costs on the investment portfolio as discussed in Section III:</w:t>
        <w:br/>
        <w:t>Financial Results.</w:t>
        <w:br/>
        <w:br/>
        <w:br/>
        <w:t xml:space="preserve">                                               IBRD Management's Discussion and Analysis: June 30, 2024                  33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Section VI: Investment Activities</w:t>
        <w:br/>
        <w:br/>
        <w:br/>
        <w:t>Other Investments</w:t>
        <w:br/>
        <w:t>In addition to the liquid asset portfolio, the investment portfolio also includes holdings related to the PEBP and</w:t>
        <w:br/>
        <w:t>PCRF. Table 23 below summarizes the net carrying value of other investments:</w:t>
        <w:br/>
        <w:br/>
        <w:t>Table 23: Net Carrying Value of Other Investments</w:t>
        <w:br/>
        <w:t>In millions of U.S. dollars</w:t>
        <w:br/>
        <w:t>As of June 30,                                                                                   2024          2023</w:t>
        <w:br/>
        <w:t>PEBP                                                                                      $      2,939   $    2,684</w:t>
        <w:br/>
        <w:t>PCRF                                                                                               949        1,098</w:t>
        <w:br/>
        <w:t>Total                                                                                     $      3,888   $    3,782</w:t>
        <w:br/>
        <w:br/>
        <w:br/>
        <w:t>In June 2024, IBRD’s Board approved a release of $550 million from the PCRF holdings ($250 million for IBRD</w:t>
        <w:br/>
        <w:t>and $300 million for IDA) to be used for general purposes. As a result, IBRD's usable equity increased by $250</w:t>
        <w:br/>
        <w:t>million due to the transfer of this amount from the Pension reserve to the General reserve within Retained Earnings.</w:t>
        <w:br/>
        <w:t>For IDA's share of the PCRF investments, IBRD's payable to IDA was reduced.</w:t>
        <w:br/>
        <w:br/>
        <w:br/>
        <w:t>34 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VII: Borrowing Activities</w:t>
        <w:br/>
        <w:br/>
        <w:br/>
        <w:t>Section VII: Borrowing Activities</w:t>
        <w:br/>
        <w:t>IBRD has been issuing bonds in the international capital markets since 1947. The proceeds of these bonds support</w:t>
        <w:br/>
        <w:t>IBRD’s lending operations which are aimed at promoting sustainable development for IBRD’s borrowing member</w:t>
        <w:br/>
        <w:t>countries.</w:t>
        <w:br/>
        <w:t>Borrowing Portfolio</w:t>
        <w:br/>
        <w:t>IBRD borrows at attractive rates underpinned by its strong financial profile and shareholder support that together are</w:t>
        <w:br/>
        <w:t>the basis for its triple-A credit rating. As a result of its financial strength and triple-A credit rating, IBRD is</w:t>
        <w:br/>
        <w:t>recognized as a premier borrower and its bonds and notes are viewed as a high credit quality investment in the</w:t>
        <w:br/>
        <w:t>global capital markets.</w:t>
        <w:br/>
        <w:br/>
        <w:t>IBRD uses the proceeds to finance development activities in creditworthy middle-income and low-income countries</w:t>
        <w:br/>
        <w:t>eligible to borrow from IBRD at market-based rates. Funding raised in any given year is used for IBRD’s operations,</w:t>
        <w:br/>
        <w:t>including loan disbursements, replacement of maturing debt, and prefunding for lending activities. IBRD determines</w:t>
        <w:br/>
        <w:t>its funding requirements based on a three-year rolling horizon and funds about one-third of the projected amount in</w:t>
        <w:br/>
        <w:t>the current fiscal year.</w:t>
        <w:br/>
        <w:br/>
        <w:t>As discussed in Section II: Overview, IBRD uses currency and interest rate derivatives in connection with its</w:t>
        <w:br/>
        <w:t>borrowings for asset and liability management purposes. New medium- and long-term funding is swapped into</w:t>
        <w:br/>
        <w:t>variable-rate U.S. dollar instruments, with conversion to other currencies carried out subsequently, as needed. This is</w:t>
        <w:br/>
        <w:t>in accordance with loan funding requirements, so that IBRD can minimize interest rate and currency risk. IBRD</w:t>
        <w:br/>
        <w:t>also uses derivatives to manage the re-pricing risks between loans and borrowings. Further discussion on how IBRD</w:t>
        <w:br/>
        <w:t>manages this risk is included in Section IX: Risk Management.</w:t>
        <w:br/>
        <w:br/>
        <w:t>IBRD issues short-term debt (maturing in one year or less), and medium- and long-term debt (with a maturity</w:t>
        <w:br/>
        <w:t>greater than one year). In FY24, IBRD raised a total of $52.4 billion of medium- and long-term debt (Table 25).</w:t>
        <w:br/>
        <w:t>From time to time, IBRD exercises the call option in its callable bond issues; it may also repurchase its debt to meet</w:t>
        <w:br/>
        <w:t>other operational or strategic needs such as providing liquidity to its investors (Table 25).</w:t>
        <w:br/>
        <w:br/>
        <w:t>As of June 30, 2024, the borrowing portfolio totaled $287.1 billion, $20.3 billion higher than June 30, 2023 (see</w:t>
        <w:br/>
        <w:t>Note E: Borrowings in the Notes to the Financial Statements). The increase was primarily due to net medium-and</w:t>
        <w:br/>
        <w:t>long-term debt issuances during the year (Table 25).</w:t>
        <w:br/>
        <w:br/>
        <w:t>Figure 14: Effect of Derivatives on Currency Composition of the Borrowing Portfolio – June 30, 2024</w:t>
        <w:br/>
        <w:t xml:space="preserve">            Borrowings excluding derivatives                             Borrowings Including derivatives</w:t>
        <w:br/>
        <w:br/>
        <w:t xml:space="preserve">                                                                                              Euro</w:t>
        <w:br/>
        <w:t xml:space="preserve">                                       Euro</w:t>
        <w:br/>
        <w:t xml:space="preserve">                                                                                              13%</w:t>
        <w:br/>
        <w:t xml:space="preserve">                                       15%                                                               Others</w:t>
        <w:br/>
        <w:t xml:space="preserve">                                                                                                         *</w:t>
        <w:br/>
        <w:br/>
        <w:br/>
        <w:t xml:space="preserve">      US Dollar</w:t>
        <w:br/>
        <w:t xml:space="preserve">      63%                                 Others</w:t>
        <w:br/>
        <w:t xml:space="preserve">                                          22%                     US Dollar</w:t>
        <w:br/>
        <w:t xml:space="preserve">                                                                  87%</w:t>
        <w:br/>
        <w:br/>
        <w:br/>
        <w:t>* Denotes percentage less than 0.5%.</w:t>
        <w:br/>
        <w:t>As of June 30, 2024, IBRD’s total borrowing portfolio, after the effects of derivatives, carried variable rates with a</w:t>
        <w:br/>
        <w:t>weighted average cost of 5.5% (5.1% as of June 30, 2023). The increase in the weighted average cost from the prior</w:t>
        <w:br/>
        <w:t>year reflects the increase in the short-term market interest rates during the year. This also resulted in an increase in</w:t>
        <w:br/>
        <w:t>IBRD’s weighted average loan rates, which are also based on IBRD’s funding cost. IBRD’s lending spread was</w:t>
        <w:br/>
        <w:t>therefore not impacted by the increase in short-term interest rates (Figure 2).</w:t>
        <w:br/>
        <w:br/>
        <w:br/>
        <w:t xml:space="preserve">                                          IBRD Management's Discussion and Analysis: June 30, 2024                  35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Section VII: Borrowing Activities</w:t>
        <w:br/>
        <w:br/>
        <w:br/>
        <w:t>Short-Term Borrowings</w:t>
        <w:br/>
        <w:t>Table 24 summarizes IBRD’s short-term borrowings, which mainly include discount notes, securities lent or sold</w:t>
        <w:br/>
        <w:t>under securities lending and repurchase agreements, and other short-term borrowings.</w:t>
        <w:br/>
        <w:t>Discount Notes</w:t>
        <w:br/>
        <w:t>IBRD’s short-term borrowings consist mainly of discount notes issued in U.S. dollars. These borrowings have a</w:t>
        <w:br/>
        <w:t>weighted average maturity of approximately 129 days.</w:t>
        <w:br/>
        <w:t>Securities Lent or Sold under Repurchase Agreements</w:t>
        <w:br/>
        <w:t>These short-term borrowings are secured mainly by highly-rated collateral in the form of securities, including</w:t>
        <w:br/>
        <w:t>government-issued debt, and have an average maturity of less than 30 days.</w:t>
        <w:br/>
        <w:t>Other Short-Term Borrowings</w:t>
        <w:br/>
        <w:t>Other short-term borrowings are mostly money market instruments that have maturities of one year or less.</w:t>
        <w:br/>
        <w:t>Table 24: Short-Term Borrowings</w:t>
        <w:br/>
        <w:t>In millions of U.S. dollars, except rates which are in percentages</w:t>
        <w:br/>
        <w:t>As of June 30,                                                                                  2024           2023</w:t>
        <w:br/>
        <w:t>Discount notes a</w:t>
        <w:br/>
        <w:t>Average daily balance during the fiscal year                                   $             10,374   $     13,389</w:t>
        <w:br/>
        <w:t>Weighted-average rate during the fiscal year                                                   5.39 %         3.58 %</w:t>
        <w:br/>
        <w:br/>
        <w:br/>
        <w:t>Securities lent or sold under repurchase agreements b</w:t>
        <w:br/>
        <w:t>Average monthly balance during the fiscal year                                 $               723   $         578</w:t>
        <w:br/>
        <w:t>Weighted-average rate during the fiscal year                                                  1.24 %          2.37 %</w:t>
        <w:br/>
        <w:br/>
        <w:br/>
        <w:t>Other short-term borrowings a</w:t>
        <w:br/>
        <w:t>Average daily balance during the fiscal year                                   $                44   $         120</w:t>
        <w:br/>
        <w:t>Weighted-average rate during the fiscal year                                                  5.44 %          3.03 %</w:t>
        <w:br/>
        <w:br/>
        <w:t>a. At amortized cost which approximates fair value.</w:t>
        <w:br/>
        <w:t>b. Excludes securities related to PEBP and PCRF.</w:t>
        <w:br/>
        <w:br/>
        <w:br/>
        <w:t>36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Section VII: Borrowing Activities</w:t>
        <w:br/>
        <w:br/>
        <w:br/>
        <w:t>Medium- and Long-Term Borrowings</w:t>
        <w:br/>
        <w:t>In FY24, medium- and long-term debt raised directly by IBRD in the capital markets amounted to $52.4 billion with</w:t>
        <w:br/>
        <w:t>an average maturity to first call of 5.9 years (Table 25). The increase in medium-and long-term debt issuances in</w:t>
        <w:br/>
        <w:t>FY24 is primarily due to higher debt servicing and refinancing requirements.</w:t>
        <w:br/>
        <w:br/>
        <w:t>Table 25: Funding Operations Indicators</w:t>
        <w:br/>
        <w:t>In millions of U.S. dollars, except maturities which are in years</w:t>
        <w:br/>
        <w:t>For the fiscal year ended June 30,                                                                                 2024                  2023</w:t>
        <w:br/>
        <w:t>Issuances a</w:t>
        <w:br/>
        <w:t>Medium- and long-term funding raised                                                                $             52,380     $         42,186</w:t>
        <w:br/>
        <w:t>Average maturity to first call date                                                                                  5.9                  6.3</w:t>
        <w:br/>
        <w:t>Average maturity to contractual final maturity                                                                       6.8                  6.9</w:t>
        <w:br/>
        <w:br/>
        <w:br/>
        <w:t>Maturities</w:t>
        <w:br/>
        <w:t>Medium- and long-term funding matured                                                               $             29,786     $         28,506</w:t>
        <w:br/>
        <w:t>Average maturity of debt matured                                                                                     4.4                  5.4</w:t>
        <w:br/>
        <w:br/>
        <w:t>Called/Repurchased</w:t>
        <w:br/>
        <w:t>Medium- and long-term funding called/repurchased                                                    $              1,960     $          3,428</w:t>
        <w:br/>
        <w:br/>
        <w:br/>
        <w:t>a. Expected life of IBRD’s bonds are generally between first call date and the contractual final maturity.</w:t>
        <w:br/>
        <w:br/>
        <w:br/>
        <w:t>Table 26: Maturity Profile of Medium and Long-Term Debt</w:t>
        <w:br/>
        <w:t>In millions of U.S. dollars</w:t>
        <w:br/>
        <w:t xml:space="preserve">                                                                                 As of June 30, 2024</w:t>
        <w:br/>
        <w:t xml:space="preserve">                                      Less than 1        1 to 2         2 to 3           3 to 4         4 to 5     Due After 5</w:t>
        <w:br/>
        <w:t xml:space="preserve">                                                                                                                                      Total</w:t>
        <w:br/>
        <w:t xml:space="preserve">                                         year            years          years            years          years        years</w:t>
        <w:br/>
        <w:t>Medium and Long-Term Debt            $     32,919    $    32,883    $    31,082      $    29,994    $    32,042    $       93,834   $ 252,754</w:t>
        <w:br/>
        <w:br/>
        <w:br/>
        <w:t>As shown below, 61% of IBRD’s medium-and long-term borrowings issued during the year are in U.S. dollars:</w:t>
        <w:br/>
        <w:t>Figure 15: Medium- and Long-Term Borrowings Raised by Currency during the year, Excluding Derivatives</w:t>
        <w:br/>
        <w:t xml:space="preserve">                          June 30, 2024                                                            June 30, 2023</w:t>
        <w:br/>
        <w:br/>
        <w:br/>
        <w:t xml:space="preserve">                    Others                                                                    Others</w:t>
        <w:br/>
        <w:t xml:space="preserve">                    25%                                                                       20%</w:t>
        <w:br/>
        <w:br/>
        <w:br/>
        <w:t xml:space="preserve">            Euro</w:t>
        <w:br/>
        <w:t xml:space="preserve">            14%</w:t>
        <w:br/>
        <w:t xml:space="preserve">                                                                                     Euro</w:t>
        <w:br/>
        <w:t xml:space="preserve">                                                                                     15%</w:t>
        <w:br/>
        <w:br/>
        <w:t xml:space="preserve">                                           US Dollar                                                                   US Dollar</w:t>
        <w:br/>
        <w:t xml:space="preserve">                                           61%                                                                         65%</w:t>
        <w:br/>
        <w:br/>
        <w:br/>
        <w:t xml:space="preserve">                                               IBRD Management's Discussion and Analysis: June 30, 2024                                   37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Section VIII: Capital Activities</w:t>
        <w:br/>
        <w:br/>
        <w:br/>
        <w:t>Section VIII: Capital Activities</w:t>
        <w:br/>
        <w:t>Capital Structure</w:t>
        <w:br/>
        <w:t>Principal Shareholders and Voting Power</w:t>
        <w:br/>
        <w:t>As of June 30, 2024, IBRD had 189 member countries, with the top six accounting for 40% of the total voting power</w:t>
        <w:br/>
        <w:t>(Figure 16). The percentage of votes held by members rated AA and above by at least two major rating agencies was</w:t>
        <w:br/>
        <w:t>33% (Figure 17).</w:t>
        <w:br/>
        <w:t>The United States is IBRD’s largest shareholder, with 15% of total voting power. Accordingly, it also has the largest</w:t>
        <w:br/>
        <w:t>share of IBRD’s uncalled capital, $49,206 million, or 16% of total uncalled capital.</w:t>
        <w:br/>
        <w:t>Subscribed Capital</w:t>
        <w:br/>
        <w:t>Total subscribed capital is comprised of paid-in capital and uncalled subscribed capital. See Statement of</w:t>
        <w:br/>
        <w:t>Subscriptions to Capital Stock and Voting Power in IBRD’s Financial Statements for balances by country.</w:t>
        <w:br/>
        <w:t>Figure 16: Voting Power of Top Six Members as of                          Figure 17: Percentage of Votes held by Member</w:t>
        <w:br/>
        <w:t>June 30, 2024                                                             Countries, as of June 30, 2024</w:t>
        <w:br/>
        <w:br/>
        <w:br/>
        <w:t xml:space="preserve">     United States                                15.49%</w:t>
        <w:br/>
        <w:br/>
        <w:t xml:space="preserve">            Japan                  7.08%</w:t>
        <w:br/>
        <w:br/>
        <w:t xml:space="preserve">            China                5.91%                                                                            AA &amp;</w:t>
        <w:br/>
        <w:t xml:space="preserve">                                                                            Below AA</w:t>
        <w:br/>
        <w:t xml:space="preserve">                                                                                                                  Above</w:t>
        <w:br/>
        <w:t xml:space="preserve">         Germany              4.21%                                         67%</w:t>
        <w:br/>
        <w:t xml:space="preserve">                                                                                                                  33%</w:t>
        <w:br/>
        <w:br/>
        <w:t xml:space="preserve">           France            3.86%</w:t>
        <w:br/>
        <w:br/>
        <w:t xml:space="preserve">  United Kingdom             3.86%</w:t>
        <w:br/>
        <w:br/>
        <w:t xml:space="preserve">                     0%     5%        10%     15%     20%      25%</w:t>
        <w:br/>
        <w:br/>
        <w:br/>
        <w:t>Table 27: Breakdown of IBRD Subscribed Capital</w:t>
        <w:br/>
        <w:t>In millions of U.S. dollars, except ratios which are in percentages</w:t>
        <w:br/>
        <w:t xml:space="preserve"> As of June 30,                                                 %                  2024              2023        Variance</w:t>
        <w:br/>
        <w:t xml:space="preserve"> Subscribed capital</w:t>
        <w:br/>
        <w:t xml:space="preserve">   Uncalled Subscribed capital                                  93%   $          300,620   $       296,021   $      4,599</w:t>
        <w:br/>
        <w:t xml:space="preserve">   Paid-in capital                                             7%                 22,452            21,819            633</w:t>
        <w:br/>
        <w:t xml:space="preserve"> Total subscribed capital                                    100% $              323,072   $       317,840   $      5,232</w:t>
        <w:br/>
        <w:br/>
        <w:br/>
        <w:t>Uncalled Subscribed Capital</w:t>
        <w:br/>
        <w:t>As of June 30, 2024, the total uncalled portion of subscriptions was $300,620 million. The amount may be called</w:t>
        <w:br/>
        <w:t>only when required to meet IBRD’s obligations for funds borrowed or loans guaranteed and is, thus, not available</w:t>
        <w:br/>
        <w:t>for use by IBRD in making loans. Of this amount, $42,162 million was restricted pursuant to resolutions of the</w:t>
        <w:br/>
        <w:t>Governors (though such conditions are not required by IBRD’s Articles). While these resolutions are not legally</w:t>
        <w:br/>
        <w:t>binding on future Governors, they do record an understanding among members that this amount will not be called</w:t>
        <w:br/>
        <w:t>for use by IBRD in its lending activities or for administrative purposes.</w:t>
        <w:br/>
        <w:br/>
        <w:t>No call has ever been made on IBRD’s capital. Any such calls are required to be uniform, but the obligations of</w:t>
        <w:br/>
        <w:t>IBRD’s members to make payment on such calls are independent of one another. If the amount received on a call is</w:t>
        <w:br/>
        <w:t>insufficient to meet the obligations of IBRD for which the call is made, IBRD has the right to make further calls</w:t>
        <w:br/>
        <w:t>until the amounts received are sufficient to meet such obligations. On any such call or calls, however, no member is</w:t>
        <w:br/>
        <w:t>required to pay more than the unpaid balance of its capital subscription.</w:t>
        <w:br/>
        <w:br/>
        <w:br/>
        <w:t>38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Section VIII: Capital Activities</w:t>
        <w:br/>
        <w:br/>
        <w:br/>
        <w:t>Under the Bretton Woods Agreements Act and other U.S. legislation, the Secretary of the U.S. Treasury is permitted</w:t>
        <w:br/>
        <w:t>to pay approximately $7,663 million of the uncalled portion of the subscription of the United States, if called for use</w:t>
        <w:br/>
        <w:t>by IBRD, without need for further congressional action.</w:t>
        <w:br/>
        <w:t>The balance of the uncalled portion of the U.S. subscription, $41,543 million, has been authorized but not</w:t>
        <w:br/>
        <w:t>appropriated by the U.S. Congress. Further action by the U.S. Congress is required to enable the Secretary of the</w:t>
        <w:br/>
        <w:t>Treasury to pay any portion of this balance. The General Counsel of the U.S. Treasury has rendered an opinion that</w:t>
        <w:br/>
        <w:t>the entire uncalled portion of the U.S. subscription is an obligation backed by the full faith and credit of the U.S.,</w:t>
        <w:br/>
        <w:t>notwithstanding that congressional appropriations have not been obtained with respect to certain portions of the</w:t>
        <w:br/>
        <w:t>subscription.</w:t>
        <w:br/>
        <w:t>Capital Increases</w:t>
        <w:br/>
        <w:t>In October 2018, the Governors approved a new GCI and SCI as part of a capital package that includes institutional</w:t>
        <w:br/>
        <w:t>and financial reforms designed to ensure long-term financial sustainability. The capital increases will result in</w:t>
        <w:br/>
        <w:t>additional subscribed capital of up to $60.1 billion, with $7.5 billion of paid-in capital and $52.6 billion of callable</w:t>
        <w:br/>
        <w:t>capital. The subscription period for the GCI and SCI ends on October 1, 2025.</w:t>
        <w:br/>
        <w:t>Paid-In Capital</w:t>
        <w:br/>
        <w:t>Paid-in capital has two components:</w:t>
        <w:br/>
        <w:t xml:space="preserve">  •    The U.S. dollar portion, which is freely available for use by IBRD.</w:t>
        <w:br/>
        <w:t xml:space="preserve">  •    National Currency Paid-In Capital (NCPIC) portion, usage of which is subject to certain restrictions under</w:t>
        <w:br/>
        <w:t xml:space="preserve">       IBRD’s Articles and is subject to Maintenance-Of-Value (MOV) requirements. For additional details see the</w:t>
        <w:br/>
        <w:t xml:space="preserve">       Notes to the Financial Statements, Note A: Summary of Significant Accounting and Related Policies.</w:t>
        <w:br/>
        <w:t>Usable Paid-in Capital</w:t>
        <w:br/>
        <w:t>Usable paid-in capital represents the portion of paid-in capital that is available to support IBRD’s risk bearing</w:t>
        <w:br/>
        <w:t>capacity and includes all U.S. dollar paid-in capital, as well as NCPIC for which use restrictions have been lifted</w:t>
        <w:br/>
        <w:t>(referred to as released NCPIC). The adjustments made to paid-in capital to arrive at usable paid-in capital are</w:t>
        <w:br/>
        <w:t>provided in Table 28.</w:t>
        <w:br/>
        <w:t>The $514 million increase in usable paid-in capital during FY24 was primarily due to the receipt of $456 million for</w:t>
        <w:br/>
        <w:t>GCI and $177 million for SCI during FY24.</w:t>
        <w:br/>
        <w:br/>
        <w:t>Table 28: Usable Paid-In Capital</w:t>
        <w:br/>
        <w:t>In millions of U.S dollars</w:t>
        <w:br/>
        <w:t xml:space="preserve">  As of June 30,                                                                   2024           2023         Variance</w:t>
        <w:br/>
        <w:t xml:space="preserve">  Paid-in Capital                                                       $         22,452 $       21,819    $        633</w:t>
        <w:br/>
        <w:t xml:space="preserve">  Deferred amounts to maintain value of currency holdings a                         (558)          (436)           (122)</w:t>
        <w:br/>
        <w:t xml:space="preserve">  Adjustments for unreleased NCPIC:</w:t>
        <w:br/>
        <w:t xml:space="preserve">            Restricted cash                                                          (66)           (51)            (15)</w:t>
        <w:br/>
        <w:t xml:space="preserve">            Nonnegotiable, noninterest-bearing demand obligations on</w:t>
        <w:br/>
        <w:t xml:space="preserve">                                                                                    (310)          (320)            10</w:t>
        <w:br/>
        <w:t xml:space="preserve">            account of subscribed capital</w:t>
        <w:br/>
        <w:t xml:space="preserve">           Receivable amounts to maintain value of currency holdings                (337)          (345)             8</w:t>
        <w:br/>
        <w:t xml:space="preserve">           MOV payable                                                                 2              2             —</w:t>
        <w:br/>
        <w:t xml:space="preserve"> Total Adjustments for unreleased NCPIC                                             (711)          (714)             3</w:t>
        <w:br/>
        <w:t xml:space="preserve"> Usable paid-in capital                                                 $         21,183 $       20,669 $          514</w:t>
        <w:br/>
        <w:br/>
        <w:br/>
        <w:t>a. The MOV on released National Currency Paid-In Capital (NCPIC) is considered to be deferred.</w:t>
        <w:br/>
        <w:br/>
        <w:br/>
        <w:t xml:space="preserve">                                             IBRD Management's Discussion and Analysis: June 30, 2024               39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Section VIII: Capital Activities</w:t>
        <w:br/>
        <w:br/>
        <w:br/>
        <w:t>Usable Equity</w:t>
        <w:br/>
        <w:t>Usable equity represents the amount of equity that is available to support IBRD’s lending operations. Usable equity</w:t>
        <w:br/>
        <w:t>is central to the three frameworks IBRD uses to manage its capital adequacy, credit risk, and equity earnings. These</w:t>
        <w:br/>
        <w:t>frameworks, described in Section IX: Risk Management, are:</w:t>
        <w:br/>
        <w:t xml:space="preserve">     •    Strategic Capital Adequacy Framework</w:t>
        <w:br/>
        <w:t xml:space="preserve">     •    Credit Risk and Loan Loss Provisioning Framework</w:t>
        <w:br/>
        <w:t xml:space="preserve">     •    Other ALM Framework</w:t>
        <w:br/>
        <w:t>Usable equity consists of usable paid-in capital, and elements of retained earnings and reserves (Table 29). The</w:t>
        <w:br/>
        <w:t>components of retained earnings and reserves included in usable equity are as follows:</w:t>
        <w:br/>
        <w:t>Special Reserve: Amount set aside pursuant to IBRD’s Articles, held in liquid form and to be used only for meeting</w:t>
        <w:br/>
        <w:t>IBRD’s liabilities on its borrowings and guarantees;</w:t>
        <w:br/>
        <w:t>General Reserve: Generally consists of earnings from prior fiscal years which the Board has approved for retention</w:t>
        <w:br/>
        <w:t>in IBRD’s equity. On August 6, 2024, the Board approved the transfer of $834 million to the General Reserve from</w:t>
        <w:br/>
        <w:t>FY24 net income;</w:t>
        <w:br/>
        <w:t>Cumulative Translation Adjustments: Comprise translation adjustments that arise upon revaluing currency balances</w:t>
        <w:br/>
        <w:t>to U.S. dollars for reporting purposes. IBRD’s functional currencies are the U.S. dollar and euro and changes in</w:t>
        <w:br/>
        <w:t>cumulative translation adjustments only relate to translation adjustments on euro-denominated balances. Translation</w:t>
        <w:br/>
        <w:t>adjustments associated with non-functional currencies are reflected in other adjustments in Table 29. Usable equity</w:t>
        <w:br/>
        <w:t>excludes cumulative translation adjustments associated with unrealized mark-to-market gains/losses on non-trading</w:t>
        <w:br/>
        <w:t>portfolios;</w:t>
        <w:br/>
        <w:br/>
        <w:t>Other Adjustments: These adjustments relate to the income earned on PEBP assets before FY11, and currency</w:t>
        <w:br/>
        <w:t>translation adjustments on non-functional currencies. These also reflect the measure of the underfunded status of the</w:t>
        <w:br/>
        <w:t>pension plans, if any, which is based on the funding methodology used by the Pension Finance Committee to</w:t>
        <w:br/>
        <w:t>determine sustainable funding levels for the pension plans.</w:t>
        <w:br/>
        <w:br/>
        <w:t>The increase in usable equity in FY24, primarily reflects the increase in reserve retention out of the FY24 allocable</w:t>
        <w:br/>
        <w:t>income and the increase in usable paid-in capital.</w:t>
        <w:br/>
        <w:br/>
        <w:t>Table 29: Usable Equity</w:t>
        <w:br/>
        <w:t>In millions of U.S. dollars</w:t>
        <w:br/>
        <w:t xml:space="preserve">                                                                                                     Variance</w:t>
        <w:br/>
        <w:t xml:space="preserve">                                                                                                      Due to         Due to Translation</w:t>
        <w:br/>
        <w:t xml:space="preserve">                                                       2024            2023             Total</w:t>
        <w:br/>
        <w:t>As of June 30,                                                                                      Activities              Adjustment</w:t>
        <w:br/>
        <w:t>Usable paid-in capital                        $      21,183   $      20,669    $         514    $        652     $                (138)</w:t>
        <w:br/>
        <w:t>Special reserve                                         293             293               —               —                         —</w:t>
        <w:br/>
        <w:t>General reserve a                                    34,058          32,974            1,084           1,084                        —</w:t>
        <w:br/>
        <w:t>Cumulative translation adjustment                    (1,126)         (1,004)            (122)             —                       (122)</w:t>
        <w:br/>
        <w:t>Other adjustments b                                     247             173               74              —                         74</w:t>
        <w:br/>
        <w:t>Equity (usable equity)                        $      54,655 $        53,105 $          1,550 $         1,736     $                (186)</w:t>
        <w:br/>
        <w:br/>
        <w:br/>
        <w:t>a. Includes prospectively, the transfer to the General Reserve, which for FY24 (FY23) was approved by the Board on August 6,</w:t>
        <w:br/>
        <w:t xml:space="preserve">   2024 (August 3, 2023). FY24 also includes the transfer from the Pension Reserve related to the release of PCRF assets.</w:t>
        <w:br/>
        <w:t>b. Includes cumulative translation gains on non-functional currencies of $295 million for FY24 ($221 million gains for FY23).</w:t>
        <w:br/>
        <w:br/>
        <w:br/>
        <w:t>40 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IX: Risk Management</w:t>
        <w:br/>
        <w:br/>
        <w:br/>
        <w:t>Section IX: Risk Management</w:t>
        <w:br/>
        <w:t>Risk Governance</w:t>
        <w:br/>
        <w:t>IBRD’s risk management processes and practices evolve to reflect changes in activities in response to market, credit,</w:t>
        <w:br/>
        <w:t>product, operational, and other developments. The Board, particularly the Audit Committee (AC), periodically</w:t>
        <w:br/>
        <w:t>reviews trends in IBRD’s risk profiles and performance, and any major developments in risk management policies</w:t>
        <w:br/>
        <w:t>and controls.</w:t>
        <w:br/>
        <w:t>Management believes that effective risk management is critical for its overall operations. Accordingly, the risk</w:t>
        <w:br/>
        <w:t>management governance structure is designed to manage the principal risks IBRD assumes in its activities, and</w:t>
        <w:br/>
        <w:t>supports Management in its oversight function, particularly in coordinating different aspects of risk management and</w:t>
        <w:br/>
        <w:t>in connection with risks that are common across functional areas.</w:t>
        <w:br/>
        <w:t>IBRD’s financial and operational risk governance structure is built on the “three lines model” where:</w:t>
        <w:br/>
        <w:t xml:space="preserve">    •    Business units are responsible for directly managing risks in their respective functional areas;</w:t>
        <w:br/>
        <w:t xml:space="preserve">    •    The Vice President and WBG Chief Risk Officer (CRO) provides direction, challenge, and oversight over</w:t>
        <w:br/>
        <w:t xml:space="preserve">         financial and operational risk activities; and</w:t>
        <w:br/>
        <w:t xml:space="preserve">    •    Internal Audit provides independent oversight.</w:t>
        <w:br/>
        <w:t>IBRD’s risk management process comprises risk identification, assessment, response and risk monitoring and</w:t>
        <w:br/>
        <w:t>reporting. IBRD has policies and procedures under which risk owners are responsible for identifying, assessing,</w:t>
        <w:br/>
        <w:t>responding to, monitoring and reporting risks.</w:t>
        <w:br/>
        <w:br/>
        <w:br/>
        <w:t>Risk Oversight and Coverage</w:t>
        <w:br/>
        <w:t>Financial and Operational Risk Management</w:t>
        <w:br/>
        <w:t>The CRO oversees both financial and operational risks. These risks include (i) country credit risks in the core</w:t>
        <w:br/>
        <w:t>sovereign-lending business, (ii) market and counterparty risks, including liquidity and model risks, and (iii)</w:t>
        <w:br/>
        <w:t>operational risks relating to people, processes and systems, or from external events. In addition, the CRO works</w:t>
        <w:br/>
        <w:t>closely with IFC, MIGA, and IDA’s Management, to review, measure, aggregate, and report on risks, and share best</w:t>
        <w:br/>
        <w:t>practices across the WBG. The CRO also helps enhance cooperation between the entities and facilitates knowledge</w:t>
        <w:br/>
        <w:t>sharing in the risk management function.</w:t>
        <w:br/>
        <w:t>The following three departments report directly to the CRO:</w:t>
        <w:br/>
        <w:t>Credit Risk Department</w:t>
        <w:br/>
        <w:t xml:space="preserve">    •    Identifies, measures, monitors, and manages country credit risk faced by IBRD. By agreement with the</w:t>
        <w:br/>
        <w:t xml:space="preserve">         Board, the individual country credit risk ratings are not shared with the Board and are not made public.</w:t>
        <w:br/>
        <w:t xml:space="preserve">    •    Assesses loan portfolio risk, determines the adequacy of provisions for losses on loans and other exposures,</w:t>
        <w:br/>
        <w:t xml:space="preserve">         and monitors borrowers that are vulnerable to crises in the near term. These reviews are taken into account</w:t>
        <w:br/>
        <w:t xml:space="preserve">         in determining the overall country programs and lending operations, and they are included in the</w:t>
        <w:br/>
        <w:t xml:space="preserve">         assessment of IBRD’s capital adequacy.</w:t>
        <w:br/>
        <w:t xml:space="preserve">    •    Reviews proposed new financial products for any implications for country credit risk.</w:t>
        <w:br/>
        <w:br/>
        <w:t>Market and Counterparty Risk Department</w:t>
        <w:br/>
        <w:t xml:space="preserve">    •    Responsible for market, liquidity, and counterparty credit risk oversight, assessment, and reporting. It does</w:t>
        <w:br/>
        <w:t xml:space="preserve">         these in coordination with IBRD’s financial managers who are responsible for the day-to-day execution of</w:t>
        <w:br/>
        <w:t xml:space="preserve">         trades for the liquid asset and derivative portfolios, within applicable policy and guideline limits.</w:t>
        <w:br/>
        <w:t xml:space="preserve">    •    Ensures effective oversight, including: (i) maintaining sound credit assessments, (ii) addressing transaction</w:t>
        <w:br/>
        <w:t xml:space="preserve">         and product risk issues, (iii) providing an independent review function, (iv) monitoring market and</w:t>
        <w:br/>
        <w:br/>
        <w:br/>
        <w:t xml:space="preserve">                                          IBRD Management's Discussion and Analysis: June 30, 2024                41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IX: Risk Management</w:t>
        <w:br/>
        <w:br/>
        <w:br/>
        <w:t xml:space="preserve">         counterparty risk in the investment, borrowing and client operation portfolios, and (v) the model risk for</w:t>
        <w:br/>
        <w:t xml:space="preserve">         financial and capital models. It also provides reports to the Audit Committee and the Board on the extent</w:t>
        <w:br/>
        <w:t xml:space="preserve">         and nature of risks, risk management, and oversight.</w:t>
        <w:br/>
        <w:t xml:space="preserve">     •   Responsible for validation of market data and models used for fair valuation of financial instruments.</w:t>
        <w:br/>
        <w:t xml:space="preserve">         Undertakes model verification to ensure robust implementation of the models for fair-valued products.</w:t>
        <w:br/>
        <w:br/>
        <w:t>Operational Risk Department</w:t>
        <w:br/>
        <w:t xml:space="preserve">     •   Provides direction and oversight for operational risk activities by business function.</w:t>
        <w:br/>
        <w:t xml:space="preserve">     •   Key operational risk management responsibilities include: (i) administering the Operational Risk</w:t>
        <w:br/>
        <w:t xml:space="preserve">         Committee (ORC) for IBRD, (ii) implementing the operational risk management framework which is</w:t>
        <w:br/>
        <w:t xml:space="preserve">         aligned with Basel principles and provides direction to business unit partners to ensure consistent</w:t>
        <w:br/>
        <w:t xml:space="preserve">         application, (iii) assisting and guiding business units in identifying and prioritizing significant operational</w:t>
        <w:br/>
        <w:t xml:space="preserve">         risks and enabling monitoring and reporting of risks through suitable metrics (or risk indicators), (iv)</w:t>
        <w:br/>
        <w:t xml:space="preserve">         helping identify emerging risks and trends through monitoring of internal and external risk events, (v)</w:t>
        <w:br/>
        <w:t xml:space="preserve">         supporting risk response and mitigating actions, and prepares a corporate Operational Risk Report for</w:t>
        <w:br/>
        <w:t xml:space="preserve">         review and discussion by the ORC.</w:t>
        <w:br/>
        <w:t xml:space="preserve">     •   Responsible for the oversight of the enterprise risk, operational risk, business continuity, operational</w:t>
        <w:br/>
        <w:t xml:space="preserve">         resilience, corporate insurance, and data privacy functions.</w:t>
        <w:br/>
        <w:br/>
        <w:t>The risk of IBRD’s operations not meeting their development outcomes (development outcome risk) in IBRD’s</w:t>
        <w:br/>
        <w:t>lending activities is monitored at the corporate level by Operations Policy and Country Services (OPCS). Where</w:t>
        <w:br/>
        <w:t>fraud and corruption risks may impact IBRD-financed projects, OPCS, the regions and practice groups, and the</w:t>
        <w:br/>
        <w:t>Integrity Vice Presidency jointly address such issues.</w:t>
        <w:br/>
        <w:t>Risk Committees</w:t>
        <w:br/>
        <w:t>Figure 18: Management Risk Committee Structure for Financial and Operational Risks</w:t>
        <w:br/>
        <w:br/>
        <w:br/>
        <w:t>Financial Risk Committees:</w:t>
        <w:br/>
        <w:t>The Finance and Risk Committee (FRC), a Vice President level committee, provides a high-level governance</w:t>
        <w:br/>
        <w:t>structure for decisions that may have financial risks. The FRC was created under the authority of the Managing</w:t>
        <w:br/>
        <w:t>Director and WBG Chief Financial Officer (MDCFO) to approve, clear, or discuss: (a) risk policy and procedure</w:t>
        <w:br/>
        <w:t>documents related to financial integrity, income sustainability and balance sheet strength, and (b) issues and new</w:t>
        <w:br/>
        <w:t>business initiatives with policy implications related to IBRD’s financial risks, including country credit, market,</w:t>
        <w:br/>
        <w:t>counterparty, liquidity and model risks; and operational risks related to the finance business functions. The FRC</w:t>
        <w:br/>
        <w:t>helps to integrate individual components of finance and risk management activities by building on mechanisms and</w:t>
        <w:br/>
        <w:t>processes already in place and provides a forum for discussing and communicating significant risk related issues.</w:t>
        <w:br/>
        <w:t>The FRC meets regularly to discuss the financial performance, new products and services, and risk management of</w:t>
        <w:br/>
        <w:t>IBRD.</w:t>
        <w:br/>
        <w:br/>
        <w:br/>
        <w:t>42 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Section IX: Risk Management</w:t>
        <w:br/>
        <w:br/>
        <w:br/>
        <w:t>New Business Committee (NBC) is a standing subcommittee of the FRC. The NBC provides advice, guidance and</w:t>
        <w:br/>
        <w:t>recommendations to the FRC, by performing due diligence over new financial products or services to ensure that</w:t>
        <w:br/>
        <w:t>Management has a full understanding of the rationale, costs, risks and rewards of the product or service being</w:t>
        <w:br/>
        <w:t>considered.</w:t>
        <w:br/>
        <w:t>Asset Liability Management Committee (ALCO), a Vice President-level committee chaired by the MDCFO,</w:t>
        <w:br/>
        <w:t>provides a high-level forum to ensure prudent balance sheet management of IBRD by: a) monitoring its financial</w:t>
        <w:br/>
        <w:t>positions and Asset-Liability Management (ALM) activities for compliance with its respective guidelines, policies</w:t>
        <w:br/>
        <w:t>and procedures, including borrowing and investment activities; b) identifying and providing recommendations on</w:t>
        <w:br/>
        <w:t>emerging ALM issues for IBRD, as well as those related to capital, balance-sheet planning, and financial</w:t>
        <w:br/>
        <w:t>sustainability and c) serving as a reviewing and recommending body for ongoing decisions as part of implementing</w:t>
        <w:br/>
        <w:t>the ALM policies and procedures of IBRD, including those that impact lending rates and net income.</w:t>
        <w:br/>
        <w:t>Operational Risk Committees:</w:t>
        <w:br/>
        <w:t>The Enterprise Risk Committee (ERC) is a Vice President-level committee chaired by the Managing Director and</w:t>
        <w:br/>
        <w:t>Chief Administrative Officer (MDCAO) that oversees IBRD’s non-financial risks through reviewing, discussing</w:t>
        <w:br/>
        <w:t>and/or formulating proposed policies, procedures, directives, guidance, and other matters requested by its members.</w:t>
        <w:br/>
        <w:t>ERC’s scope comprises of: a) operational risk, including business continuity, corporate security, cyber security, and</w:t>
        <w:br/>
        <w:t>IT service continuity; b) enterprise risk; c) Integrity Vice Presidency (INT) and Ethics and Business Conduct (EBC)</w:t>
        <w:br/>
        <w:t>policies and methodologies; d) shared services; and e) any other matters brought by the MDCAO. The ERC</w:t>
        <w:br/>
        <w:t>leverages existing risk management mechanisms that are in place to provide a corporate view of operational and</w:t>
        <w:br/>
        <w:t>non-financial risks.</w:t>
        <w:br/>
        <w:br/>
        <w:t>Operational Risk Committee (ORC) is the main governance committee for operational risk and provides a</w:t>
        <w:br/>
        <w:t>mechanism for an integrated review and response across IBRD units on operational risks associated with people,</w:t>
        <w:br/>
        <w:t>processes, and systems, including business continuity, and recognizing that business units remain responsible for</w:t>
        <w:br/>
        <w:t>managing operational risks. The Committee’s key responsibilities include monitoring significant operational risk</w:t>
        <w:br/>
        <w:t>matters and events on a quarterly basis to ensure that appropriate risk-response measures are taken and reviewing</w:t>
        <w:br/>
        <w:t>and concluding on IBRD’s overall operational risk profile. The ORC is chaired by the CROVP and escalates</w:t>
        <w:br/>
        <w:t>significant risks and decisions to the FRC and ERC.</w:t>
        <w:br/>
        <w:t>Box 5: Summary of IBRD's Specific Risk Categories</w:t>
        <w:br/>
        <w:t>Types of Risk                           How the Risk is Managed</w:t>
        <w:br/>
        <w:br/>
        <w:t xml:space="preserve"> Credit Risk</w:t>
        <w:br/>
        <w:t xml:space="preserve">  Country Credit Risk                   IBRD’s credit-risk-bearing capacity and individual country exposure limits</w:t>
        <w:br/>
        <w:t xml:space="preserve">  Counterparty Credit Risk              Counterparty credit limits and collateral</w:t>
        <w:br/>
        <w:t xml:space="preserve"> Market Risk</w:t>
        <w:br/>
        <w:t xml:space="preserve">  Interest Rate Risk                    Interest rate derivatives to match the sensitivity of assets and liabilities</w:t>
        <w:br/>
        <w:t xml:space="preserve">  Exchange Rate Risk                    Currency derivatives to align the currency composition of assets and liabilities</w:t>
        <w:br/>
        <w:t xml:space="preserve">  Liquidity Risk                        Prudential minimum liquidity level</w:t>
        <w:br/>
        <w:t>Operational Risk                        Risk assessment and monitoring of key risk indicators and internal and external</w:t>
        <w:br/>
        <w:t xml:space="preserve">                                        operational risk events</w:t>
        <w:br/>
        <w:br/>
        <w:br/>
        <w:t>Other Risk Councils</w:t>
        <w:br/>
        <w:t>The Financial Risk Council and Non-Financial Risk Council were established in FY24 to facilitate regular and better</w:t>
        <w:br/>
        <w:t>coordination and collaboration across WBG entities in financial and non-financial risk functions, respectively. These</w:t>
        <w:br/>
        <w:t>councils, chaired by the MDCFO and MDCAO, respectively, meet regularly to identify opportunities for</w:t>
        <w:br/>
        <w:t>collaboration across the risk functions that serve to enhance the effectiveness of each of the risk functions while</w:t>
        <w:br/>
        <w:t>respecting the fiduciary obligations of each entity and considering the different mandates, clients, products, and</w:t>
        <w:br/>
        <w:t>business models. They also provide a common forum for the systematic exchange of information and encourage</w:t>
        <w:br/>
        <w:t>joint reporting of risks across the entities to form an overall picture on risk and for the purposes of information</w:t>
        <w:br/>
        <w:t>sharing, identifying interdependencies, connections, and concentrations of risk.</w:t>
        <w:br/>
        <w:br/>
        <w:br/>
        <w:t xml:space="preserve">                                         IBRD Management's Discussion and Analysis: June 30, 2024                          43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Section IX: Risk Management</w:t>
        <w:br/>
        <w:br/>
        <w:br/>
        <w:t>Management of IBRD’s Risks</w:t>
        <w:br/>
        <w:t>IBRD assumes financial risks in order to achieve its development and strategic objectives. IBRD’s financial risk</w:t>
        <w:br/>
        <w:t>management framework is designed to enable and support the institution in achieving its goals in a financially</w:t>
        <w:br/>
        <w:t>sustainable manner. IBRD manages credit, market and operational risks for its financial activities, which include</w:t>
        <w:br/>
        <w:t>lending, borrowing and investing (Box 5). The primary financial risk to IBRD is the country credit risk inherent in</w:t>
        <w:br/>
        <w:t>its loan portfolio. IBRD is also exposed to risks in its liquid asset and derivative portfolios, where the major risks are</w:t>
        <w:br/>
        <w:t>interest rate, exchange rate, commercial counterparty credit, and liquidity risks. IBRD’s operational risk</w:t>
        <w:br/>
        <w:t>management framework is based on a structured and uniform approach to identify, assess and monitor key</w:t>
        <w:br/>
        <w:t>operational risks across business units.</w:t>
        <w:br/>
        <w:br/>
        <w:t>In an effort to maximize IBRD’s capacity to lend to member countries for development purposes, IBRD limits its</w:t>
        <w:br/>
        <w:t>exposure to market and counterparty credit risks. In addition, to ensure that the financial risks associated with its</w:t>
        <w:br/>
        <w:t>loans and other exposures do not exceed its risk-bearing capacity, IBRD uses a strategic capital adequacy framework</w:t>
        <w:br/>
        <w:t>as a key medium-term capital planning tool.</w:t>
        <w:br/>
        <w:br/>
        <w:t>Capital Adequacy</w:t>
        <w:br/>
        <w:t>IBRD holds capital to cover the credit, market and operational risks inherent in its operating activities and financial</w:t>
        <w:br/>
        <w:t>assets. Country credit risk is the most substantive risk covered by IBRD’s equity.</w:t>
        <w:br/>
        <w:t>IBRD’s capital adequacy is the degree to which its equity is sufficient to withstand unexpected shocks. IBRD’s</w:t>
        <w:br/>
        <w:t>Board monitors IBRD’s capital adequacy within a strategic capital adequacy framework and uses the Equity-to-</w:t>
        <w:br/>
        <w:t>Loans ratio as a key indicator of capital adequacy. The framework seeks to ensure that IBRD’s equity is aligned with</w:t>
        <w:br/>
        <w:t>the financial risk associated with its loan portfolio and other exposures over a medium-term capital-planning</w:t>
        <w:br/>
        <w:t>horizon. In April 2023, as part of the evolution process, the Board approved a reduction in the policy minimum</w:t>
        <w:br/>
        <w:t>Equity-to-Loans ratio from 20% to 19% based on IBRD's review of the capital adequacy framework. The minimum</w:t>
        <w:br/>
        <w:t>Equity-to-Loans ratio policy continues to support IBRD's triple-A rating and long-term financial sustainability.</w:t>
        <w:br/>
        <w:t>As shown in Table 30, IBRD’s Equity-to-Loans ratio decreased by 0.5% from 22.0% as of June 30, 2023 to 21.5%</w:t>
        <w:br/>
        <w:t>as of June 30, 2024, primarily due to the increase in total loan exposure exceeding the increase in usable equity, and</w:t>
        <w:br/>
        <w:t>remained above the 19% minimum ratio under the strategic capital adequacy framework. Higher usable equity was</w:t>
        <w:br/>
        <w:t>mainly due to the higher General Reserve from the retention of earnings out of FY24 Allocable Income, and the</w:t>
        <w:br/>
        <w:t>release of PCRF assets to general use within IBRD's balance sheet. Usable equity also increased due to the receipt of</w:t>
        <w:br/>
        <w:t>capital subscriptions.</w:t>
        <w:br/>
        <w:t>In FY24, IBRD received $0.6 billion of paid-in capital subscribed under the 2018 General and Selective Capital</w:t>
        <w:br/>
        <w:t>Increases (GCI and SCI), bringing the cumulative amounts received to $6.0 billion, representing 80% of the total</w:t>
        <w:br/>
        <w:t>amount expected over the subscription period. In line with IBRD's currency management policy, exchange rate</w:t>
        <w:br/>
        <w:t>movements during the year did not have an impact on IBRD's Equity-to-Loans ratio. Under the currency</w:t>
        <w:br/>
        <w:t>management policy, to minimize exchange rate risk, IBRD matches its borrowing obligations in any one currency</w:t>
        <w:br/>
        <w:t>(after derivatives) with assets in the same currency. In addition, IBRD periodically undertakes currency conversions</w:t>
        <w:br/>
        <w:t>to align the currency composition of its equity with that of its outstanding loans, across major currencies.</w:t>
        <w:br/>
        <w:br/>
        <w:t>Figure 19: Equity-to-Loans Ratio</w:t>
        <w:br/>
        <w:br/>
        <w:t xml:space="preserve">  26%</w:t>
        <w:br/>
        <w:br/>
        <w:t xml:space="preserve">  24%</w:t>
        <w:br/>
        <w:br/>
        <w:t xml:space="preserve">  22%</w:t>
        <w:br/>
        <w:br/>
        <w:t xml:space="preserve">  20%</w:t>
        <w:br/>
        <w:br/>
        <w:t xml:space="preserve">  18%</w:t>
        <w:br/>
        <w:br/>
        <w:t xml:space="preserve">  16%</w:t>
        <w:br/>
        <w:t xml:space="preserve">         Jun-          Jun-             Jun-         Jun-       Jun-</w:t>
        <w:br/>
        <w:t xml:space="preserve">          20            21               22           23         24</w:t>
        <w:br/>
        <w:br/>
        <w:t xml:space="preserve">                Equity-to-Loans ratio          Policy minimum</w:t>
        <w:br/>
        <w:br/>
        <w:br/>
        <w:t>44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Section IX: Risk Management</w:t>
        <w:br/>
        <w:br/>
        <w:br/>
        <w:t>Table 30: Equity-to-Loans Ratio</w:t>
        <w:br/>
        <w:t>In millions of U.S. dollars</w:t>
        <w:br/>
        <w:t xml:space="preserve">                                                                                                         Variance</w:t>
        <w:br/>
        <w:t xml:space="preserve">                                                                                                                              Due to</w:t>
        <w:br/>
        <w:t xml:space="preserve">                                                                                                             Due to</w:t>
        <w:br/>
        <w:t xml:space="preserve">                                                                                                                          Translation</w:t>
        <w:br/>
        <w:t xml:space="preserve">                                                                                                           Activities</w:t>
        <w:br/>
        <w:t>As of June 30,                                            2024            2023               Total                        Adjustment</w:t>
        <w:br/>
        <w:t xml:space="preserve"> Usable paid-in capital                             $   21,183      $   20,669      $         514 $             652     $       (138)</w:t>
        <w:br/>
        <w:t xml:space="preserve"> Special reserve                                           293             293                 —                 —                —</w:t>
        <w:br/>
        <w:t xml:space="preserve">  General reserve a                                     34,058          32,974              1,084             1,084               —</w:t>
        <w:br/>
        <w:t xml:space="preserve">  Cumulative translation adjustment b                   (1,126)         (1,004)              (122)               —              (122)</w:t>
        <w:br/>
        <w:t xml:space="preserve"> Other adjustments c                                       247             173                 74                —                74</w:t>
        <w:br/>
        <w:t>Equity (usable equity)                              $   54,655      $   53,105      $       1,550 $           1,736     $       (186)</w:t>
        <w:br/>
        <w:br/>
        <w:br/>
        <w:t xml:space="preserve">  Loan exposures                                    $ 263,190       $ 243,896       $     19,294     $       20,115     $       (821)</w:t>
        <w:br/>
        <w:t xml:space="preserve">  Adjustments to reflect third-party guarantees</w:t>
        <w:br/>
        <w:t xml:space="preserve">                                                        (10,658)         (1,877)           (8,781)           (8,775)              (6)</w:t>
        <w:br/>
        <w:t xml:space="preserve">  received</w:t>
        <w:br/>
        <w:t xml:space="preserve">  Present value of guarantees provided                  3,488           2,840                648                676              (28)</w:t>
        <w:br/>
        <w:t xml:space="preserve">  Effective but undisbursed DDOs                        1,261             100              1,161              1,167               (6)</w:t>
        <w:br/>
        <w:t xml:space="preserve">  Relevant accumulated provisions                      (2,942)         (2,853)               (89)               (96)               7</w:t>
        <w:br/>
        <w:t xml:space="preserve">  Deferred loan income                                   (594)           (520)               (74)               (77)               3</w:t>
        <w:br/>
        <w:t xml:space="preserve">  Other exposures and adjustments, net                    377             320                 57                 57               —</w:t>
        <w:br/>
        <w:t>Loans (total exposure)                              $ 254,122       $ 241,906       $     12,216 $           13,067 $           (851)</w:t>
        <w:br/>
        <w:br/>
        <w:br/>
        <w:t>Equity-to-Loans Ratio                                      21.5 %          22.0 %</w:t>
        <w:br/>
        <w:t>a. Includes transfer to the General Reserve, which for FY24 (FY23) was approved by the Board on August 6, 2024 (August 3,</w:t>
        <w:br/>
        <w:t xml:space="preserve">   2023).</w:t>
        <w:br/>
        <w:t>b. Excludes cumulative translation amounts associated with the unrealized mark-to-market gains/losses on non-trading portfolios,</w:t>
        <w:br/>
        <w:t xml:space="preserve">   net.</w:t>
        <w:br/>
        <w:t>c. Includes cumulative translation gains on non-functional currencies of $295 million for FY24 ($221 million gains for FY23).</w:t>
        <w:br/>
        <w:br/>
        <w:t>Credit Risk</w:t>
        <w:br/>
        <w:t>IBRD faces two types of credit risk: country credit risk and counterparty credit risk. Country credit risk is the risk of</w:t>
        <w:br/>
        <w:t>loss due to a country not meeting its contractual obligations, and counterparty credit risk is the risk of loss</w:t>
        <w:br/>
        <w:t>attributable to a counterparty not honoring its contractual obligations. IBRD is exposed to commercial as well as</w:t>
        <w:br/>
        <w:t>non-commercial counterparty credit risk.</w:t>
        <w:br/>
        <w:t>Country Credit Risk</w:t>
        <w:br/>
        <w:t>IBRD’s mandate is to take only sovereign credit risk in its lending activities. Within country credit risk, three</w:t>
        <w:br/>
        <w:t>distinct types of risks can be identified: idiosyncratic risk, correlation risk, and concentration risk. Idiosyncratic risk</w:t>
        <w:br/>
        <w:t>is the risk of an individual borrowing country’s exposure falling into nonaccrual status for country-specific reasons</w:t>
        <w:br/>
        <w:t>(such as policy slippage or political instability). Correlation risk is the risk that exposure to two or more borrowing</w:t>
        <w:br/>
        <w:t>countries will fall into nonaccrual in response to common global or regional economic, political, or financial</w:t>
        <w:br/>
        <w:t>developments. Concentration risk is the risk resulting from having a large portion of exposure outstanding which, if</w:t>
        <w:br/>
        <w:t>the exposure fell into nonaccrual, would result in IBRD’s financial health being excessively impaired. Concentration</w:t>
        <w:br/>
        <w:t>risk needs to be evaluated both on a stand-alone basis (exposure of one borrowing country) and when taking into</w:t>
        <w:br/>
        <w:t>account correlation when more than one borrowing country is affected by a common event, such that when</w:t>
        <w:br/>
        <w:t>combined, IBRD’s exposure to a common risk is elevated.</w:t>
        <w:br/>
        <w:t>To estimate idiosyncratic risk and stand-alone concentration risk, the Credit Risk Department looks at IBRD’s</w:t>
        <w:br/>
        <w:t>exposure to each borrowing country and each borrowing country’s expected default to IBRD as captured in its credit</w:t>
        <w:br/>
        <w:t>rating. Credit ratings and default probabilities reflect country economic, financial and political circumstances, and</w:t>
        <w:br/>
        <w:t>also consider Environmental, Social and Governance (ESG) risk factors. For correlation risk, the Credit Risk</w:t>
        <w:br/>
        <w:t>Department models the potential common factors that could impact borrowing countries simultaneously. The</w:t>
        <w:br/>
        <w:br/>
        <w:br/>
        <w:t xml:space="preserve">                                             IBRD Management's Discussion and Analysis: June 30, 2024                            45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Section IX: Risk Management</w:t>
        <w:br/>
        <w:br/>
        <w:br/>
        <w:t>existence of correlation increases the likelihood of large nonaccrual events, as most of these nonaccrual events</w:t>
        <w:br/>
        <w:t>involve the joint default of two or more obligors in the portfolio.</w:t>
        <w:br/>
        <w:t>IBRD manages country credit risk by using individual country exposure limits and takes into account factors such as</w:t>
        <w:br/>
        <w:t>population size and the economic situation of the country. In addition, IBRD conducts stress tests of the effects of</w:t>
        <w:br/>
        <w:t>changes in market variables and of potential geopolitical events on its portfolio to complement its capital adequacy</w:t>
        <w:br/>
        <w:t>framework.</w:t>
        <w:br/>
        <w:t>Portfolio Concentration Risk</w:t>
        <w:br/>
        <w:t>Portfolio concentration risk, which arises when a small group of borrowing countries account for a large share of</w:t>
        <w:br/>
        <w:t>loans outstanding, is a key concern for IBRD. It is carefully managed for each borrowing country, in part, through</w:t>
        <w:br/>
        <w:t>an exposure limit for the aggregate balance of loans outstanding, the present value of guarantees, and the</w:t>
        <w:br/>
        <w:t>undisbursed portion of Deferred Drawdown Options (DDOs) that have become effective, among other potential</w:t>
        <w:br/>
        <w:t>exposures. Under current guidelines, IBRD’s exposure to a single borrowing country is restricted to the lower of an</w:t>
        <w:br/>
        <w:t>Equitable Access Limit (EAL) or the Single Borrower Limit (SBL).</w:t>
        <w:br/>
        <w:t>Equitable Access Limit</w:t>
        <w:br/>
        <w:t>The EAL is equal to 10% of IBRD’s Statutory Lending Limit (SLL). Under IBRD’s Articles, as applied, total loans</w:t>
        <w:br/>
        <w:t>outstanding, including participations in loans and callable guarantees, may not exceed the sum of unimpaired</w:t>
        <w:br/>
        <w:t>subscribed capital, reserves and surplus, referred to as the SLL. As of June 30, 2024, the SLL totaled $356.7 billion,</w:t>
        <w:br/>
        <w:t>of which the outstanding loans and callable guarantees totaled $270.4 billion, or 76% of the SLL. The EAL was</w:t>
        <w:br/>
        <w:t>$35.7 billion, as of June 30, 2024. The SLL was originally intended to ensure that sufficient resources are available</w:t>
        <w:br/>
        <w:t>to meet IBRD’s obligations to bondholders in the highly unlikely event of substantial and historically unprecedented</w:t>
        <w:br/>
        <w:t>losses on IBRD’s loans. IBRD has subsequently adopted an internal risk-based capital adequacy framework based</w:t>
        <w:br/>
        <w:t>on risk management practices that have evolved significantly since the time the SLL was established. The SLL is not</w:t>
        <w:br/>
        <w:t>a risk-based metric, and could constrain IBRD’s lending capacity below levels that are consistent with its risk-based</w:t>
        <w:br/>
        <w:t>framework. Accordingly, IBRD is in the process of amending the Articles to remove the SLL. The Board of</w:t>
        <w:br/>
        <w:t>Governors approved a Resolution to remove the SLL on July 10, 2023. IBRD is now going through the final stage of</w:t>
        <w:br/>
        <w:t>the amendment process, which requires acceptance by three-fifths of the members having eighty-five percent of the</w:t>
        <w:br/>
        <w:t>voting power.</w:t>
        <w:br/>
        <w:t>Single Borrower Limit</w:t>
        <w:br/>
        <w:t>The SBL amount is established, in part, by assessing its impact on overall portfolio risk relative to equity. The SBL</w:t>
        <w:br/>
        <w:t>caps the maximum exposure to IBRD’s most creditworthy and largest borrowing countries in terms of population</w:t>
        <w:br/>
        <w:t>and economic size. The SBL framework reflects a dual-SBL system, with the SBL for countries above the</w:t>
        <w:br/>
        <w:t>Graduation Discussion Income (GDI) threshold set lower than the SBL for countries below GDI. GDI is the level of</w:t>
        <w:br/>
        <w:t>GNI per capita of a member country above which graduation from IBRD starts being discussed. The GDI threshold</w:t>
        <w:br/>
        <w:t>was $7,805 as of July 1, 2023. Under the dual-SBL system, the SBL for FY24 was $28.9 billion for highly</w:t>
        <w:br/>
        <w:t>creditworthy countries below the GDI and $21.2 billion for highly creditworthy countries above the GDI. On</w:t>
        <w:br/>
        <w:t>July 18, 2024, the Board approved the FY25 SBL limits of $30.9 billion and $22.2 billion, respectively. The SBL</w:t>
        <w:br/>
        <w:t>framework also contained a 50-basis point surcharge (SBL surcharge) payable on the incremental exposure in excess</w:t>
        <w:br/>
        <w:t>of the SBL surcharge threshold (defined as $2.5 billion below the SBL for the respective GDI group). In April 2024,</w:t>
        <w:br/>
        <w:t>the Board approved the removal of the SBL surcharge. In the event that a borrowing country eligible for one of the</w:t>
        <w:br/>
        <w:t>limits set under the SBL framework is downgraded to the high-risk category, management may determine that the</w:t>
        <w:br/>
        <w:t>borrowing country continue to be eligible for borrowing at the currently applicable limit, but the borrowing country</w:t>
        <w:br/>
        <w:t>would not be eligible for any future increases in the SBL approved by the Board. During FY24, there were two</w:t>
        <w:br/>
        <w:t>countries below-GDI and two countries above-GDI, which have their exposure limits set at the applicable SBLs. For</w:t>
        <w:br/>
        <w:t>all other countries, the individual country exposure limits were set below the relevant SBL.</w:t>
        <w:br/>
        <w:t>As of June 30, 2024, the ten countries with the highest exposures accounted for about 58% of IBRD’s total exposure</w:t>
        <w:br/>
        <w:t>(Figure 20: Country Exposures as of June 30, 2024). IBRD’s largest exposure to a single borrowing country was</w:t>
        <w:br/>
        <w:t>$21.4 billion on June 30, 2024. Monitoring these exposures relative to the limit, however, requires consideration of</w:t>
        <w:br/>
        <w:t>the repayment profiles of existing loans, as well as disbursement profiles and projected new loans and guarantees.</w:t>
        <w:br/>
        <w:br/>
        <w:br/>
        <w:t>46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Section IX: Risk Management</w:t>
        <w:br/>
        <w:br/>
        <w:br/>
        <w:t>Sustainable Annual Lending Level (SALL)</w:t>
        <w:br/>
        <w:t>The “Financial Sustainability Framework” (FSF) requires IBRD to align its annual lending levels to its long-term</w:t>
        <w:br/>
        <w:t>sustainable capacity, while retaining flexibility to respond to crises by maintaining a crisis buffer.</w:t>
        <w:br/>
        <w:t>The SALL is the maximum annual commitment level sustainable, in real terms, for 10 years in line with IBRD’s</w:t>
        <w:br/>
        <w:t>capital adequacy framework and the Statutory Lending Limit set out in IBRD’s Articles, as determined by</w:t>
        <w:br/>
        <w:t>management. Under the FSF, the Board annually approves a crisis buffer. The crisis buffer-adjusted sustainable</w:t>
        <w:br/>
        <w:t>annual lending level (SALL-Adj) serves as the upper bound for regular lending in the next year. For the fiscal year</w:t>
        <w:br/>
        <w:t>ending June 30, 2024, the Board had approved a crisis buffer of $10.0 billion and a SALL-Adj of $36.0 billion. On</w:t>
        <w:br/>
        <w:t>June 25, 2024, the Board approved a crisis buffer of $10.0 billion for FY25. The corresponding SALL-Adj, which</w:t>
        <w:br/>
        <w:t>will be the core lending ceiling for FY25, is $39.0 billion. The total lending capacity for FY25 from the SALL-Adj</w:t>
        <w:br/>
        <w:t>could increase based on the receipt of additional bilateral guarantees as well as portfolio guarantees and hybrid</w:t>
        <w:br/>
        <w:t>capital.</w:t>
        <w:br/>
        <w:br/>
        <w:t>Figure 20: Country Exposures as of June 30, 2024</w:t>
        <w:br/>
        <w:t>In billions of U.S. dollars</w:t>
        <w:br/>
        <w:t xml:space="preserve">                                                                               a</w:t>
        <w:br/>
        <w:t xml:space="preserve">                                        Top Ten Country Exposures</w:t>
        <w:br/>
        <w:br/>
        <w:t xml:space="preserve">                        India                                                                                   21.4</w:t>
        <w:br/>
        <w:t xml:space="preserve">                  Indonesia                                                                              20.3</w:t>
        <w:br/>
        <w:t xml:space="preserve">                  Colombia                                                                  16.1</w:t>
        <w:br/>
        <w:t xml:space="preserve">                     Brazil                                                           15.2</w:t>
        <w:br/>
        <w:t xml:space="preserve">                     Mexico                                                           15.2</w:t>
        <w:br/>
        <w:t xml:space="preserve">                      China                                                          14.8</w:t>
        <w:br/>
        <w:t xml:space="preserve">                 Philippines                                                  13.4</w:t>
        <w:br/>
        <w:t xml:space="preserve">                  Türkiye                                              12.3</w:t>
        <w:br/>
        <w:t xml:space="preserve">   Egypt, Arab Republic of                                             12.0</w:t>
        <w:br/>
        <w:t xml:space="preserve">                  Argentina                                    10.1</w:t>
        <w:br/>
        <w:br/>
        <w:t xml:space="preserve">                                0   2      4       6       8      10      12         14        16   18     20          22</w:t>
        <w:br/>
        <w:br/>
        <w:t>a. Exposure includes loans outstanding and guarantees provided and are net of guarantees received.</w:t>
        <w:br/>
        <w:br/>
        <w:t>As of June 30, 2024, IBRD's loans outstanding to Ukraine were $14.2 billion, and guarantees provided to Ukraine</w:t>
        <w:br/>
        <w:t>were $0.5 billion. Guarantees received from third parties for the benefit of Ukraine were $8.1 billion.</w:t>
        <w:br/>
        <w:br/>
        <w:t>Credit-Risk-Bearing Capacity</w:t>
        <w:br/>
        <w:t>Management uses risk models to estimate the size of a potential nonaccrual shock that IBRD could face over the</w:t>
        <w:br/>
        <w:t>next three years at a given confidence level. The model-estimated nonaccrual shock is a single measure of the credit</w:t>
        <w:br/>
        <w:t>quality of the portfolio that combines the following:</w:t>
        <w:br/>
        <w:t xml:space="preserve">    • IBRD’s country-credit-risk ratings and their associated expected risk of default;</w:t>
        <w:br/>
        <w:t xml:space="preserve">    • Covariance risks;</w:t>
        <w:br/>
        <w:t xml:space="preserve">    • The loan portfolio’s distribution across risk rating categories; and</w:t>
        <w:br/>
        <w:t xml:space="preserve">    • The exposure concentration.</w:t>
        <w:br/>
        <w:t>The shock estimated by this risk model is used in IBRD’s capital adequacy testing to determine the impact of</w:t>
        <w:br/>
        <w:t>potential nonaccrual events on equity and income earning capacity.</w:t>
        <w:br/>
        <w:t>Expected Losses, Overdue Payments, and Non-Performing Loans</w:t>
        <w:br/>
        <w:t>The loan loss provision is calculated by taking into account IBRD’s total estimated exposure, the Expected Default</w:t>
        <w:br/>
        <w:t>Frequency (EDF), i.e. probability of default, and the assumed loss in the event of default. Expected losses inherent</w:t>
        <w:br/>
        <w:t>in the loan portfolio attributable to country credit risk are covered by the accumulated provision for losses on loans</w:t>
        <w:br/>
        <w:t>and other exposures, while unexpected losses owing to country credit risk are covered by equity (see Notes to the</w:t>
        <w:br/>
        <w:t>Financial Statements, Note A: Summary of Significant Accounting and Related Policies and Note D: Loans and</w:t>
        <w:br/>
        <w:t>Other Exposures).</w:t>
        <w:br/>
        <w:br/>
        <w:br/>
        <w:t xml:space="preserve">                                               IBRD Management's Discussion and Analysis: June 30, 2024                     47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Section IX: Risk Management</w:t>
        <w:br/>
        <w:br/>
        <w:br/>
        <w:t>When a borrower fails to make payments due to IBRD on any principal, interest, or other charges, IBRD may</w:t>
        <w:br/>
        <w:t>suspend disbursements immediately on all loans to that borrower. IBRD’s current practice is to exercise this option</w:t>
        <w:br/>
        <w:t>using a graduated approach (Box 6). These practices also apply to member countries eligible to borrow from both</w:t>
        <w:br/>
        <w:t>IBRD and IDA, and whose payments on IDA loans may become overdue. It is IBRD’s practice not to reschedule</w:t>
        <w:br/>
        <w:t>interest or principal payments on its loans or participate in debt rescheduling agreements with respect to its loans. As</w:t>
        <w:br/>
        <w:t>of June 30, 2024, there were no principal or interest amounts on loans in accrual status, that were overdue by more</w:t>
        <w:br/>
        <w:t>than three months.</w:t>
        <w:br/>
        <w:t>As of June 30, 2024, IBRD had $263.2 billion of loans outstanding, of which 0.5% were in nonaccrual status, all</w:t>
        <w:br/>
        <w:t>related to Zimbabwe and Belarus. IBRD’s accumulated provision for losses on loans and other exposures was $3.0</w:t>
        <w:br/>
        <w:t>billion, which represents a provisioning rate of less than 1% of the underlying exposures ($2.9 billion as of June 30,</w:t>
        <w:br/>
        <w:t>2023, less than 1% of the underlying exposures).</w:t>
        <w:br/>
        <w:t>During the year, IBRD received $4 million ($3 million in FY23) from borrowers in non-accrual status as payments</w:t>
        <w:br/>
        <w:t>towards amounts overdue, of which $4 million ($2 million in FY23) relates to the interest income recognized in the</w:t>
        <w:br/>
        <w:t>Statements of Income. The exposure to Zimbabwe was $426 million as of June 30, 2024, compared with $427</w:t>
        <w:br/>
        <w:t>million as of June 30, 2023. The exposure to Belarus was $984 million as of June 30, 2024, compared with $998</w:t>
        <w:br/>
        <w:t>million as of June 30, 2023.</w:t>
        <w:br/>
        <w:t>No loans to any borrowing country were restored to accrual status during the year.</w:t>
        <w:br/>
        <w:t>Box 6: Treatment of Overdue Payments</w:t>
        <w:br/>
        <w:t xml:space="preserve">            Where the borrower is the member country, no new loans to the member country, or to any other borrower in the</w:t>
        <w:br/>
        <w:t xml:space="preserve">            country, will be presented to the Board for approval, nor will any previously approved loan be signed, until payments</w:t>
        <w:br/>
        <w:t xml:space="preserve">            for all amounts 30 days overdue or longer have been received. Where the borrower is not the member country, no</w:t>
        <w:br/>
        <w:t xml:space="preserve">            new loans to that borrower will be signed or approved. In either case, the borrower will lose its eligibility for any</w:t>
        <w:br/>
        <w:t xml:space="preserve"> Overdue by waiver of interest charges in effect at that time for loans signed before May 16, 2007, and those loans signed</w:t>
        <w:br/>
        <w:t xml:space="preserve"> 30 days    between May 16, 2007, and September 27, 2007, if the borrowers elected not to convert the terms of their loans to</w:t>
        <w:br/>
        <w:t xml:space="preserve">            the pricing terms effective September 27, 2007. For loans with the pricing terms applicable from May 16, 2007, an</w:t>
        <w:br/>
        <w:t xml:space="preserve">            overdue interest penalty will be charged at a rate of 50 basis points on the overdue principal. In addition, if an</w:t>
        <w:br/>
        <w:t xml:space="preserve">            overdue amount remains unpaid for a period of 30 days, then the borrower will pay a higher interest rate (Reference</w:t>
        <w:br/>
        <w:t xml:space="preserve">            rate + spread) plus 50 basis points on the overdue principal amount until the overdue amount is fully paid.</w:t>
        <w:br/>
        <w:t xml:space="preserve">            In addition to the provisions cited above for payments overdue by 30 days, to avoid proceeding further on the</w:t>
        <w:br/>
        <w:t xml:space="preserve">            notification process leading to suspension of disbursements, the country as borrower or guarantor and all borrowers</w:t>
        <w:br/>
        <w:t xml:space="preserve"> Overdue by in the country must pay not only all payments overdue by 30 days or more, but also all payments due regardless of</w:t>
        <w:br/>
        <w:t xml:space="preserve"> 45 days    the number of days since they have fallen due. Where the borrower is not the member country, no new loans to, or</w:t>
        <w:br/>
        <w:t xml:space="preserve">            guaranteed by, the member country, will be signed or approved. Additionally, all borrowers in the country will lose</w:t>
        <w:br/>
        <w:t xml:space="preserve">            eligibility for any waivers of interest in effect at the time.</w:t>
        <w:br/>
        <w:t xml:space="preserve">            In addition to the suspension of approval for new loans and signing of previously approved loans, disbursements on</w:t>
        <w:br/>
        <w:t xml:space="preserve"> Overdue by all loans to, or guaranteed by, the member country are suspended until all overdue amounts are paid. This policy</w:t>
        <w:br/>
        <w:t xml:space="preserve"> 60 days    applies even when the borrower is not the member country. Under exceptional circumstances, disbursements can be</w:t>
        <w:br/>
        <w:t xml:space="preserve">            made to a member country upon the Board’s approval.</w:t>
        <w:br/>
        <w:t xml:space="preserve">            In addition to the suspension of disbursements on all loans to, or guaranteed by, the member country, all loans made</w:t>
        <w:br/>
        <w:t xml:space="preserve">            to or guaranteed by a member of IBRD are placed in nonaccrual status, unless IBRD's management determines that</w:t>
        <w:br/>
        <w:t xml:space="preserve">            the overdue amount will be collected in the immediate future. Unpaid interest and other charges accrued but not yet</w:t>
        <w:br/>
        <w:t xml:space="preserve"> Overdue by</w:t>
        <w:br/>
        <w:t xml:space="preserve">            paid on loans outstanding are deducted from the revenue for the current period. Interest and other charges on</w:t>
        <w:br/>
        <w:t xml:space="preserve"> more than</w:t>
        <w:br/>
        <w:t xml:space="preserve">            nonaccruing exposures are included in revenue only to the extent that payments have been received by IBRD. A</w:t>
        <w:br/>
        <w:t xml:space="preserve"> six months</w:t>
        <w:br/>
        <w:t xml:space="preserve">            decision on the restoration of accrual status is made upon arrears clearance. If collectability risk is considered to be</w:t>
        <w:br/>
        <w:t xml:space="preserve">            particularly high at the time of arrears clearance, the member’s exposures may not automatically emerge from</w:t>
        <w:br/>
        <w:t xml:space="preserve">            nonaccrual status until a suitable period of payment performance has passed.</w:t>
        <w:br/>
        <w:br/>
        <w:br/>
        <w:t>Counterparty Credit Risk</w:t>
        <w:br/>
        <w:t>IBRD is exposed to commercial and non-commercial counterparty credit risk.</w:t>
        <w:br/>
        <w:t>Commercial Counterparty Credit Risk</w:t>
        <w:br/>
        <w:t>Commercial counterparty credit risk is the risk that counterparties fail to meet their payment obligations under the</w:t>
        <w:br/>
        <w:t>terms of the contract or other financial instruments. Effective management of counterparty credit risk is vital to the</w:t>
        <w:br/>
        <w:t>success of IBRD’s funding, investment, and asset/liability management activities. The monitoring and management</w:t>
        <w:br/>
        <w:t>of these risks is continuous as the market environment evolves.</w:t>
        <w:br/>
        <w:br/>
        <w:br/>
        <w:t>48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Section IX: Risk Management</w:t>
        <w:br/>
        <w:br/>
        <w:br/>
        <w:t>IBRD mitigates the counterparty credit risk from its investment and derivative holdings through the credit approval</w:t>
        <w:br/>
        <w:t>process, the use of collateral agreements and risk limits, and other monitoring procedures. The credit approval</w:t>
        <w:br/>
        <w:t>process involves evaluating counterparty and product-specific creditworthiness, assigning internal credit ratings and</w:t>
        <w:br/>
        <w:t>limits, and determining the risk profile of specific transactions. Credit limits are set and monitored throughout the</w:t>
        <w:br/>
        <w:t>year. Counterparty exposure is updated daily, considering the current market values of assets held, estimates of</w:t>
        <w:br/>
        <w:t>potential future movements of exposure for derivative instruments, and related counterparty collateral agreements,</w:t>
        <w:br/>
        <w:t>where collateral posting requirements are based on thresholds driven by public credit ratings. Collateral held</w:t>
        <w:br/>
        <w:t>includes cash and highly rated liquid investment securities. Commercial credit risk management includes ESG</w:t>
        <w:br/>
        <w:t>related assessments in the approval and monitoring of higher exposure counterparties for the liquid asset portfolio</w:t>
        <w:br/>
        <w:t>and for derivative counterparties. In addition, third-party ESG scores of the liquid asset portfolio and derivative</w:t>
        <w:br/>
        <w:t>exposures are monitored.</w:t>
        <w:br/>
        <w:br/>
        <w:t>IBRD’s liquid asset investment portfolio consists mostly of sovereign government bonds, debt instruments issued by</w:t>
        <w:br/>
        <w:t>sovereign government agencies, and bank time deposits. More than half of these investments are with issuers and</w:t>
        <w:br/>
        <w:t>counterparties rated triple-A and AA (Table 31).</w:t>
        <w:br/>
        <w:br/>
        <w:t>Derivative Instruments</w:t>
        <w:br/>
        <w:t>In the normal course of its business, IBRD enters into various derivative instruments to manage foreign exchange</w:t>
        <w:br/>
        <w:t>and interest rate risks. These derivatives are used mainly to meet the financial needs of IBRD borrowers and to</w:t>
        <w:br/>
        <w:t>manage the institution’s exposure to fluctuations in interest and exchange rates. These transactions are conducted</w:t>
        <w:br/>
        <w:t>with other financial institutions and, by their nature, entail commercial counterparty credit risk.</w:t>
        <w:br/>
        <w:t>While the volume of derivative activity can be measured by the contracted notional value of derivatives, notional</w:t>
        <w:br/>
        <w:t>value is not an accurate measure of credit or market risk. IBRD uses the estimated replacement cost of the derivative</w:t>
        <w:br/>
        <w:t>instrument, or potential future exposure to measure counterparty credit risk with these trading partners.</w:t>
        <w:br/>
        <w:t>Under IBRD’s collateral arrangements, IBRD receives collateral when mark-to-market exposure is greater than the</w:t>
        <w:br/>
        <w:t>ratings based collateral threshold. As of June 30, 2024, IBRD had received collateral of cash and securities totaling</w:t>
        <w:br/>
        <w:t>$0.3 billion.</w:t>
        <w:br/>
        <w:t>IBRD is not required to post collateral under its derivative agreements as long as it maintains a triple-A credit rating.</w:t>
        <w:br/>
        <w:t>(For the contractual value, notional amounts, related credit risk exposure amounts, and the amount IBRD would be</w:t>
        <w:br/>
        <w:t>required to post in the event of a downgrade, see Notes to Financial Statements, Note F: Derivative Instruments).</w:t>
        <w:br/>
        <w:t>Investment Securities</w:t>
        <w:br/>
        <w:t>The Board-approved General Investment Authorization provides the basic authority for IBRD to invest its liquid</w:t>
        <w:br/>
        <w:t>assets. Furthermore, all investment activities are conducted in accordance with a more detailed set of Investment</w:t>
        <w:br/>
        <w:t>Guidelines. The Investment Guidelines are approved by the MDCFO and implemented by the Treasurer. These</w:t>
        <w:br/>
        <w:t>Investment Guidelines set out detailed trading and operational rules, including which instruments are eligible for</w:t>
        <w:br/>
        <w:t>investment, and establish risk parameters relative to benchmarks. These include an overall consultative loss limit and</w:t>
        <w:br/>
        <w:t>duration deviation, specifying concentration limits on counterparties and instrument classes, as well as clear lines of</w:t>
        <w:br/>
        <w:t>responsibility for risk monitoring and compliance. Credit risk is controlled by applying eligibility criteria (Box 7).</w:t>
        <w:br/>
        <w:t>The overall market risk of the investment portfolio is subject to a consultative loss limit to reflect a level of tolerance</w:t>
        <w:br/>
        <w:t>for the risk of underperforming the benchmark in any fiscal year. IBRD has procedures in place to monitor</w:t>
        <w:br/>
        <w:t>performance against this limit and potential risks, and it takes appropriate actions if the limit is reached. All</w:t>
        <w:br/>
        <w:t>investments are subject to additional conditions specified by the Chief Risk Officer, as deemed necessary.</w:t>
        <w:br/>
        <w:t>IBRD’s exposure to futures and options and resale agreements is marginal. For futures and options, IBRD generally</w:t>
        <w:br/>
        <w:t>closes out open positions prior to expiration. Futures are settled on a daily basis. In addition, IBRD monitors the fair</w:t>
        <w:br/>
        <w:t>value of resale securities received and, if necessary, closes out transactions and enters into new repriced transactions.</w:t>
        <w:br/>
        <w:t>Management has broadened its universe of investment assets in an effort to achieve greater diversification in the</w:t>
        <w:br/>
        <w:t>portfolio and better risk-adjusted investment performance. This exposure is monitored by the Market and</w:t>
        <w:br/>
        <w:t>Counterparty Risk Department.</w:t>
        <w:br/>
        <w:br/>
        <w:br/>
        <w:t xml:space="preserve">                                           IBRD Management's Discussion and Analysis: June 30, 2024                    49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Section IX: Risk Management</w:t>
        <w:br/>
        <w:br/>
        <w:br/>
        <w:t>Box 7: Eligibility Criteria for IBRD's Investments a</w:t>
        <w:br/>
        <w:t>Instrument Securities                  Description</w:t>
        <w:br/>
        <w:t xml:space="preserve">                                       IBRD may only invest in obligations issued or unconditionally guaranteed by</w:t>
        <w:br/>
        <w:t xml:space="preserve">                                       governments of member countries with a minimum credit rating of AA-. However, no</w:t>
        <w:br/>
        <w:t>Sovereigns</w:t>
        <w:br/>
        <w:t xml:space="preserve">                                       rating is required if government obligations are denominated in the national currency of</w:t>
        <w:br/>
        <w:t xml:space="preserve">                                       the issuer.</w:t>
        <w:br/>
        <w:t xml:space="preserve">                                       IBRD may invest only in obligations issued by an agency or instrumentality of a</w:t>
        <w:br/>
        <w:t>Agencies                               government of a member country, a multilateral organization, or any other official entity</w:t>
        <w:br/>
        <w:t xml:space="preserve">                                       (other than the government of a member country), with a minimum credit rating of AA-.</w:t>
        <w:br/>
        <w:t>Corporates and asset-backed securities IBRD may only invest in securities with a triple-A credit rating.</w:t>
        <w:br/>
        <w:t xml:space="preserve">                                       IBRD may only invest in time deposits issued or guaranteed by financial institutions,</w:t>
        <w:br/>
        <w:t>Time deposits b</w:t>
        <w:br/>
        <w:t xml:space="preserve">                                       whose senior debt securities are rated at least A-.</w:t>
        <w:br/>
        <w:t xml:space="preserve">                                       IBRD may only invest in short-term borrowings (less than 190 days) from commercial</w:t>
        <w:br/>
        <w:t>Commercial Paper</w:t>
        <w:br/>
        <w:t xml:space="preserve">                                       banks, corporates, and financial institutions with at least two Prime-1 ratings.</w:t>
        <w:br/>
        <w:t>Securities lending, and borrowing,     IBRD may engage in securities lending against adequate collateral, repurchases and</w:t>
        <w:br/>
        <w:t>repurchases, resales, and reverse      reverse repurchases, against adequate margin protection, of the securities described</w:t>
        <w:br/>
        <w:t>repurchases                            under the sovereigns, agencies, and corporates and asset-backed security categories.</w:t>
        <w:br/>
        <w:t xml:space="preserve">                                        IBRD may engage in collateralized forward transactions, such as swap, repurchase,</w:t>
        <w:br/>
        <w:t xml:space="preserve">                                        resale, securities lending, or equivalent transactions that involve certain underlying</w:t>
        <w:br/>
        <w:t>Collateral Assets</w:t>
        <w:br/>
        <w:t xml:space="preserve">                                        assets not independently eligible for investment. In each case, adequate margin</w:t>
        <w:br/>
        <w:t xml:space="preserve">                                        protection needs to be received.</w:t>
        <w:br/>
        <w:t>a. All investments are subject to approval by the Market and Counterparty Risk Department and must appear on the “Approved</w:t>
        <w:br/>
        <w:t xml:space="preserve">     List” created by the department.</w:t>
        <w:br/>
        <w:t>b. Time deposits include certificates of deposit, bankers’ acceptances, and other obligations issued or unconditionally</w:t>
        <w:br/>
        <w:t xml:space="preserve">     guaranteed by banks or other financial institutions.</w:t>
        <w:br/>
        <w:br/>
        <w:t>Commercial Counterparty Credit Risk Exposure</w:t>
        <w:br/>
        <w:t>As a result of IBRD’s use of collateral arrangements for swap transactions, its residual commercial counterparty</w:t>
        <w:br/>
        <w:t>credit risk is concentrated in the investment portfolio, in instruments issued by sovereign governments and non-</w:t>
        <w:br/>
        <w:t>sovereign holdings (including agencies, asset-backed securities) (Table 31).</w:t>
        <w:br/>
        <w:t>Table 31: Commercial Credit Exposure, Net of Collateral Held, by Counterparty Rating</w:t>
        <w:br/>
        <w:t>In millions of U.S. dollars</w:t>
        <w:br/>
        <w:t xml:space="preserve">                                                                            June 30, 2024</w:t>
        <w:br/>
        <w:t xml:space="preserve">                                                Investments</w:t>
        <w:br/>
        <w:t xml:space="preserve">                                                                               Net Swap              Total              % of</w:t>
        <w:br/>
        <w:t xml:space="preserve"> Counterparty Rating a               Sovereigns         Non-Sovereigns         Exposure            Exposure             Total</w:t>
        <w:br/>
        <w:t>AAA                                $        9,583     $           8,844    $             —     $        18,427                23 %</w:t>
        <w:br/>
        <w:t>AA                                          6,778               36,481                   54             43,313                54</w:t>
        <w:br/>
        <w:t>A                                           7,240               11,505                  131             18,876                23</w:t>
        <w:br/>
        <w:t>BBB                                             4                    28                  —                  32                   *</w:t>
        <w:br/>
        <w:t>BB or lower/unrated                             —                     7                  —                   7                   *</w:t>
        <w:br/>
        <w:t>Total                              $       23,605     $         56,865     $            185    $        80,655               100 %</w:t>
        <w:br/>
        <w:br/>
        <w:t xml:space="preserve">                                                                            June 30, 2023</w:t>
        <w:br/>
        <w:t xml:space="preserve">                                                Investments</w:t>
        <w:br/>
        <w:t xml:space="preserve">                                                                               Net Swap              Total              % of</w:t>
        <w:br/>
        <w:t xml:space="preserve"> Counterparty Rating a               Sovereigns         Non-Sovereigns         Exposure            Exposure             Total</w:t>
        <w:br/>
        <w:t>AAA                                $       21,337     $           8,157    $             —     $        29,494                38 %</w:t>
        <w:br/>
        <w:t>AA                                            156               31,763                   19             31,938                41</w:t>
        <w:br/>
        <w:t>A                                           7,096                 8,711                 135             15,942                21</w:t>
        <w:br/>
        <w:t>BBB                                             3                    35                  —                  38                   *</w:t>
        <w:br/>
        <w:t>BB or lower/unrated                             —                     3                   2                  5                   *</w:t>
        <w:br/>
        <w:t>Total                              $       28,592     $         48,669     $            156    $        77,417               100 %</w:t>
        <w:br/>
        <w:br/>
        <w:t>a. Average rating is calculated using available ratings from the three major rating agencies; however, if ratings are not available</w:t>
        <w:br/>
        <w:t xml:space="preserve">   from each of the three rating agencies, IBRD uses the average of the ratings available from any of such rating agencies or a</w:t>
        <w:br/>
        <w:t xml:space="preserve">   single rating to the extent that an instrument or issuer (as applicable) is rated by only one rating agency.</w:t>
        <w:br/>
        <w:t>* Indicates percentage less than 0.5%.</w:t>
        <w:br/>
        <w:br/>
        <w:br/>
        <w:t>50 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Section IX: Risk Management</w:t>
        <w:br/>
        <w:br/>
        <w:br/>
        <w:t>IBRD’s overall commercial counterparty credit exposure, net of collateral held, was $80.7 billion as of June 30,</w:t>
        <w:br/>
        <w:t>2024. As shown on Table 31, the credit quality of IBRD’s portfolio remains concentrated in the upper end of the</w:t>
        <w:br/>
        <w:t>credit spectrum, with 77% of the portfolio rated AA or above and the remaining portfolio primarily rated A. The A</w:t>
        <w:br/>
        <w:t>rated counterparties primarily consisted of sovereigns and financial institutions (limited to short-term deposits and</w:t>
        <w:br/>
        <w:t>swaps).</w:t>
        <w:br/>
        <w:br/>
        <w:t>Non-Commercial Counterparty Credit Risk</w:t>
        <w:br/>
        <w:t>In addition to its derivative transactions with commercial counterparties, IBRD offers derivative-intermediation and</w:t>
        <w:br/>
        <w:t>other services to borrowing member countries, as well as to affiliated and non-affiliated organizations, to help meet</w:t>
        <w:br/>
        <w:t>their development needs or to carry out their development mandates (Table 32):</w:t>
        <w:br/>
        <w:t>Table 32: Non-Commercial Counterparty Credit Risk</w:t>
        <w:br/>
        <w:t>In millions of U.S. dollars</w:t>
        <w:br/>
        <w:t>Exposures as of June 30, 2024</w:t>
        <w:br/>
        <w:t>Non-Commercial</w:t>
        <w:br/>
        <w:t xml:space="preserve">                              Instrument used Purpose of derivative transaction               Notional    Net Exposure</w:t>
        <w:br/>
        <w:t>Counterparty</w:t>
        <w:br/>
        <w:t>Borrowing Member            Derivatives        Assist borrowing member countries with     $     7,832 $            —</w:t>
        <w:br/>
        <w:t>Countries                                      managing risks</w:t>
        <w:br/>
        <w:t>Non-Affiliated Organization Derivatives        Assist IFFIm with managing risks                 2,132              —</w:t>
        <w:br/>
        <w:t xml:space="preserve">                                                                                          $     9,964 $            —</w:t>
        <w:br/>
        <w:br/>
        <w:br/>
        <w:t xml:space="preserve">     •     Borrowing Member Countries: Currency and interest rate swap transactions are executed between IBRD</w:t>
        <w:br/>
        <w:t xml:space="preserve">           and its borrowers under master derivative agreements. As of June 30, 2024, the notional amounts were $7.8</w:t>
        <w:br/>
        <w:t xml:space="preserve">           billion with no net exposure to IBRD under these agreements. Expected losses inherent in these exposures</w:t>
        <w:br/>
        <w:t xml:space="preserve">           due to country credit risk are incorporated in the fair value of these instruments.</w:t>
        <w:br/>
        <w:t xml:space="preserve">     •     Affiliated Organizations: Derivative contracts were executed between IBRD and IDA, under an agreement</w:t>
        <w:br/>
        <w:t xml:space="preserve">           allowing IBRD to intermediate derivative contracts on behalf of IDA. As of June 30, 2024, IBRD did not</w:t>
        <w:br/>
        <w:t xml:space="preserve">           have any exposure to IDA under these agreements.</w:t>
        <w:br/>
        <w:t xml:space="preserve">     •     Non-Affiliated Organizations: IBRD has a master derivatives agreement with IFFIm, under which several</w:t>
        <w:br/>
        <w:t xml:space="preserve">           transactions have been executed. As of June 30, 2024, the notional amounts were $2.1 billion with no net</w:t>
        <w:br/>
        <w:t xml:space="preserve">           fair value exposures to IBRD under this agreement. IBRD has the right to call for collateral above an</w:t>
        <w:br/>
        <w:t xml:space="preserve">           agreed specified threshold. As of June 30, 2024, IBRD had not exercised this right, but it reserves the right</w:t>
        <w:br/>
        <w:t xml:space="preserve">           under the existing terms of the agreement. Rather than calling for collateral, IBRD and IFFIm have agreed</w:t>
        <w:br/>
        <w:t xml:space="preserve">           to manage IBRD’s exposure by applying a risk management buffer to the gearing ratio limit. The gearing</w:t>
        <w:br/>
        <w:t xml:space="preserve">           ratio limit represents the maximum amount of IFFIm’s net financial obligations less cash and liquid assets,</w:t>
        <w:br/>
        <w:t xml:space="preserve">           as a percentage of the net present value of its financial assets.</w:t>
        <w:br/>
        <w:t>Credit and Debit Valuation Adjustments</w:t>
        <w:br/>
        <w:t>Most outstanding derivative positions are transacted over the counter and therefore valued using internally</w:t>
        <w:br/>
        <w:t>developed valuation models. For commercial and non-commercial counterparties where IBRD has a net exposure</w:t>
        <w:br/>
        <w:t>(net receivable position), IBRD calculates a Credit Valuation Adjustment (CVA) to reflect credit risk. For net</w:t>
        <w:br/>
        <w:t>derivative positions with commercial and non-commercial counterparties where IBRD is in a net payable position,</w:t>
        <w:br/>
        <w:t>IBRD calculates a Debit Valuation Adjustment (DVA) to reflect its own credit risk.</w:t>
        <w:br/>
        <w:t>The CVA is calculated using future projected exposures of the derivative contracts, net of collateral received under</w:t>
        <w:br/>
        <w:t>credit support agreements, and the probability of counterparty default based on the Credit Default Swaps (CDS)</w:t>
        <w:br/>
        <w:t>spread and, where applicable, proxy CDS spreads. IBRD does not currently hedge this exposure. The DVA</w:t>
        <w:br/>
        <w:t>calculation is generally consistent with the CVA methodology and incorporates IBRD’s own credit spread as</w:t>
        <w:br/>
        <w:t>observed through the CDS market. As of June 30, 2024, IBRD recorded a CVA on its Balance Sheet of $29 million,</w:t>
        <w:br/>
        <w:t>and a DVA of $409 million.</w:t>
        <w:br/>
        <w:br/>
        <w:br/>
        <w:t xml:space="preserve">                                             IBRD Management's Discussion and Analysis: June 30, 2024                  51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IX: Risk Management</w:t>
        <w:br/>
        <w:br/>
        <w:br/>
        <w:t>Changes in Credit Spreads</w:t>
        <w:br/>
        <w:t>The sensitivity of IBRD’s portfolios to credit represents the change in fair value corresponding to changes in credit</w:t>
        <w:br/>
        <w:t>spreads.</w:t>
        <w:br/>
        <w:t xml:space="preserve">  •    Investments: IBRD purchases investment-grade securities for its liquid asset portfolio. Credit risk is</w:t>
        <w:br/>
        <w:t xml:space="preserve">       controlled through appropriate eligibility criteria (Box 7). The overall risk of the investment portfolio is also</w:t>
        <w:br/>
        <w:t xml:space="preserve">       constrained by a consultative loss limit. In line with these risk management strategies, the potential effect of</w:t>
        <w:br/>
        <w:t xml:space="preserve">       default risk on IBRD’s investment portfolio is therefore small.</w:t>
        <w:br/>
        <w:t xml:space="preserve">  •    Borrowings: IBRD’s own credit risk reflects the cost of funding relative to applicable reference rates.</w:t>
        <w:br/>
        <w:t xml:space="preserve">       Changes in IBRD’s credit spreads result in unrealized mark-to-market gains/losses, recorded as Net Change</w:t>
        <w:br/>
        <w:t xml:space="preserve">       in DVA on Fair Value Option elected liabilities in the Statements of Comprehensive Income.</w:t>
        <w:br/>
        <w:t xml:space="preserve">  •   Loans: IBRD’s fair value model represents a hypothetical exit price of the loan portfolio. It incorporates CDS</w:t>
        <w:br/>
        <w:t xml:space="preserve">      spreads as an indicator of the credit risk for each borrower, after adjusting recovery levels to incorporate</w:t>
        <w:br/>
        <w:t xml:space="preserve">      IBRD’s institutional experience and assumptions. These assumptions are reviewed annually. IBRD does not</w:t>
        <w:br/>
        <w:t xml:space="preserve">      hedge its sovereign credit exposure but Management assesses its credit risk through a loan-loss provisioning</w:t>
        <w:br/>
        <w:t xml:space="preserve">      framework. The loan loss provision represents the expected losses inherent in its accrual and nonaccrual</w:t>
        <w:br/>
        <w:t xml:space="preserve">      portfolios. IBRD’s country credit risk is managed by using individual country exposure limits and by</w:t>
        <w:br/>
        <w:t xml:space="preserve">      monitoring its credit-risk-bearing capacity.</w:t>
        <w:br/>
        <w:t xml:space="preserve">  •   Derivatives: IBRD uses derivatives to manage exposures to currency and interest rate risks in its investment,</w:t>
        <w:br/>
        <w:t xml:space="preserve">      loan, other ALM and borrowing portfolios. It is therefore exposed to commercial counterparty credit risk on</w:t>
        <w:br/>
        <w:t xml:space="preserve">      these instruments. This risk is managed through:</w:t>
        <w:br/>
        <w:t xml:space="preserve">         ◦   Stringent selection of commercial derivative counterparties,</w:t>
        <w:br/>
        <w:t xml:space="preserve">         ◦   Daily marking-to-market of derivative positions, and</w:t>
        <w:br/>
        <w:t xml:space="preserve">         ◦   Use of collateral and collateral thresholds for all commercial counterparties.</w:t>
        <w:br/>
        <w:br/>
        <w:t>Market Risk</w:t>
        <w:br/>
        <w:t>IBRD is exposed to changes in interest and exchange rates, and it uses various strategies to minimize its exposure to</w:t>
        <w:br/>
        <w:t>market risk.</w:t>
        <w:br/>
        <w:t>Interest Rate Risk</w:t>
        <w:br/>
        <w:t>Under its current interest rate risk management strategy, IBRD seeks to match the interest rate sensitivity of its</w:t>
        <w:br/>
        <w:t>assets (loan and investment trading portfolios) with those of its liabilities (borrowing portfolio) by using derivatives,</w:t>
        <w:br/>
        <w:t>such as interest rate swaps. These derivatives effectively convert IBRD’s financial assets and liabilities into variable-</w:t>
        <w:br/>
        <w:t>rate instruments. Before these derivatives, 90% of the outstanding borrowings had fixed interest rates, and 12% of</w:t>
        <w:br/>
        <w:t>the loans had fixed interest rates as of June 30, 2024. After considering the effects of these derivatives, virtually the</w:t>
        <w:br/>
        <w:t>entire borrowing and loan portfolios are carried at variable interest rates.</w:t>
        <w:br/>
        <w:t>Alignment of Assets and Liabilities – IBRD borrows in multiple currency and interest rate bases worldwide and</w:t>
        <w:br/>
        <w:t>lends the proceeds of those borrowings to eligible member countries. IBRD offers its borrowers the option of</w:t>
        <w:br/>
        <w:t>converting the currency and interest rate bases on their loans where there is a liquid swap market, thereby enabling</w:t>
        <w:br/>
        <w:t>them to select loan terms that are best suited to their circumstances. Such options meet borrowers’ preferences and</w:t>
        <w:br/>
        <w:t>help mitigate their currency and interest rate risk. In the absence of active risk management, IBRD would be</w:t>
        <w:br/>
        <w:t>exposed to substantial market risk and asset-liability management imbalances. To address such imbalances, IBRD</w:t>
        <w:br/>
        <w:t>uses derivatives to swap its payment obligations on bonds to a currency and interest rate basis that is aligned with its</w:t>
        <w:br/>
        <w:t>loan portfolio. Likewise, when a borrower exercises a conversion option on a loan to change its currency or interest</w:t>
        <w:br/>
        <w:t>rate basis, IBRD uses derivatives to convert its exposure back to a currency and interest rate basis, that is aligned</w:t>
        <w:br/>
        <w:t>with its loan portfolio. Thus, IBRD’s payment obligations on its borrowings are aligned with its loans funded by</w:t>
        <w:br/>
        <w:t>such borrowings – generally, after the effect of derivatives, IBRD primarily pays U.S. dollar, short-term variable</w:t>
        <w:br/>
        <w:t>rates on its borrowings, and receives U.S. dollar, short-term variable rates on its loans. Figure 21 below illustrates</w:t>
        <w:br/>
        <w:t>the use of derivatives in the loan and borrowing portfolios:</w:t>
        <w:br/>
        <w:br/>
        <w:br/>
        <w:t>52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Section IX: Risk Management</w:t>
        <w:br/>
        <w:br/>
        <w:br/>
        <w:t>Figure 21: Use of Derivatives for Loans and Borrowings</w:t>
        <w:br/>
        <w:br/>
        <w:br/>
        <w:t>Derivatives are also used to manage market risk in the liquidity portfolio. In line with its development mandate,</w:t>
        <w:br/>
        <w:t>IBRD maintains a large liquidity balance to ensure that it can make payments on its borrowing obligations and loan</w:t>
        <w:br/>
        <w:t>disbursements, even in the event of severe market disruptions. Pending disbursement, the liquidity portfolio is</w:t>
        <w:br/>
        <w:t>invested on a global basis in multiple currencies and interest rates. Derivatives are also used to align the currency</w:t>
        <w:br/>
        <w:t>and duration of investments with the debt funding the liquidity portfolio. Figure 22 below illustrates the use of</w:t>
        <w:br/>
        <w:t>derivatives in the liquidity portfolio:</w:t>
        <w:br/>
        <w:t>Figure 22: Use of Derivatives for Investments</w:t>
        <w:br/>
        <w:br/>
        <w:br/>
        <w:t>Other ALM – Given most loans carry variable rates, for the portion of loans that are funded by equity, loan interest</w:t>
        <w:br/>
        <w:t>revenue, if left unmanaged, would be highly sensitive to fluctuations in short-term interest rates. The Equity-to-</w:t>
        <w:br/>
        <w:t>Loans ratio of 21.5% indicates the portion of loans funded by equity. To manage this exposure, Management has put</w:t>
        <w:br/>
        <w:t>in place a framework with the primary goal of stabilizing this revenue. Under this framework, IBRD uses derivatives</w:t>
        <w:br/>
        <w:t>to convert the variable rate cash flows on loans funded by equity back to fixed rate cash flows, thereby stabilizing</w:t>
        <w:br/>
        <w:t>loan interest revenue over time. See Figure 23 below.</w:t>
        <w:br/>
        <w:t>Figure 23: Use of Derivatives for Other ALM</w:t>
        <w:br/>
        <w:br/>
        <w:br/>
        <w:t>Although interest rates have been rising, low and negative interest rates present a challenge for various IBRD</w:t>
        <w:br/>
        <w:t>portfolios.</w:t>
        <w:br/>
        <w:br/>
        <w:br/>
        <w:t xml:space="preserve">                                         IBRD Management's Discussion and Analysis: June 30, 2024                53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Section IX: Risk Management</w:t>
        <w:br/>
        <w:br/>
        <w:br/>
        <w:t>Loans to borrowing countries:</w:t>
        <w:br/>
        <w:t>Under IBRD’s loan agreements, if an interest rate formula yields a negative rate, the interest rate charged is zero.</w:t>
        <w:br/>
        <w:t>Liquid Asset Portfolio:</w:t>
        <w:br/>
        <w:t>IBRD’s existing guidelines allow for the investment in a wide variety of credit products in both developed and</w:t>
        <w:br/>
        <w:t>emerging market economies (see investment eligibility criteria in Box 7). In FY24, IBRD’s liquid asset portfolio</w:t>
        <w:br/>
        <w:t>incurred unrealized mark-to-market losses due to the sharp increase in interest rates.</w:t>
        <w:br/>
        <w:t>The interest rate risk on IBRD’s liquid asset portfolio, including the risk that the value of assets in the portfolio will</w:t>
        <w:br/>
        <w:t>fluctuate in response to changes in market interest rates, is managed within specified duration-mismatch limits. The</w:t>
        <w:br/>
        <w:t>liquid asset portfolio has spread exposure because IBRD holds instruments other than short-term bank deposits.</w:t>
        <w:br/>
        <w:t>These investments generally yield positive returns over the risk-free reference rate (SOFR) but can generate mark-</w:t>
        <w:br/>
        <w:t>to-market gains or losses if the credit spread moves.</w:t>
        <w:br/>
        <w:t>.</w:t>
        <w:br/>
        <w:t>Fixed Spread Loan Refinancing Risk</w:t>
        <w:br/>
        <w:t>Refinancing risk for funding fixed-spread loans relates to the potential impact of any future deterioration in IBRD's</w:t>
        <w:br/>
        <w:t>funding spread relative to what was computed in the fixed-spread when the loan was initially disbursed. IBRD does</w:t>
        <w:br/>
        <w:t>not match the maturity of its funding with that of its fixed spread loans as this would result in significantly higher</w:t>
        <w:br/>
        <w:t>financing costs for all loans. Instead, IBRD targets a shorter average funding maturity and manages the refinancing</w:t>
        <w:br/>
        <w:t>risk by charging a risk premium.</w:t>
        <w:br/>
        <w:t>Effective April 1, 2021, IBRD’s offering of loans on fixed spread terms has been suspended.</w:t>
        <w:br/>
        <w:t>Other Interest Rate Risks</w:t>
        <w:br/>
        <w:t>Interest rate risk also arises from other variables, including differences in timing between the contractual maturities</w:t>
        <w:br/>
        <w:t>or re-pricing of IBRD’s assets, liabilities, and derivative instruments. On variable-rate assets and liabilities, IBRD is</w:t>
        <w:br/>
        <w:t>exposed to timing mismatches between the re-set dates on its variable-rate receivables and payables. IBRD monitors</w:t>
        <w:br/>
        <w:t>these exposures and may execute overlay interest rates swaps to reduce sizable timing mismatches.</w:t>
        <w:br/>
        <w:t>Alternative Reference Rate</w:t>
        <w:br/>
        <w:t>As of June 30, 2023, all the LIBOR rates ceased to be provided by any administrator or were no longer</w:t>
        <w:br/>
        <w:t>representative, in line with previous announcements by the Financial Conduct Authority (FCA), the regulator of</w:t>
        <w:br/>
        <w:t>LIBOR. In consideration of the regulatory guidance and in preparation for the global markets’ transition away from</w:t>
        <w:br/>
        <w:t>LIBOR, IBRD took the necessary steps to facilitate a smooth and orderly transition of its financial instruments to</w:t>
        <w:br/>
        <w:t>alternative reference rates. This transition started on January 1, 2022 and was completed as of December 31, 2023</w:t>
        <w:br/>
        <w:t>for all applicable portfolios.</w:t>
        <w:br/>
        <w:t>Exchange Rate Risk</w:t>
        <w:br/>
        <w:t>IBRD holds the majority of its assets and liabilities in U.S. dollars and euro. However, the reported levels of its</w:t>
        <w:br/>
        <w:t>assets, liabilities, income, and expenses in the financial statements are affected by exchange rate movements in all</w:t>
        <w:br/>
        <w:t>the currencies in which IBRD transacts, relative to its reporting currency, the U.S. dollar. IBRD’s functional</w:t>
        <w:br/>
        <w:t>currencies are the U.S. dollar and euro. Currency translation adjustments relating to euro-denominated balances are</w:t>
        <w:br/>
        <w:t>reflected in other comprehensive income, a component of equity. Currency translation adjustments relating to non-</w:t>
        <w:br/>
        <w:t>euro denominated balances (non-functional currencies) are reported in the Statements of Income. While IBRD’s</w:t>
        <w:br/>
        <w:t>equity could be affected by exchange rate movements, IBRD’s risk management policies work to minimize the</w:t>
        <w:br/>
        <w:t>exchange rate risk in its capital adequacy, by immunizing the Equity-to-Loans ratio against exchange rate</w:t>
        <w:br/>
        <w:t>movements.</w:t>
        <w:br/>
        <w:t>To minimize exchange risk, IBRD matches its borrowing obligations in any one currency (after derivatives) with</w:t>
        <w:br/>
        <w:t>assets in the same currency (Figure 24). In addition, IBRD undertakes periodic currency conversions to align the</w:t>
        <w:br/>
        <w:t>currency composition of its equity with that of its outstanding loans across major currencies. Together, these policies</w:t>
        <w:br/>
        <w:t>are designed to minimize the impact of exchange rate fluctuations on the Equity-to-Loans ratio; thereby preserving</w:t>
        <w:br/>
        <w:t>IBRD’s ability to better absorb unexpected losses from arrears on loan repayments, regardless of exchange rate</w:t>
        <w:br/>
        <w:br/>
        <w:br/>
        <w:t>54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  Section IX: Risk Management</w:t>
        <w:br/>
        <w:br/>
        <w:br/>
        <w:t>movements. As a result, exchange rate movements during the year generally do not have an impact on the overall</w:t>
        <w:br/>
        <w:t>Equity-to-Loans ratio.</w:t>
        <w:br/>
        <w:t>Figure 24: Currency Composition of Loan and Borrowing Portfolios as of June 30, 2024</w:t>
        <w:br/>
        <w:t xml:space="preserve">         Loans outstanding (including Derivatives)                        Borrowings funding loans (including Derivatives)</w:t>
        <w:br/>
        <w:t xml:space="preserve">                   Others                                                                  Others</w:t>
        <w:br/>
        <w:t xml:space="preserve">                   *                                                                       *</w:t>
        <w:br/>
        <w:t xml:space="preserve">                                             Euro                                                         Euro</w:t>
        <w:br/>
        <w:t xml:space="preserve">                                             18%                                                          18%</w:t>
        <w:br/>
        <w:br/>
        <w:br/>
        <w:t xml:space="preserve">                                                                              U.S. Dollars</w:t>
        <w:br/>
        <w:t xml:space="preserve">        U.S. Dollars                                                          82%</w:t>
        <w:br/>
        <w:t xml:space="preserve">        82%</w:t>
        <w:br/>
        <w:br/>
        <w:br/>
        <w:t>* Denotes percentage less than 0.5%.</w:t>
        <w:br/>
        <w:br/>
        <w:t>Liquidity Risk</w:t>
        <w:br/>
        <w:t>Liquidity risk arises in the general funding of IBRD’s activities and in managing its financial position. It includes</w:t>
        <w:br/>
        <w:t>the risk of IBRD being unable to fund its portfolio of assets at appropriate maturities and rates, and the risk of being</w:t>
        <w:br/>
        <w:t>unable to liquidate a position in a timely manner at a reasonable price.</w:t>
        <w:br/>
        <w:t>Under IBRD’s liquidity management guidelines, aggregate liquid asset holdings are kept at or above a specified</w:t>
        <w:br/>
        <w:t>Prudential Minimum to safeguard against cash flow interruptions.</w:t>
        <w:br/>
        <w:t>The Target Liquidity Level represents twelve-months’ coverage as calculated at the start of every fiscal year. The</w:t>
        <w:br/>
        <w:t>Prudential Minimum is defined as 80% of the Target Liquidity Level. The maximum guideline of 150% of the</w:t>
        <w:br/>
        <w:t>Target Liquidity Level continues to function as a guideline rather than a hard ceiling (Table 33).</w:t>
        <w:br/>
        <w:br/>
        <w:t>Table 33: Liquidity Levels</w:t>
        <w:br/>
        <w:t xml:space="preserve">                                                        In billions of      % of Target</w:t>
        <w:br/>
        <w:t xml:space="preserve"> Effective for FY24                                     U.S. dollars     Liquidity Level</w:t>
        <w:br/>
        <w:t>Target Liquidity Level                              $           59.0</w:t>
        <w:br/>
        <w:t>Guideline Maximum Liquidity Level                               88.5             150 %</w:t>
        <w:br/>
        <w:t>Prudential Minimum Liquidity Level                              47.2              80 %</w:t>
        <w:br/>
        <w:t>Liquid Asset Portfolio as of June 30, 2024          $           78.8             134 %</w:t>
        <w:br/>
        <w:br/>
        <w:t>The FY25 Target Liquidity Level is set at $65.0 billion, $6.0 billion higher than FY24 Target Liquidity Level due to</w:t>
        <w:br/>
        <w:t>higher projected debt service in FY25.</w:t>
        <w:br/>
        <w:t>Operational Risk</w:t>
        <w:br/>
        <w:t>Operational risk is defined as the risk of financial loss or damage to IBRD’s reputation resulting from inadequate or</w:t>
        <w:br/>
        <w:t>failed internal processes, people and systems, or from external events.</w:t>
        <w:br/>
        <w:t>IBRD recognizes the importance of operational risk management activities, which are embedded in its financial</w:t>
        <w:br/>
        <w:t>operations. As part of its business activities, IBRD is exposed to a range of operational risks including physical</w:t>
        <w:br/>
        <w:t>security, staff health and safety, information security and data privacy, business continuity, and third-party risks.</w:t>
        <w:br/>
        <w:t>IBRD’s approach to identifying and managing operational risk includes a dedicated program for these risks and a</w:t>
        <w:br/>
        <w:t>robust process that includes assessing and prioritizing operational risks, monitoring and reporting relevant key risk</w:t>
        <w:br/>
        <w:t>indicators, aggregating and analyzing internal and external events, identifying emerging risks that may affect</w:t>
        <w:br/>
        <w:t>business units, and developing risk responses and mitigating actions.</w:t>
        <w:br/>
        <w:br/>
        <w:br/>
        <w:t xml:space="preserve">                                               IBRD Management's Discussion and Analysis: June 30, 2024                      55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IX: Risk Management</w:t>
        <w:br/>
        <w:br/>
        <w:br/>
        <w:t>Cybersecurity Risk Management</w:t>
        <w:br/>
        <w:t>IBRD’s operations rely on the secure processing, storage and transmission of confidential and other information in</w:t>
        <w:br/>
        <w:t>computer systems and networks. Like other financial institutions, cybersecurity risk continues to be significant for</w:t>
        <w:br/>
        <w:t>IBRD due to the evolving sophistication and complexity of the cyber threat landscape. These risks are unavoidable</w:t>
        <w:br/>
        <w:t>and IBRD seeks to manage them on a cost-effective basis consistent with its risk appetite.</w:t>
        <w:br/>
        <w:t>To protect the security of its computer systems, software, networks and other technology assets, IBRD has</w:t>
        <w:br/>
        <w:t>developed a cybersecurity risk management program, aligned with its Operational Risk Management Framework.</w:t>
        <w:br/>
        <w:t>This program consists of cybersecurity policies, procedures, compliance and awareness programs. A multi-layered</w:t>
        <w:br/>
        <w:t>approach for cybersecurity risk management is employed to prevent and detect malicious activity, both from within</w:t>
        <w:br/>
        <w:t>the organization and from external sources. In response to emerging cyber threats such as malware including</w:t>
        <w:br/>
        <w:t>ransomware, denial of service, phishing attacks and artificial intelligence related risks, IBRD adapts its technical and</w:t>
        <w:br/>
        <w:t>process-level controls and enhances user awareness to mitigate the risk. When relying on third-party vendors for</w:t>
        <w:br/>
        <w:t>technology-enabled services, additional meaningful and diligent measures are applied to gain assurance regarding</w:t>
        <w:br/>
        <w:t>the security of its information and technology assets including, as appropriate, legal and cybersecurity contractual</w:t>
        <w:br/>
        <w:t>safeguards in third-party vendor agreements and the review and monitoring of third-party control environments.</w:t>
        <w:br/>
        <w:t>IBRD periodically assesses the maturity and effectiveness of its cyber defenses through risk mitigation techniques,</w:t>
        <w:br/>
        <w:t>including but not limited to, targeted testing, internal and external audits, incident response desktop exercises and</w:t>
        <w:br/>
        <w:t>industry benchmarking.</w:t>
        <w:br/>
        <w:br/>
        <w:br/>
        <w:t>56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X: Contractual Obligations</w:t>
        <w:br/>
        <w:br/>
        <w:br/>
        <w:t>Section X: Contractual Obligations</w:t>
        <w:br/>
        <w:t>In conducting its business, IBRD takes on contractual obligations that may require future payments. These include</w:t>
        <w:br/>
        <w:t>borrowings, operating leases, contractual purchases, capital expenditures, and other long-term liabilities. Table 34</w:t>
        <w:br/>
        <w:t>shows IBRD’s contractual obligations for the next five years and thereafter; it excludes the following obligations</w:t>
        <w:br/>
        <w:t>reflected on IBRD’s Balance Sheets: undisbursed loans, amounts payable for currency and interest rate swaps,</w:t>
        <w:br/>
        <w:t>amounts payable for investment securities purchased, guarantees, and cash received under agency arrangements.</w:t>
        <w:br/>
        <w:t xml:space="preserve">  •    Borrowings: IBRD issues debt in the form of securities to private and governmental buyers.</w:t>
        <w:br/>
        <w:t xml:space="preserve">  •    Operating Leases: IBRD leases real estate and equipment under lease agreements for varying periods.</w:t>
        <w:br/>
        <w:t xml:space="preserve">       Operating lease expenditures represents future cash payments for real estate-related obligations and</w:t>
        <w:br/>
        <w:t xml:space="preserve">       equipment, based on contractual amounts.</w:t>
        <w:br/>
        <w:t xml:space="preserve">  •    Contractual Purchases: IBRD is a party to various obligations to purchase products and services, which are</w:t>
        <w:br/>
        <w:t xml:space="preserve">       purchase commitments in the ordinary course of business.</w:t>
        <w:br/>
        <w:t xml:space="preserve">  •    Other Long-Term Liabilities: IBRD provides a variety of benefits to its employees. As some of these benefits</w:t>
        <w:br/>
        <w:t xml:space="preserve">       are of a long-term nature, IBRD records the associated liability on its Balance Sheets. The obligations payable</w:t>
        <w:br/>
        <w:t xml:space="preserve">       represents expected benefit payments as well as contributions to the pension plans. These include future</w:t>
        <w:br/>
        <w:t xml:space="preserve">       service and pay accruals for current staff and new staff projections for the next 10 years.</w:t>
        <w:br/>
        <w:t>Operating leases, contractual purchases and capital expenditures, and other long-term obligations include obligations</w:t>
        <w:br/>
        <w:t>shared with IDA, IFC, and MIGA under cost-sharing and service arrangements. These arrangements reflect the</w:t>
        <w:br/>
        <w:t>WBG strategy of maximizing synergies, to best leverage resources for development (see Notes to Financial</w:t>
        <w:br/>
        <w:t>Statements, Note H for Transactions with Affiliated Organizations).</w:t>
        <w:br/>
        <w:br/>
        <w:t>Table 34: Contractual Obligations</w:t>
        <w:br/>
        <w:t>In millions of U.S. dollars</w:t>
        <w:br/>
        <w:t xml:space="preserve">                                                                            As of June 30, 2024</w:t>
        <w:br/>
        <w:t xml:space="preserve">                                                             Due after 1        Due after 3</w:t>
        <w:br/>
        <w:t xml:space="preserve">                                         Due in 1 year                                                Due After 5</w:t>
        <w:br/>
        <w:t xml:space="preserve">                                                             Year up to 3      Years up to 5                             Total</w:t>
        <w:br/>
        <w:t xml:space="preserve">                                           or Less                                                      years</w:t>
        <w:br/>
        <w:t xml:space="preserve">                                                               Years              Years</w:t>
        <w:br/>
        <w:t>Borrowings (at fair value)              $       41,955   $         63,965     $       62,036      $         93,834   $    261,790</w:t>
        <w:br/>
        <w:t>Operating leases                                    62                 76                 45                 1,134          1,317</w:t>
        <w:br/>
        <w:t>Contractual purchases                               52                 11                 —                     —              63</w:t>
        <w:br/>
        <w:t>Other long-term liabilities                        736                147                104                   204          1,191</w:t>
        <w:br/>
        <w:t>Total                                   $       42,805   $         64,199     $       62,185      $         95,172   $    264,361</w:t>
        <w:br/>
        <w:br/>
        <w:br/>
        <w:t xml:space="preserve">                                            IBRD Management's Discussion and Analysis: June 30, 2024                             57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Section XI: Pension and Other Post-Retirement Benefits</w:t>
        <w:br/>
        <w:br/>
        <w:br/>
        <w:t>Section XI: Pension and Other Post-Retirement Benefits</w:t>
        <w:br/>
        <w:t>Governance</w:t>
        <w:br/>
        <w:t>IBRD participates, along with IFC and MIGA, in pension and post-retirement benefit plans. The Staff Retirement</w:t>
        <w:br/>
        <w:t>Plan (SRP), Retired Staff Benefits Plan (RSBP), and PEBP (collectively called the “Plans”) are defined benefit plans</w:t>
        <w:br/>
        <w:t>and cover substantially all WBG employees, retirees and their beneficiaries. Costs, assets, and liabilities associated</w:t>
        <w:br/>
        <w:t>with the Plans are allocated among IBRD, IFC, and MIGA, based on their employees' respective participation in the</w:t>
        <w:br/>
        <w:t>Plans. Costs allocated to IBRD are subsequently shared with IDA, based on an agreed cost-sharing ratio (see Notes</w:t>
        <w:br/>
        <w:t>to Financial Statements, Note K: Pension and Other Post-Retirement Benefits).</w:t>
        <w:br/>
        <w:t>The benefits of the Plans at retirement are determined pursuant to the Plan Documents adopted by the Board (Plan</w:t>
        <w:br/>
        <w:t>Document). IBRD has a contractual obligation to make benefit payments to the Plans’ beneficiaries. The governance</w:t>
        <w:br/>
        <w:t>mechanism of the Plans, including the funding and investment policies described here, are designed to support this</w:t>
        <w:br/>
        <w:t>objective.</w:t>
        <w:br/>
        <w:t>There are two committees that govern the Plans. From a governance standpoint, both committees are independent of</w:t>
        <w:br/>
        <w:t>IBRD and the Board.</w:t>
        <w:br/>
        <w:t xml:space="preserve">     •   The Pension Finance Committee (PFC), which is responsible for the financial management of the Plans and</w:t>
        <w:br/>
        <w:t xml:space="preserve">         is supported by the Pension Finance Administrator.</w:t>
        <w:br/>
        <w:t xml:space="preserve">     •   The Pension Benefits Administration Committee (PBAC), which is responsible for the administration of the</w:t>
        <w:br/>
        <w:t xml:space="preserve">         benefits of the Plans.</w:t>
        <w:br/>
        <w:t>Contributions to the SRP and RSBP are irrevocable, with assets held in separate trusts, and the PEBP assets are</w:t>
        <w:br/>
        <w:t>included in IBRD's investment portfolio. IBRD acts as trustee for the Plans and the assets are used for the exclusive</w:t>
        <w:br/>
        <w:t>benefit of the participants and their beneficiaries. The objective of the Plans is to accumulate sufficient assets to</w:t>
        <w:br/>
        <w:t>meet future pension benefit obligations. As of June 30, 2024, IBRD and IDA’s share of the assets amounted to $32.4</w:t>
        <w:br/>
        <w:t>billion (Table 35). This represents the accumulated contributions paid into the plans net of benefit payments,</w:t>
        <w:br/>
        <w:t>together with the accumulated value of investment earnings, net of related expenses.</w:t>
        <w:br/>
        <w:t>Funding and Investment Policies</w:t>
        <w:br/>
        <w:t>The key policies underpinning the financial management of the Plans, including the determination of WBG</w:t>
        <w:br/>
        <w:t>contributions and the investment of Plan assets, are the funding and investment policies. The objective of these</w:t>
        <w:br/>
        <w:t>policies is to ensure that the Plans have sufficient assets to meet benefit payments over the long term. The funding</w:t>
        <w:br/>
        <w:t>policy, as approved by the PFC, establishes the rules that determine the WBG’s contributions. The policy seeks to</w:t>
        <w:br/>
        <w:t>fund the Plans in a consistent and timely manner, while at the same time avoiding excessive volatility in WBG</w:t>
        <w:br/>
        <w:t>contributions. The funding policy determines how much the WBG must contribute annually to sustain and ensure</w:t>
        <w:br/>
        <w:t>the accumulation of sufficient assets over time to meet the expected benefit payments. Under the Plan Document, the</w:t>
        <w:br/>
        <w:t>PFC determines the WBG contribution based on actuarial valuations. IBRD is required to make the contribution</w:t>
        <w:br/>
        <w:t>determined by the PFC. In FY24, the WBG’s rate for contributions to the Plans was 14.75% of salaries.</w:t>
        <w:br/>
        <w:t>The Projected Benefit Obligation (PBO) is derived from AA-rated corporate bonds, as required by U.S. GAAP. The</w:t>
        <w:br/>
        <w:t>selection of this rate as the basis for the discount rate is to establish a liability equivalent to an amount that if</w:t>
        <w:br/>
        <w:t>invested in high-quality fixed income securities would match the benefit payment stream. While this measure is</w:t>
        <w:br/>
        <w:t>based on an objective, observable market rate, it does not necessarily reflect the realized or expected returns of the</w:t>
        <w:br/>
        <w:t>Plan which depend on how the Plans are managed and invested. The PBO for funding purposes is discounted using a</w:t>
        <w:br/>
        <w:t>3.5% real discount rate since the funding strategy for the Plans is based on a target of 3.5% real return on</w:t>
        <w:br/>
        <w:t>investments. This rate constitutes the long-term return objective for the Plan’s assets, referred to as the Long-Term</w:t>
        <w:br/>
        <w:t>Real Return Objective (LTRRO), which Management has followed since the year ended June 30, 1999 and last</w:t>
        <w:br/>
        <w:t>reaffirmed under the strategic asset allocation review in April 2024. If the return on pension assets is 3.5% in real</w:t>
        <w:br/>
        <w:t>terms and contributions are made at the actuarially required rates (which reflect the long-term cost of the plan</w:t>
        <w:br/>
        <w:t>benefit), the Plan benefits will be funded over time.</w:t>
        <w:br/>
        <w:t>The assets of the Plans are diversified across a variety of asset classes, with the objective of achieving returns</w:t>
        <w:br/>
        <w:t>consistent with the LTRRO over the long term without taking undue risks. The returns on investments for the Plans</w:t>
        <w:br/>
        <w:br/>
        <w:br/>
        <w:t>58 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Section XI: Pension and Other Post-Retirement Benefits</w:t>
        <w:br/>
        <w:br/>
        <w:br/>
        <w:t>have met or exceeded the LTRRO on a consistent basis in the long term as well as in recent years. The PFC</w:t>
        <w:br/>
        <w:t>periodically reviews the LTRRO for realism and appropriateness. See Notes to Financial Statements, Note K:</w:t>
        <w:br/>
        <w:t>Pension and Other Post-Retirement Benefits for asset allocation, expected return on Plan assets and assumptions</w:t>
        <w:br/>
        <w:t>used to determine the PBO.</w:t>
        <w:br/>
        <w:t>Environmental, Social and Governance (ESG) Policies</w:t>
        <w:br/>
        <w:t>The Plan has a long-standing ESG policy that reflects the latest developments in and understanding of responsible</w:t>
        <w:br/>
        <w:t>investments and ESG integration. The ESG policy is based on a principled and pragmatic approach in accordance</w:t>
        <w:br/>
        <w:t>with and subject to the fiduciary standard applicable to the administration and investment of Plan assets. The Plan’s</w:t>
        <w:br/>
        <w:t>ESG policy outlines a practical approach to ESG integration and responsible ownership, providing an operational</w:t>
        <w:br/>
        <w:t>framework for a consistent consideration of relevant ESG issues applicable to each asset class, as well as for the</w:t>
        <w:br/>
        <w:t>conduct of corporate engagement and proxy voting on the Plan’s equity holdings.</w:t>
        <w:br/>
        <w:br/>
        <w:t>Projected Benefit Obligations</w:t>
        <w:br/>
        <w:t>Given that pension plan liabilities can be defined and measured in different ways, it is possible to have different</w:t>
        <w:br/>
        <w:t>funded status measures for the same plans. The most widely used and publicly disclosed measure of pension plan</w:t>
        <w:br/>
        <w:t>liabilities is the PBO measure required under U.S. GAAP. It reflects the present value of all retirement benefits</w:t>
        <w:br/>
        <w:t>earned by participants (adjusted for assumed inflation) as of a given date, including projected salary increases to</w:t>
        <w:br/>
        <w:t>retirement. Therefore, the PBO measure is an appropriate metric for assessing the ability of the Plans to cover</w:t>
        <w:br/>
        <w:t>expected benefits as of a certain date. The underlying actuarial assumptions used to determine the PBO, accumulated</w:t>
        <w:br/>
        <w:t>benefit obligations, and funded status associated with the Plans are based on financial market interest rates,</w:t>
        <w:br/>
        <w:t>experience, and Management's best estimate of future benefit changes, economic conditions and earnings from plan</w:t>
        <w:br/>
        <w:t>assets.</w:t>
        <w:br/>
        <w:br/>
        <w:t>Table 35: Funded Status of the Plans</w:t>
        <w:br/>
        <w:t>In millions of U.S. dollars</w:t>
        <w:br/>
        <w:t xml:space="preserve">                                                                          As of June 30, 2024</w:t>
        <w:br/>
        <w:t xml:space="preserve">                                                             SRP             RSBP              PEBP               Total</w:t>
        <w:br/>
        <w:t xml:space="preserve"> PBO                                            $        (22,166) $        (3,408) $          (2,097) $       (27,671)</w:t>
        <w:br/>
        <w:t xml:space="preserve"> Plan assets                                               25,689            4,540              2,135           32,364</w:t>
        <w:br/>
        <w:t xml:space="preserve">    Net position                                $           3,523 $          1,132 $               38 $          4,693</w:t>
        <w:br/>
        <w:br/>
        <w:br/>
        <w:t xml:space="preserve"> IBRD's funded status                                                                                            2,235</w:t>
        <w:br/>
        <w:br/>
        <w:br/>
        <w:t xml:space="preserve">                                                                          As of June 30, 2023</w:t>
        <w:br/>
        <w:t xml:space="preserve">                                                             SRP             RSBP              PEBP               Total</w:t>
        <w:br/>
        <w:t xml:space="preserve"> PBO                                            $        (21,208) $        (3,341) $          (2,057) $       (26,606)</w:t>
        <w:br/>
        <w:t xml:space="preserve"> Plan assets                                               24,565            4,281              1,953           30,799</w:t>
        <w:br/>
        <w:t xml:space="preserve">    Net position                                $          3,357 $             940 $           (104) $           4,193</w:t>
        <w:br/>
        <w:br/>
        <w:br/>
        <w:t xml:space="preserve"> IBRD's funded status                                                                                            1,980</w:t>
        <w:br/>
        <w:br/>
        <w:t>The discount rate used to convert future obligations into today’s dollars is derived from high-grade, AA-rated</w:t>
        <w:br/>
        <w:t>corporate bond yields as required by U.S. GAAP. The overfunded status of the pension plans for IBRD and IDA of</w:t>
        <w:br/>
        <w:t>$4,693 million as of June 30, 2024, net of PEBP assets, primarily reflects the increase in the value of the Plan Assets</w:t>
        <w:br/>
        <w:t>due to higher-than-expected asset returns. As the Plans are managed with a long-term horizon, results over shorter</w:t>
        <w:br/>
        <w:t>time periods may be impacted positively or negatively by market fluctuations.</w:t>
        <w:br/>
        <w:br/>
        <w:br/>
        <w:t xml:space="preserve">                                         IBRD Management's Discussion and Analysis: June 30, 2024                  59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Section XII: Critical Accounting Policies and the Use of Estimates</w:t>
        <w:br/>
        <w:br/>
        <w:br/>
        <w:t>Section XII: Critical Accounting Policies and the Use of Estimates</w:t>
        <w:br/>
        <w:t>IBRD’s significant accounting policies, as well as estimates made by Management, are integral to its financial</w:t>
        <w:br/>
        <w:t>reporting. While all of these policies require a certain level of judgment and estimates, significant policies require</w:t>
        <w:br/>
        <w:t>Management to make highly difficult, complex, and subjective judgments as these relate to matters inherently</w:t>
        <w:br/>
        <w:t>uncertain and susceptible to change. Note A to the financial statements contains a summary of IBRD’s significant</w:t>
        <w:br/>
        <w:t>accounting policies including a discussion of recently issued accounting pronouncements.</w:t>
        <w:br/>
        <w:t>Fair Value of Financial Instruments</w:t>
        <w:br/>
        <w:t>The fair values of financial instruments are based on a three-level hierarchy. For financial instruments classified as</w:t>
        <w:br/>
        <w:t>Level 1 or 2, less judgment is applied in arriving at fair value measures as the inputs are based on observable market</w:t>
        <w:br/>
        <w:t>data. For financial instruments classified as Level 3, unobservable inputs are used. These require Management to</w:t>
        <w:br/>
        <w:t>make important assumptions and judgments in determining fair value measures. Investments measured at net asset</w:t>
        <w:br/>
        <w:t>value per share (or its equivalent) are not classified in the fair value hierarchy.</w:t>
        <w:br/>
        <w:t>Most of IBRD’s financial instruments which are recorded at fair value are classified as Levels 1 and 2. Table 36</w:t>
        <w:br/>
        <w:t>presents the summary of the fair value of financial instruments recorded at fair value on a recurring basis, and the</w:t>
        <w:br/>
        <w:t>amounts measured using significant Level 3 inputs. IBRD’s level 3 instruments are mainly structured bonds and</w:t>
        <w:br/>
        <w:t>related swaps held in the borrowing portfolio; these use market observable inputs and unobservable inputs such as</w:t>
        <w:br/>
        <w:t>correlations and interest rate volatilities. There were no Level 3 instruments in IBRD’s investment or loan portfolios</w:t>
        <w:br/>
        <w:t>as of June 30, 2024. All of IBRD’s loans were carried at amortized cost as of June 30, 2024.</w:t>
        <w:br/>
        <w:br/>
        <w:t>Table 36: Fair Value Level 3 Summary</w:t>
        <w:br/>
        <w:t>In millions U.S. dollars</w:t>
        <w:br/>
        <w:t>For the fiscal year ended June 30,                                 2024                               2023</w:t>
        <w:br/>
        <w:t xml:space="preserve">                                                                           Total</w:t>
        <w:br/>
        <w:t xml:space="preserve">                                                         Level 3                            Level 3          Total Balance</w:t>
        <w:br/>
        <w:t xml:space="preserve">                                                                          Balance</w:t>
        <w:br/>
        <w:t>Total Assets at fair value                        $            263   $      94,842     $          221   $            92,093</w:t>
        <w:br/>
        <w:t>As a percentage of total assets                               0.28 %                             0.24 %</w:t>
        <w:br/>
        <w:br/>
        <w:t>Total Liabilities at fair value                   $          4,349   $ 296,712         $        3,949   $           277,016</w:t>
        <w:br/>
        <w:t>As a percentage of total liabilities                          1.47 %                             1.43 %</w:t>
        <w:br/>
        <w:br/>
        <w:br/>
        <w:t>IBRD reviews the methodology, inputs, and assumptions on a quarterly basis to assess the appropriateness of the fair</w:t>
        <w:br/>
        <w:t>value hierarchy classification of each financial instrument.</w:t>
        <w:br/>
        <w:t>Some financial instruments are valued using pricing models. The valuation group, independent of the treasury and</w:t>
        <w:br/>
        <w:t>financial reporting functions, reviews all financial instrument models affecting financial reporting through fair value</w:t>
        <w:br/>
        <w:t>and assesses model appropriateness and consistency. The review looks at whether the models accurately reflect the</w:t>
        <w:br/>
        <w:t>characteristics of the transaction and its risks, the suitability and convergence properties of numerical algorithms, the</w:t>
        <w:br/>
        <w:t>reliability of data sources, the consistency of the treatment with models for similar products, and sensitivity to input</w:t>
        <w:br/>
        <w:t>parameters and assumptions that cannot be priced from the market.</w:t>
        <w:br/>
        <w:t>Reviews are conducted of new and/or changed models, as well as previously validated models, to assess whether</w:t>
        <w:br/>
        <w:t>any changes in the product or market may have affected the model’s continued validity and whether any theoretical</w:t>
        <w:br/>
        <w:t>or competitive developments may require reassessment of the model’s adequacy.</w:t>
        <w:br/>
        <w:t>The financial models used for input to IBRD’s financial statements are subject to both internal and periodic external</w:t>
        <w:br/>
        <w:t>verification and review by qualified personnel.</w:t>
        <w:br/>
        <w:t>In cases where Management relies on instrument valuations supplied by external pricing vendors, procedures are in</w:t>
        <w:br/>
        <w:t>place to validate the appropriateness of the models used, as well as the inputs applied in determining those values.</w:t>
        <w:br/>
        <w:br/>
        <w:br/>
        <w:t>60 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Section XII: Critical Accounting Policies and the Use of Estimates</w:t>
        <w:br/>
        <w:br/>
        <w:br/>
        <w:t>Provision for Losses on Loans and Other Exposures</w:t>
        <w:br/>
        <w:t>IBRD evaluates estimated exposures over the life of loans and other exposures, to incorporate undisbursed loan</w:t>
        <w:br/>
        <w:t>commitments in the measure of exposure, and to incorporate estimations of future market conditions for a</w:t>
        <w:br/>
        <w:t>reasonable and supportable forecast period along with historical experience. The overall provision for expected</w:t>
        <w:br/>
        <w:t>losses is the sum of the computed annual losses, taking into account borrower risk ratings and associated expected</w:t>
        <w:br/>
        <w:t>default frequencies, estimates of exposure, and severity of loss given default.</w:t>
        <w:br/>
        <w:br/>
        <w:t>For loans carried at fair value, if any, the credit risk assessment is a determinant of fair value.</w:t>
        <w:br/>
        <w:t>The determination of a borrower's risk rating is based on complex variables such as: political risk, external debt and</w:t>
        <w:br/>
        <w:t>liquidity, fiscal policy and the public debt burden, balance of payments risks, economic structure and growth</w:t>
        <w:br/>
        <w:t>prospects, monetary and exchange rate policy, and financial sector risks and corporate sector debt and other</w:t>
        <w:br/>
        <w:t>vulnerabilities. Additionally, estimations of disbursements and repayments of exposures are made, as well as</w:t>
        <w:br/>
        <w:t>estimations of future interest cash flows based on forward looking market variables, and the impact of any credit</w:t>
        <w:br/>
        <w:t>enhancement arrangements IBRD has received.</w:t>
        <w:br/>
        <w:t>IBRD periodically reviews these variables and reassesses the adequacy of the accumulated provision accordingly.</w:t>
        <w:br/>
        <w:t>Actual losses may differ from expected losses owing to unforeseen changes in any of the variables affecting the</w:t>
        <w:br/>
        <w:t>creditworthiness or estimates inherent in the exposure measurements of borrowers.</w:t>
        <w:br/>
        <w:t>The Credit Risk Committee monitors aspects of country credit risk, in particular, reviewing the provision for losses</w:t>
        <w:br/>
        <w:t>on loans and guarantees taking into account, among other factors, any changes in exposure, risk ratings of borrowing</w:t>
        <w:br/>
        <w:t>member countries, or changes between the accrual and nonaccrual portfolios.</w:t>
        <w:br/>
        <w:t>The accumulated provision for loan losses is reported separately in the Balance Sheets as a reduction from IBRD’s</w:t>
        <w:br/>
        <w:t>total loans outstanding. The accumulated provision for losses on loan commitments and other exposures is included</w:t>
        <w:br/>
        <w:t>in accounts payable and miscellaneous liabilities. Increases or decreases in the accumulated provision for losses on</w:t>
        <w:br/>
        <w:t>loans and other exposures are reported in the Statements of Income as a Provision for losses on loans and other</w:t>
        <w:br/>
        <w:t>exposures (see Notes to Financial Statements: Note A: Summary of Significant Accounting and Related Policies and</w:t>
        <w:br/>
        <w:t>Note D: Loans and Other Exposures).</w:t>
        <w:br/>
        <w:t>Pension and Other Post-Retirement Benefits</w:t>
        <w:br/>
        <w:t>The underlying actuarial assumptions used to determine the PBO, accumulated benefit obligations, and funded status</w:t>
        <w:br/>
        <w:t>associated with IBRD pension and other post-retirement benefit plans are based on financial market interest rates,</w:t>
        <w:br/>
        <w:t>experience, and Management's best estimate of future benefit changes and economic conditions. All costs, assets and</w:t>
        <w:br/>
        <w:t>liabilities associated with these plans are allocated between IBRD, IFC, and MIGA based upon their employees’</w:t>
        <w:br/>
        <w:t>respective participation in the plans. Costs allocated to IBRD are then shared between IBRD and IDA based on an</w:t>
        <w:br/>
        <w:t>agreed cost-sharing ratio. IDA, IFC and MIGA reimburse IBRD for their proportionate share of any contributions</w:t>
        <w:br/>
        <w:t>made to these plans by IBRD. Contributions to the plans are calculated as a percentage of salary (see Notes to</w:t>
        <w:br/>
        <w:t>Financial Statements, Note K: Pension and Other Post-Retirement Benefits).</w:t>
        <w:br/>
        <w:br/>
        <w:br/>
        <w:t xml:space="preserve">                                           IBRD Management's Discussion and Analysis: June 30, 2024                  61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XIII: Governance and Controls</w:t>
        <w:br/>
        <w:br/>
        <w:br/>
        <w:t>Section XIII: Governance and Controls</w:t>
        <w:br/>
        <w:t>Business Conduct</w:t>
        <w:br/>
        <w:t>The WBG promotes a positive work environment in which staff members understand their ethical obligations to the</w:t>
        <w:br/>
        <w:t>institution. In support of this commitment, the institution has in place a Code of Conduct. The WBG has both an</w:t>
        <w:br/>
        <w:t>Ethics Help Line and a Fraud and Corruption hotline. A third-party service offers many methods of worldwide</w:t>
        <w:br/>
        <w:t>communication. Reporting channels include telephone, mail, email, or confidential submission through a website.</w:t>
        <w:br/>
        <w:t>IBRD has procedures in place for receiving, retaining, and handling recommendations and concerns relating to</w:t>
        <w:br/>
        <w:t>business conduct identified during the accounting, internal control, and auditing processes.</w:t>
        <w:br/>
        <w:t>WBG staff rules clarify and codify the staff’s obligations in reporting suspected fraud, corruption, or other</w:t>
        <w:br/>
        <w:t>misconduct that may threaten the operations or governance of the WBG. These rules also offer protection from</w:t>
        <w:br/>
        <w:t>retaliation.</w:t>
        <w:br/>
        <w:t>Figure 25: Governance Structure</w:t>
        <w:br/>
        <w:br/>
        <w:br/>
        <w:t>General Governance</w:t>
        <w:br/>
        <w:t>IBRD’s decision-making structure consists of the Board of Governors, Executive Directors (the Board), the</w:t>
        <w:br/>
        <w:t>President, Management, and staff. The Board of Governors is the highest decision-making authority. Governors are</w:t>
        <w:br/>
        <w:t>appointed by their member governments for a five-year term, which is renewable. The Board of Governors may</w:t>
        <w:br/>
        <w:t>delegate authority to the Executive Directors to exercise any of its powers, except for certain powers enumerated in</w:t>
        <w:br/>
        <w:t>IBRD’s Articles. IBRD has its own policies and frameworks that are carried out by staff that share responsibilities</w:t>
        <w:br/>
        <w:t>over both IBRD and IDA.</w:t>
        <w:br/>
        <w:t>In addition, IBRD and IDA have joint internal institutional oversight units which play an assurance role to</w:t>
        <w:br/>
        <w:t>shareholders and management that IBRD’s work is impactful and accountable, informed by best practices, and</w:t>
        <w:br/>
        <w:t>delivered to the highest ethical standards with risk management controls and governance processes that are</w:t>
        <w:br/>
        <w:t>functioning effectively.</w:t>
        <w:br/>
        <w:br/>
        <w:t>Executive Directors</w:t>
        <w:br/>
        <w:t>In accordance with IBRD’s Articles, Executive Directors are appointed or elected every two years by their member</w:t>
        <w:br/>
        <w:t>governments. The Board currently has 25 Executive Directors, who represent all 189 member countries. Executive</w:t>
        <w:br/>
        <w:t>Directors are neither officers nor staff of IBRD. The President is the only member of the Board from management,</w:t>
        <w:br/>
        <w:t>and he serves as a non-voting member and as Chairman of the Board.</w:t>
        <w:br/>
        <w:t>The Board is required to consider proposals made by the President on IBRD loans, grants and guarantees and on</w:t>
        <w:br/>
        <w:t>other policies that affect its general operations. The Board is also responsible for presenting to the Governors, at the</w:t>
        <w:br/>
        <w:br/>
        <w:br/>
        <w:t>62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Section XIII: Governance and Controls</w:t>
        <w:br/>
        <w:br/>
        <w:br/>
        <w:t>Annual Meetings, audited accounts, an administrative budget, and an annual report on operations and policies and</w:t>
        <w:br/>
        <w:t>other matters.</w:t>
        <w:br/>
        <w:t>The Board and its committees are in continuous sessions based in Washington DC, as business requires. Each</w:t>
        <w:br/>
        <w:t>committee's terms of reference establish its respective roles and responsibilities. As committees do not vote on</w:t>
        <w:br/>
        <w:t>issues, their role is primarily to serve the Board in discharging its responsibilities.</w:t>
        <w:br/>
        <w:t>The committees are made up of eight members and function under their respective stipulated terms of reference.</w:t>
        <w:br/>
        <w:t>These committees are as follows:</w:t>
        <w:br/>
        <w:t xml:space="preserve">    •    Audit Committee - assists the Board in overseeing IBRD’s finances, accounting, risk management and</w:t>
        <w:br/>
        <w:t xml:space="preserve">         internal controls (see further explanation below).</w:t>
        <w:br/>
        <w:t xml:space="preserve">    •    Budget Committee - assists the Board in approving the World Bank’s budget and in overseeing the</w:t>
        <w:br/>
        <w:t xml:space="preserve">         preparation and execution of IBRD’s business plans. The committee provides guidance to management on</w:t>
        <w:br/>
        <w:t xml:space="preserve">         strategic directions of IBRD.</w:t>
        <w:br/>
        <w:t xml:space="preserve">    •    Committee on Development Effectiveness - supports the Board in assessing IBRD’s development</w:t>
        <w:br/>
        <w:t xml:space="preserve">         effectiveness, providing guidance on strategic directions of IBRD, and monitoring the quality and results of</w:t>
        <w:br/>
        <w:t xml:space="preserve">         operations.</w:t>
        <w:br/>
        <w:t xml:space="preserve">    •    Committee on Governance and Executive Directors’ Administrative Matters - assists the Board on issues</w:t>
        <w:br/>
        <w:t xml:space="preserve">         related to the governance of IBRD, the Board’s own effectiveness, and the administrative policy applicable</w:t>
        <w:br/>
        <w:t xml:space="preserve">         to Executive Directors’ offices.</w:t>
        <w:br/>
        <w:t xml:space="preserve">    •    Human Resources Committee - strengthens the efficiency and effectiveness of the Board in discharging its</w:t>
        <w:br/>
        <w:t xml:space="preserve">         oversight responsibility on the World Bank’s human resources strategy, policies and practices, and their</w:t>
        <w:br/>
        <w:t xml:space="preserve">         alignment with the business needs of the organization.</w:t>
        <w:br/>
        <w:t>Audit Committee</w:t>
        <w:br/>
        <w:t>Membership</w:t>
        <w:br/>
        <w:t>The Audit Committee consists of eight Executive Directors. Membership in the Committee is determined by the</w:t>
        <w:br/>
        <w:t>Board, based on nominations by the Chairman of the Board, following informal consultation with Executive</w:t>
        <w:br/>
        <w:t>Directors.</w:t>
        <w:br/>
        <w:t>Key Responsibilities</w:t>
        <w:br/>
        <w:t>The Audit Committee is appointed by the Board for the primary purpose of assisting the Board in overseeing</w:t>
        <w:br/>
        <w:t>IBRD’s finances, accounting, risk management, internal controls and institutional integrity. Specific responsibilities</w:t>
        <w:br/>
        <w:t>include:</w:t>
        <w:br/>
        <w:t xml:space="preserve">    •    Oversight of the integrity of IBRD’s financial statements.</w:t>
        <w:br/>
        <w:t xml:space="preserve">    •    Appointment, qualifications, independence and performance of the External Auditor.</w:t>
        <w:br/>
        <w:t xml:space="preserve">    •    Performance of the Group Internal Audit.</w:t>
        <w:br/>
        <w:t xml:space="preserve">    •    Adequacy and effectiveness of financial and accounting policies and internal controls and the mechanisms</w:t>
        <w:br/>
        <w:t xml:space="preserve">         to deter, prevent and penalize fraud and corruption in IBRD operations and corporate procurement.</w:t>
        <w:br/>
        <w:t xml:space="preserve">    •    Effective management of financial, fiduciary and compliance risks in IBRD.</w:t>
        <w:br/>
        <w:t xml:space="preserve">    •    Oversight of the institutional arrangements and processes for risk management across IBRD.</w:t>
        <w:br/>
        <w:t>In carrying out its role, the Audit Committee discusses financial issues and policies that affect IBRD’s financial</w:t>
        <w:br/>
        <w:t>position and capital adequacy with Management, external auditors, and internal auditors. It recommends the annual</w:t>
        <w:br/>
        <w:t>audited financial statements for approval to the Board. The Audit Committee monitors and reviews developments in</w:t>
        <w:br/>
        <w:t>corporate governance and its own role on an ongoing basis.</w:t>
        <w:br/>
        <w:br/>
        <w:br/>
        <w:t xml:space="preserve">                                         IBRD Management's Discussion and Analysis: June 30, 2024                 63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Section XIII: Governance and Controls</w:t>
        <w:br/>
        <w:br/>
        <w:br/>
        <w:t>Executive Sessions</w:t>
        <w:br/>
        <w:t>Under the Audit Committee's terms of reference, it may convene in executive session at any time, without</w:t>
        <w:br/>
        <w:t>Management’s presence. The Audit Committee meets separately in executive session with the external and internal</w:t>
        <w:br/>
        <w:t>auditors.</w:t>
        <w:br/>
        <w:t>Access to Resources and to Management</w:t>
        <w:br/>
        <w:t>Throughout the year, the Audit Committee receives a large volume of information to enable it to carry out its duties</w:t>
        <w:br/>
        <w:t>and meets both formally and informally throughout the year to discuss relevant matters. It has complete access to</w:t>
        <w:br/>
        <w:t>Management, and reviews and discusses with Management topics considered in its terms of reference.</w:t>
        <w:br/>
        <w:t>The Audit Committee has the authority to seek advice and assistance from outside legal, accounting, or other</w:t>
        <w:br/>
        <w:t>advisors as it deems necessary.</w:t>
        <w:br/>
        <w:t>Auditor Independence</w:t>
        <w:br/>
        <w:t>The appointment of the external auditor for IBRD is governed by a set of Board-approved principles. These include:</w:t>
        <w:br/>
        <w:t xml:space="preserve">     •   Limits on the external auditor’s provision of non-audit-related services</w:t>
        <w:br/>
        <w:t xml:space="preserve">     •   Requiring all audit-related services to be pre-approved on a case-by-case basis by the Board, upon</w:t>
        <w:br/>
        <w:t xml:space="preserve">         recommendation of the Audit Committee, and</w:t>
        <w:br/>
        <w:t xml:space="preserve">     •   Renewal of the external audit contract every five years, with a limit of two consecutive terms and</w:t>
        <w:br/>
        <w:t xml:space="preserve">         mandatory rotation thereafter.</w:t>
        <w:br/>
        <w:t>The external auditor may provide non-prohibited, non-audit related services subject to monetary limits. Broadly, the</w:t>
        <w:br/>
        <w:t>list of prohibited non-audit services include those that would put the external auditor in the roles typically performed</w:t>
        <w:br/>
        <w:t>by management and in a position of auditing their own work, such as accounting services, internal audit services,</w:t>
        <w:br/>
        <w:t>and provision of investment advice. The total non-audit services fees over the term of the relevant external audit</w:t>
        <w:br/>
        <w:t>contract shall not exceed 70% of the audit fees over the same period.</w:t>
        <w:br/>
        <w:t>Communication between the external auditor and the Audit Committee is ongoing and carried out as often as</w:t>
        <w:br/>
        <w:t>deemed necessary by either party. The Audit Committee meets periodically with the external auditor and individual</w:t>
        <w:br/>
        <w:t>committee members have independent access to the external auditor. IBRD’s external auditors also follow the</w:t>
        <w:br/>
        <w:t>communication requirements with the Audit Committee set out under generally accepted auditing standards in the</w:t>
        <w:br/>
        <w:t>United States.</w:t>
        <w:br/>
        <w:t>External Auditors</w:t>
        <w:br/>
        <w:t>The external auditor is appointed to a five-year term, with a limit of two consecutive terms, and is subject to annual</w:t>
        <w:br/>
        <w:t>reappointment based on the recommendation of the Audit Committee and approval of a resolution by the Board.</w:t>
        <w:br/>
        <w:t>In May 2022, IBRD’s Board approved Deloitte &amp; Touche LLP as IBRD’s external auditor for a second five-year</w:t>
        <w:br/>
        <w:t>term commencing in FY24.</w:t>
        <w:br/>
        <w:t>Senior Management Changes</w:t>
        <w:br/>
        <w:t>On February 20, 2024, Wencai Zhang was appointed as Managing Director and WBG Chief Administrative Officer,</w:t>
        <w:br/>
        <w:t>effective March 18, 2024, replacing Shaolin Yang who was previously in this role.</w:t>
        <w:br/>
        <w:br/>
        <w:br/>
        <w:t>64 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Section XIII: Governance and Controls</w:t>
        <w:br/>
        <w:br/>
        <w:br/>
        <w:t>Internal Control</w:t>
        <w:br/>
        <w:t>Internal Control Over Financial Reporting</w:t>
        <w:br/>
        <w:t>Each fiscal year, Management evaluates the internal controls over financial reporting to determine whether any</w:t>
        <w:br/>
        <w:t>changes made in these controls during the fiscal year materially affect, or would be reasonably likely to materially</w:t>
        <w:br/>
        <w:t>affect, IBRD’s internal control over financial reporting. The internal control framework promulgated by the</w:t>
        <w:br/>
        <w:t>Committee of Sponsoring Organizations of the Treadway Commission (COSO), “Internal Control - Integrated</w:t>
        <w:br/>
        <w:t>Framework (2013)” provides guidance for designing, implementing and conducting internal control and assessing its</w:t>
        <w:br/>
        <w:t>effectiveness. IBRD uses the 2013 COSO framework to assess the effectiveness of the internal control over financial</w:t>
        <w:br/>
        <w:t>reporting. As of June 30, 2024, management maintained effective internal control over financial reporting. See</w:t>
        <w:br/>
        <w:t>“Management’s report regarding effectiveness of Internal Control over Financial Reporting” on page 70.</w:t>
        <w:br/>
        <w:t>IBRD’s internal control over financial reporting was audited by Deloitte &amp; Touche LLP, and their report expresses</w:t>
        <w:br/>
        <w:t>an unqualified opinion on the effectiveness of IBRD’s internal control over financial reporting as of June 30, 2024.</w:t>
        <w:br/>
        <w:t>See Independent Auditor’s Report on page 74.</w:t>
        <w:br/>
        <w:t>Disclosure Controls and Procedures</w:t>
        <w:br/>
        <w:t>Disclosure controls and procedures are designed to ensure that information required to be disclosed is gathered and</w:t>
        <w:br/>
        <w:t>communicated to Management, as appropriate, to allow timely decisions regarding required disclosure by IBRD.</w:t>
        <w:br/>
        <w:t>Management conducted an evaluation of the effectiveness of such controls and procedures and the President and the</w:t>
        <w:br/>
        <w:t>MDCFO have concluded that these controls and procedures were effective as of June 30, 2024.</w:t>
        <w:br/>
        <w:br/>
        <w:br/>
        <w:t xml:space="preserve">                                        IBRD Management's Discussion and Analysis: June 30, 2024                65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Appendix</w:t>
        <w:br/>
        <w:br/>
        <w:br/>
        <w:t>Appendix</w:t>
        <w:br/>
        <w:t>Glossary of Terms</w:t>
        <w:br/>
        <w:t>Articles: IBRD’s Articles of Agreement</w:t>
        <w:br/>
        <w:t>Below GDI Country: Country whose Gross National Income per capita is below the Graduation Discussion Income as published</w:t>
        <w:br/>
        <w:t>in the Per Capita Income Guidelines for Operational Purposes.</w:t>
        <w:br/>
        <w:t>Board: The Executive Directors as established by IBRD’s Articles of Agreement.</w:t>
        <w:br/>
        <w:t>Budget Anchor: Efficiency measure that IBRD uses to monitor the coverage of its net administrative expenses by its loan spread</w:t>
        <w:br/>
        <w:t>revenue.</w:t>
        <w:br/>
        <w:t>Capital Adequacy: A measure of IBRD’s ability to withstand unexpected shocks and is based on the amount of IBRD’s usable</w:t>
        <w:br/>
        <w:t>equity expressed as a percentage of its loans and other related exposures.</w:t>
        <w:br/>
        <w:t>Credit Default Swaps (CDS): A derivative contract that provides protection against deteriorating credit quality and allows one</w:t>
        <w:br/>
        <w:t>party to receive payment in the event of a default or specified credit event by a third party.</w:t>
        <w:br/>
        <w:t>Credit Valuation Adjustment (CVA): The CVA represents the counterparty credit risk exposure and is reflected in the fair</w:t>
        <w:br/>
        <w:t>value of derivative instruments.</w:t>
        <w:br/>
        <w:t>Debit Valuation Adjustment (DVA): DVA on Fair Value Option (FVO) Elected Liabilities that corresponds to the change in</w:t>
        <w:br/>
        <w:t>fair value of the liability presented under the FVO that relate to the instrument specific credit risk (“own-credit risk”).</w:t>
        <w:br/>
        <w:t>Duration: Provides an indication of the sensitivity of underlying yield to changes in interest rates.</w:t>
        <w:br/>
        <w:t>Equity-to-Loans Ratio: The Board monitors IBRD’s capital adequacy within a Strategic Capital Adequacy Framework, using</w:t>
        <w:br/>
        <w:t>the Equity-to-Loans ratio as a key indicator of IBRD’s capital adequacy. For details on the ratio, see Table 30.</w:t>
        <w:br/>
        <w:t>Loan Spread Revenue, Net: The spread between loan returns and associated debt cost, assuming loans are fully funded by debt.</w:t>
        <w:br/>
        <w:t>Lower-Middle-Income Countries: For FY24, income groups are classified according to the 2022 gross national income (GNI)</w:t>
        <w:br/>
        <w:t>per capita. For lower-middle-income countries, the GNI range was $1,136 to $4,465.</w:t>
        <w:br/>
        <w:t>Maintenance of Value (MOV): Under IBRD’s Articles, members are required to maintain the value of their subscriptions of</w:t>
        <w:br/>
        <w:t>national currency paid-in, which is subject to certain restrictions. MOV is determined by measuring the foreign exchange value of</w:t>
        <w:br/>
        <w:t>a member’s national currency against the standard of value of IBRD’s capital based on the 1974 SDR.</w:t>
        <w:br/>
        <w:t>Lending Operations: Total projects from a fiscal year based on project approval date as of June 30 of the fiscal year.</w:t>
        <w:br/>
        <w:t>Net Commitments: Commitments net of full terminations and cancellations approved in the same fiscal year and include</w:t>
        <w:br/>
        <w:t>guarantee commitments and guarantee facilities that have been approved by the Executive Directors.</w:t>
        <w:br/>
        <w:t>Net Loan Disbursements: Loan disbursements net of repayments and prepayments.</w:t>
        <w:br/>
        <w:t>Prudential Minimum: The minimum amount of liquidity that IBRD is required to hold and is defined as 80% of the Target</w:t>
        <w:br/>
        <w:t>Liquidity Level.</w:t>
        <w:br/>
        <w:t>Sustainable Annual Lending Level (SALL): The level of lending that can be sustained in real terms over 10 years.</w:t>
        <w:br/>
        <w:t>Strategic Capital Adequacy Framework: Evaluates IBRD’s capital adequacy as measured by stress tests and an appropriate</w:t>
        <w:br/>
        <w:t>minimum level for the long-term Equity-to-Loans ratio. The Equity-to-Loans ratio provides a background framework in the</w:t>
        <w:br/>
        <w:t>context of annual net income allocation decisions, as well as in the assessment of the initiatives for the use of capital. The</w:t>
        <w:br/>
        <w:t>framework has been approved by the Board.</w:t>
        <w:br/>
        <w:t>Single Borrower Limit (SBL): The maximum authorized exposure to IBRD’s most creditworthy and largest borrowing</w:t>
        <w:br/>
        <w:t>countries in terms of population and economic size.</w:t>
        <w:br/>
        <w:t>Statutory Lending Limit (SLL): Under IBRD’s Articles, as applied, the total amount outstanding of loans, participations in</w:t>
        <w:br/>
        <w:t>loans, and callable guarantees may not exceed the sum of unimpaired subscribed capital, reserves and surplus.</w:t>
        <w:br/>
        <w:t>Target Liquidity Level (TLL): The twelve- month Target Liquidity Level is calculated before the end of each fiscal year based</w:t>
        <w:br/>
        <w:t>on Management’s estimates of projected net loan disbursements approved at the time of projection and twelve-month of debt-</w:t>
        <w:br/>
        <w:t>service for the upcoming fiscal year. This twelve-month estimate becomes the target for the upcoming fiscal year.</w:t>
        <w:br/>
        <w:t>U.S. GAAP: Accounting principles generally accepted in the United States of America.</w:t>
        <w:br/>
        <w:t>World Bank: The World Bank consists of IBRD and IDA.</w:t>
        <w:br/>
        <w:t>World Bank Group (WBG): The World Bank Group consists of IBRD, IDA, IFC, MIGA, and ICSID.</w:t>
        <w:br/>
        <w:br/>
        <w:br/>
        <w:t>66 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Appendix</w:t>
        <w:br/>
        <w:br/>
        <w:br/>
        <w:t>Abbreviations and Acronyms</w:t>
        <w:br/>
        <w:t>AFDB: African Development Bank                                   IFLs: IBRD Flexible Loans</w:t>
        <w:br/>
        <w:t>AOCI: Accumulated Other Comprehensive Income                     IPF: Investment Project Financing</w:t>
        <w:br/>
        <w:t>BOG: Board of Governors                                          LIBID: London Interbank Bid Rate</w:t>
        <w:br/>
        <w:t>COSO: Committee of Sponsoring Organizations of the               LIBOR: London Interbank Offered Rate</w:t>
        <w:br/>
        <w:t>Treadway Commission                                              LLP: Loan Loss Provision</w:t>
        <w:br/>
        <w:t>CDS: Credit Default Swaps                                        LTRRO: Long-Term Real Return Objective</w:t>
        <w:br/>
        <w:t>CVA: Credit Valuation Adjustment                                 MDB: Multilateral Development Bank</w:t>
        <w:br/>
        <w:t>CRO: Vice President and WBG Chief Risk Officer                   MDCAO: Managing Director and World Bank Group</w:t>
        <w:br/>
        <w:t>DDO: Deferred Drawdown Option                                    Chief Administrative Officer</w:t>
        <w:br/>
        <w:t>DPF: Development Project Financing                               MDCFO: Managing Director and World Bank Group</w:t>
        <w:br/>
        <w:t>DVA: Debit Valuation Adjustment                                  Chief Financial Officer</w:t>
        <w:br/>
        <w:br/>
        <w:t>EAL: Equitable Access Limit                                      MIGA: Multilateral Investment Guarantee Agency</w:t>
        <w:br/>
        <w:t>EDF: Expected default frequency                                  MOV: Maintenance-Of-Value</w:t>
        <w:br/>
        <w:t>EEA: Exposure Exchange Agreement                                 NBC: New Business Committee</w:t>
        <w:br/>
        <w:t>EFOs: Externally Financed Outputs                                NCPIC: National Currency Paid-in Capital</w:t>
        <w:br/>
        <w:t>ESG: Environmental, Social and Governance                        ORC: Operational Risk Committee</w:t>
        <w:br/>
        <w:t>FASB: Financial Accounting Standards Board                       PBAC: Pension Benefits Administration Committee</w:t>
        <w:br/>
        <w:t>FIFs: Financial Intermediary Funds                               PBO: Pension Benefit Obligation</w:t>
        <w:br/>
        <w:t>FRC: Finance and Risk Committee                                  PCRF: Post Retirement Contribution Reserve Fund</w:t>
        <w:br/>
        <w:t>GAVI: Global Alliance for Vaccines and Immunization              PEBP: Post-Employment Benefit Plan</w:t>
        <w:br/>
        <w:t>GCI: General Capital Increase                                    PFC: Pension Finance Committee</w:t>
        <w:br/>
        <w:t>GDI: Graduation Discussion Income                                PforR: Program-for-Results</w:t>
        <w:br/>
        <w:t>GNI: Gross National Income                                       RAS: Reimbursable Advisory Services</w:t>
        <w:br/>
        <w:t>GMFs: Grant-Making Facilities                                    RAMP: Reserves Advisory Management Partnership</w:t>
        <w:br/>
        <w:t>GPs: Global Practices                                            RSBP: Retired Staff Benefits Plan</w:t>
        <w:br/>
        <w:t>IADB: Inter-American Development Bank                            SALL: Sustainable Annual Lending Level</w:t>
        <w:br/>
        <w:t>IBRD: International Bank for Reconstruction and                  SCI: Selective Capital Increase</w:t>
        <w:br/>
        <w:t>Development                                                      SDPL: Special Development Policy Loans</w:t>
        <w:br/>
        <w:t>ICSID: International Centre for Settlement of Investment         SBL: Single Borrower Limit</w:t>
        <w:br/>
        <w:t>Disputes</w:t>
        <w:br/>
        <w:t xml:space="preserve">                                                                 SOFR: Secured Overnight Financing Rate</w:t>
        <w:br/>
        <w:t>IFC: International Finance Corporation</w:t>
        <w:br/>
        <w:t xml:space="preserve">                                                                 SLL: Statutory Lending Limit</w:t>
        <w:br/>
        <w:t>IDA: International Development Association</w:t>
        <w:br/>
        <w:t xml:space="preserve">                                                                 SRP: Staff Retirement Plan</w:t>
        <w:br/>
        <w:t>IFFIm: International Finance Facility for Immunization</w:t>
        <w:br/>
        <w:br/>
        <w:br/>
        <w:t xml:space="preserve">                                             IBRD Management's Discussion and Analysis: June 30, 2024              67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Management’s Discussion and Analysis                     Appendix</w:t>
        <w:br/>
        <w:br/>
        <w:br/>
        <w:t>Eligible Borrowing Member Countries by Region as of June 30, 2024</w:t>
        <w:br/>
        <w:t>Region                           Countries</w:t>
        <w:br/>
        <w:t>Eastern and Southern Africa      Angola, Botswana, Eswatini, Kenya*, Mauritius, Namibia, Seychelles, South Africa, Zimbabwe*</w:t>
        <w:br/>
        <w:t>Western and Central Africa       Republic of Cabo Verde*, Cameroon*, Republic of Congo*, Equatorial Guinea, Gabon, Nigeria*</w:t>
        <w:br/>
        <w:t xml:space="preserve">                                 China, Fiji*, Indonesia, Malaysia, Mongolia, Nauru, Palau, Papua New Guinea*, Philippines,</w:t>
        <w:br/>
        <w:t>East Asia and Pacific            Thailand, Timor-Leste*, Viet Nam</w:t>
        <w:br/>
        <w:t xml:space="preserve">                                 Albania, Armenia, Azerbaijan, Belarus, Bosnia and Herzegovina, Bulgaria, Croatia, Georgia,</w:t>
        <w:br/>
        <w:t>Europe and Central Asia          Kazakhstan, North Macedonia, Moldova, Montenegro, Poland, Romania, Russian Federation,</w:t>
        <w:br/>
        <w:t xml:space="preserve">                                 Serbia, Türkiye, Turkmenistan, Ukraine, Uzbekistan*</w:t>
        <w:br/>
        <w:t xml:space="preserve">                                 Argentina, Antigua and Barbuda, Belize, Bolivia, Brazil, Chile, Colombia, Costa Rica, Dominica*,</w:t>
        <w:br/>
        <w:t xml:space="preserve">                                 Dominican Republic, Ecuador, El Salvador, Grenada*, Guatemala, Jamaica, Mexico, Panama,</w:t>
        <w:br/>
        <w:t>Latin America and Caribbean      Paraguay, Peru, St. Kitts and Nevis, St. Lucia*, St. Vincent and the Grenadines*, Suriname,</w:t>
        <w:br/>
        <w:t xml:space="preserve">                                 Trinidad and Tobago, Uruguay, Venezuela</w:t>
        <w:br/>
        <w:t xml:space="preserve">                                 Algeria, Arab Republic of Egypt, Islamic Republic of Iran, Iraq, Jordan, Lebanon, Libya, Morocco,</w:t>
        <w:br/>
        <w:t>Middle East and North Africa</w:t>
        <w:br/>
        <w:t xml:space="preserve">                                 Tunisia</w:t>
        <w:br/>
        <w:t>South Asia                       India, Pakistan*</w:t>
        <w:br/>
        <w:br/>
        <w:t>* Blend countries eligible for IDA and IBRD loans.</w:t>
        <w:br/>
        <w:br/>
        <w:br/>
        <w:t>68       IBRD Management's Discussion and Analysis: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INTERNATIONAL BANK FOR RECONSTRUCTION AND DEVELOPMENT</w:t>
        <w:br/>
        <w:br/>
        <w:t>FINANCIAL STATEMENTS AND INTERNAL CONTROL REPORTS</w:t>
        <w:br/>
        <w:t>June 30, 2024</w:t>
        <w:br/>
        <w:br/>
        <w:t>Management’s Report Regarding Effectiveness of Internal Control Over Financial Reporting     70</w:t>
        <w:br/>
        <w:t>Independent Auditor's Report on Effectiveness of Internal Control Over Financial Reporting   72</w:t>
        <w:br/>
        <w:t>Independent Auditor's Report                                                                 74</w:t>
        <w:br/>
        <w:t>Balance Sheets                                                                               78</w:t>
        <w:br/>
        <w:t>Statements of Income                                                                         80</w:t>
        <w:br/>
        <w:t>Statements of Comprehensive Income                                                           81</w:t>
        <w:br/>
        <w:t>Statements of Changes in Retained Earnings                                                   81</w:t>
        <w:br/>
        <w:t>Statements of Cash Flows                                                                     82</w:t>
        <w:br/>
        <w:t>Supplementary Information</w:t>
        <w:br/>
        <w:t xml:space="preserve">   Summary Statement of Loans                                                                84</w:t>
        <w:br/>
        <w:t xml:space="preserve">   Statement of Subscriptions to Capital Stock and Voting Power                              86</w:t>
        <w:br/>
        <w:t>Notes to Financial Statements                                                                90</w:t>
        <w:br/>
        <w:br/>
        <w:br/>
        <w:t xml:space="preserve">                                             IBRD FINANCIAL STATEMENTS: June 30, 2024        69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Management's Report on Effectiveness of Internal Control Over Financial</w:t>
        <w:br/>
        <w:t>Reporting</w:t>
        <w:br/>
        <w:br/>
        <w:br/>
        <w:t>70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IBRD FINANCIAL STATEMENTS: June 30, 2024   71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Independent Auditor's Report on Effectiveness of Internal Control Over</w:t>
        <w:br/>
        <w:t>Financial Reporting</w:t>
        <w:br/>
        <w:br/>
        <w:br/>
        <w:t>72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IBRD FINANCIAL STATEMENTS: June 30, 2024   73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Independent Auditor's Report</w:t>
        <w:br/>
        <w:br/>
        <w:br/>
        <w:t>74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IBRD FINANCIAL STATEMENTS: June 30, 2024   75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Independent Auditor's Report</w:t>
        <w:br/>
        <w:br/>
        <w:br/>
        <w:t>76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INTERNATIONAL BANK FOR RECONSTRUCTION AND DEVELOPMENT</w:t>
        <w:br/>
        <w:br/>
        <w:t>FINANCIAL STATEMENTS</w:t>
        <w:br/>
        <w:t>June 30, 2024</w:t>
        <w:br/>
        <w:br/>
        <w:br/>
        <w:t xml:space="preserve">                       IBRD FINANCIAL STATEMENTS: June 30, 2024   77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BALANCE SHEETS</w:t>
        <w:br/>
        <w:t>June 30, 2024 and June 30, 2023</w:t>
        <w:br/>
        <w:br/>
        <w:t>Expressed in millions of U.S. dollars</w:t>
        <w:br/>
        <w:br/>
        <w:t xml:space="preserve">                                                                                    2024             2023</w:t>
        <w:br/>
        <w:t>Assets</w:t>
        <w:br/>
        <w:t>Due from banks—Notes C and L</w:t>
        <w:br/>
        <w:t xml:space="preserve">  Unrestricted cash                                                             $          410   $          479</w:t>
        <w:br/>
        <w:t xml:space="preserve">  Restricted cash                                                                           80               68</w:t>
        <w:br/>
        <w:t xml:space="preserve">                                                                                           490              547</w:t>
        <w:br/>
        <w:t>Investments-Trading (including securities transferred under repurchase or</w:t>
        <w:br/>
        <w:t xml:space="preserve">  securities lending agreements of $255 million—June 30, 2024 and $9 million—</w:t>
        <w:br/>
        <w:t xml:space="preserve">  June 30, 2023)—Notes C and J                                                        82,728           79,199</w:t>
        <w:br/>
        <w:br/>
        <w:t>Securities purchased under resale agreements—Notes C and J                                  79               78</w:t>
        <w:br/>
        <w:t>Derivative assets, net—Notes C, F and J                                                    456              271</w:t>
        <w:br/>
        <w:br/>
        <w:t>Receivables</w:t>
        <w:br/>
        <w:t xml:space="preserve">  Receivable from investment securities traded—Note C                                    438              102</w:t>
        <w:br/>
        <w:t xml:space="preserve">  Accrued income on loans and guarantee fees receivable—Note D                         4,022            3,416</w:t>
        <w:br/>
        <w:t xml:space="preserve">                                                                                       4,460            3,518</w:t>
        <w:br/>
        <w:t>Loans outstanding—Notes D, H and J</w:t>
        <w:br/>
        <w:t>Total loans                                                                          348,248          329,008</w:t>
        <w:br/>
        <w:t xml:space="preserve">     Less: Undisbursed balance (including signed loan commitments of</w:t>
        <w:br/>
        <w:t xml:space="preserve">        $66,761 million—June 30, 2024 and $59,350 million—June 30, 2023)             (85,058)         (85,112)</w:t>
        <w:br/>
        <w:t xml:space="preserve">        Loans outstanding                                                            263,190          243,896</w:t>
        <w:br/>
        <w:t xml:space="preserve">     Less:</w:t>
        <w:br/>
        <w:t xml:space="preserve">        Accumulated provision for loan losses                                         (2,360)          (2,336)</w:t>
        <w:br/>
        <w:t xml:space="preserve">        Deferred loan income                                                            (594)            (519)</w:t>
        <w:br/>
        <w:t>Net loans outstanding                                                                260,236          241,041</w:t>
        <w:br/>
        <w:t>Other assets</w:t>
        <w:br/>
        <w:t xml:space="preserve">    Assets under retirement benefits plans—Notes I and K                               4,655            4,297</w:t>
        <w:br/>
        <w:t xml:space="preserve">    Premises and equipment, net                                                        1,842            1,815</w:t>
        <w:br/>
        <w:t xml:space="preserve">    Miscellaneous—Notes E, H and L                                                     1,666            1,875</w:t>
        <w:br/>
        <w:t xml:space="preserve">                                                                                       8,163            7,987</w:t>
        <w:br/>
        <w:t>Total assets                                                                    $    356,612     $    332,641</w:t>
        <w:br/>
        <w:br/>
        <w:br/>
        <w:t>78    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2024               2023</w:t>
        <w:br/>
        <w:t>Liabilities</w:t>
        <w:br/>
        <w:t>Borrowings—Notes E and J                                                         $     261,790       $    237,265</w:t>
        <w:br/>
        <w:br/>
        <w:t>Securities sold under repurchase agreements, securities lent under</w:t>
        <w:br/>
        <w:t xml:space="preserve">  securities lending agreements, and payable for cash collateral received—</w:t>
        <w:br/>
        <w:t xml:space="preserve">  Notes C and J                                                                              256                   9</w:t>
        <w:br/>
        <w:br/>
        <w:t>Derivative liabilities, net—Notes C, F and J                                            22,728             26,893</w:t>
        <w:br/>
        <w:br/>
        <w:t>Other liabilities</w:t>
        <w:br/>
        <w:t xml:space="preserve">  Payable for investment securities purchased—Note C                                       561                640</w:t>
        <w:br/>
        <w:t xml:space="preserve">  Liabilities under retirement benefits plans—Notes I and K                              2,097              2,057</w:t>
        <w:br/>
        <w:t xml:space="preserve">  Accounts payable and miscellaneous liabilities—Notes D, H and L                        5,696              5,395</w:t>
        <w:br/>
        <w:t xml:space="preserve">                                                                                         8,354              8,092</w:t>
        <w:br/>
        <w:t>Total liabilities                                                                      293,128            272,259</w:t>
        <w:br/>
        <w:br/>
        <w:t>Equity</w:t>
        <w:br/>
        <w:t>Capital stock—Note B</w:t>
        <w:br/>
        <w:t xml:space="preserve">    Authorized capital (2,783,873 shares—June 30, 2024 and</w:t>
        <w:br/>
        <w:t xml:space="preserve">      June 30, 2023)</w:t>
        <w:br/>
        <w:t xml:space="preserve">    Subscribed capital (2,678,098 shares—June 30, 2024, and</w:t>
        <w:br/>
        <w:t xml:space="preserve">      2,634,728 shares—June 30, 2023)                                                   323,072           317,840</w:t>
        <w:br/>
        <w:t xml:space="preserve">    Less uncalled portion of subscriptions                                             (300,620)         (296,021)</w:t>
        <w:br/>
        <w:t xml:space="preserve">  Paid-in capital                                                                        22,452            21,819</w:t>
        <w:br/>
        <w:t>Nonnegotiable, noninterest-bearing demand obligations on account of</w:t>
        <w:br/>
        <w:t xml:space="preserve">  subscribed capital                                                                         (310)              (320)</w:t>
        <w:br/>
        <w:t>Receivable amounts to maintain value of currency holdings—Note B                             (337)              (345)</w:t>
        <w:br/>
        <w:t>Deferred amounts to maintain value of currency holdings—Note B                               (558)              (436)</w:t>
        <w:br/>
        <w:t>Retained earnings—Note G                                                                38,283             36,141</w:t>
        <w:br/>
        <w:t>Accumulated other comprehensive income —Note I                                            3,954             3,523</w:t>
        <w:br/>
        <w:t>Total equity                                                                            63,484             60,382</w:t>
        <w:br/>
        <w:t>Total liabilities and equity                                                     $     356,612       $    332,641</w:t>
        <w:br/>
        <w:br/>
        <w:br/>
        <w:t xml:space="preserve">                    The Notes to Financial Statements are an integral part of these Statements.</w:t>
        <w:br/>
        <w:br/>
        <w:br/>
        <w:t xml:space="preserve">                                                   IBRD FINANCIAL STATEMENTS: June 30, 2024                      79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STATEMENTS OF INCOME</w:t>
        <w:br/>
        <w:t>For the fiscal years ended June 30, 2024, June 30, 2023 and June 30, 2022</w:t>
        <w:br/>
        <w:br/>
        <w:t>Expressed in millions of U.S. dollars</w:t>
        <w:br/>
        <w:br/>
        <w:br/>
        <w:t xml:space="preserve">                                                                        2024          2023         2022</w:t>
        <w:br/>
        <w:t>Interest revenue</w:t>
        <w:br/>
        <w:t xml:space="preserve">  Loans, net—Note D                                                 $    15,831 $      10,522 $      2,368</w:t>
        <w:br/>
        <w:t xml:space="preserve">  Other asset/liability management derivatives, net—Notes F and J        (1,726)         (850)         583</w:t>
        <w:br/>
        <w:t xml:space="preserve">  Investments-Trading, net—Note C                                         4,337         3,079          296</w:t>
        <w:br/>
        <w:t xml:space="preserve">  Other, net                                                                  2             2           (2)</w:t>
        <w:br/>
        <w:t>Borrowing expenses, net—Note E                                          (15,215)       (9,562)        (750)</w:t>
        <w:br/>
        <w:t>Interest revenue, net of borrowing expenses                               3,229         3,191        2,495</w:t>
        <w:br/>
        <w:br/>
        <w:t>Provision for losses on loans and other exposures—Note D                       (94)      (685)        (570)</w:t>
        <w:br/>
        <w:br/>
        <w:t>Non-interest revenue</w:t>
        <w:br/>
        <w:t xml:space="preserve"> Revenue from externally funded activities—Notes H and L                    960           878             787</w:t>
        <w:br/>
        <w:t xml:space="preserve"> Commitment charges—Note D                                                  149           124             126</w:t>
        <w:br/>
        <w:t xml:space="preserve"> Other, net—Note L                                                           42            43              43</w:t>
        <w:br/>
        <w:t xml:space="preserve">   Total                                                                  1,151         1,045             956</w:t>
        <w:br/>
        <w:br/>
        <w:t>Non-interest expenses</w:t>
        <w:br/>
        <w:t xml:space="preserve"> Administrative—Notes H, K and L                                         (2,379)        (2,320)     (2,225)</w:t>
        <w:br/>
        <w:t xml:space="preserve"> Contributions to special programs                                          (17)           (17)        (17)</w:t>
        <w:br/>
        <w:t xml:space="preserve"> Other—Note K                                                               170            183         258</w:t>
        <w:br/>
        <w:t xml:space="preserve">   Total                                                                 (2,226)        (2,154)     (1,984)</w:t>
        <w:br/>
        <w:br/>
        <w:t>Board of Governors-approved and other transfers—Note G                     (371)         (221)        (354)</w:t>
        <w:br/>
        <w:br/>
        <w:t xml:space="preserve">  Non-functional currency translation adjustment gains, net                    73            39           150</w:t>
        <w:br/>
        <w:br/>
        <w:t xml:space="preserve">  Unrealized mark-to-market gains (losses) on Investments-</w:t>
        <w:br/>
        <w:t xml:space="preserve">  Trading portfolio, net—Notes F and J                                         91            84           (77)</w:t>
        <w:br/>
        <w:br/>
        <w:br/>
        <w:t xml:space="preserve">  Unrealized mark-to-market gains (losses) on non-trading</w:t>
        <w:br/>
        <w:t xml:space="preserve">  portfolios, net</w:t>
        <w:br/>
        <w:t xml:space="preserve">  Loan-related derivatives—Notes D, F and J                                (458)         1,677       5,994</w:t>
        <w:br/>
        <w:t xml:space="preserve">  Other asset/liability management derivatives, net—Notes F and J           708         (1,642)     (3,392)</w:t>
        <w:br/>
        <w:t xml:space="preserve">  Borrowings, including derivatives—Notes E, F and J                          9           (190)        759</w:t>
        <w:br/>
        <w:t xml:space="preserve">  Others, net —Note J                                                        30             —           13</w:t>
        <w:br/>
        <w:t xml:space="preserve">    Total                                                                   289           (155)      3,374</w:t>
        <w:br/>
        <w:t xml:space="preserve">  Net income                                                        $     2,142 $        1,144 $     3,990</w:t>
        <w:br/>
        <w:br/>
        <w:br/>
        <w:t xml:space="preserve">                 The Notes to Financial Statements are an integral part of these Statements.</w:t>
        <w:br/>
        <w:br/>
        <w:br/>
        <w:t>80   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STATEMENTS OF COMPREHENSIVE INCOME</w:t>
        <w:br/>
        <w:t>For the fiscal years ended June 30, 2024, June 30, 2023 and June 30, 2022</w:t>
        <w:br/>
        <w:br/>
        <w:t>Expressed in millions of U.S. dollars</w:t>
        <w:br/>
        <w:br/>
        <w:br/>
        <w:t xml:space="preserve">                                                                    2024             2023              2022</w:t>
        <w:br/>
        <w:br/>
        <w:br/>
        <w:t>Net income                                                     $       2,142     $     1,144       $     3,990</w:t>
        <w:br/>
        <w:br/>
        <w:t>Other comprehensive income —Note I</w:t>
        <w:br/>
        <w:t xml:space="preserve">    Net actuarial gains on benefit plans                                   251         2,103             3,027</w:t>
        <w:br/>
        <w:t xml:space="preserve">    Prior service credit on benefit plans, net                               8            20                23</w:t>
        <w:br/>
        <w:t xml:space="preserve">     Net change in Debit Valuation Adjustment (DVA) on Fair</w:t>
        <w:br/>
        <w:t xml:space="preserve">     Value Option elected liabilities—Note J                               322              (13)              582</w:t>
        <w:br/>
        <w:t xml:space="preserve">     Currency translation adjustments on functional currency</w:t>
        <w:br/>
        <w:t xml:space="preserve">     (losses) gains                                                     (150)               495          (1,149)</w:t>
        <w:br/>
        <w:br/>
        <w:t xml:space="preserve">     Total other comprehensive income                                      431         2,605             2,483</w:t>
        <w:br/>
        <w:br/>
        <w:t>Total comprehensive income                                     $       2,573     $     3,749       $     6,473</w:t>
        <w:br/>
        <w:br/>
        <w:br/>
        <w:t>STATEMENTS OF CHANGES IN RETAINED EARNINGS</w:t>
        <w:br/>
        <w:t>For the fiscal years ended June 30, 2024, June 30, 2023 and June 30, 2022</w:t>
        <w:br/>
        <w:br/>
        <w:t>Expressed in millions of U.S. dollars</w:t>
        <w:br/>
        <w:br/>
        <w:br/>
        <w:t xml:space="preserve">                                                                    2024             2023              2022</w:t>
        <w:br/>
        <w:t>Retained earnings at the beginning of the fiscal year          $      36,141     $     34,997      $     31,007</w:t>
        <w:br/>
        <w:t xml:space="preserve">  Net income for the fiscal year                                       2,142            1,144             3,990</w:t>
        <w:br/>
        <w:t>Retained earnings at the end of the fiscal year                $      38,283     $     36,141      $     34,997</w:t>
        <w:br/>
        <w:br/>
        <w:br/>
        <w:t xml:space="preserve">                  The Notes to Financial Statements are an integral part of these Statements.</w:t>
        <w:br/>
        <w:br/>
        <w:br/>
        <w:t xml:space="preserve">                                                   IBRD FINANCIAL STATEMENTS: June 30, 2024                    81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STATEMENTS OF CASH FLOWS</w:t>
        <w:br/>
        <w:t>For the fiscal years ended June 30, 2024, June 30, 2023 and June 30, 2022</w:t>
        <w:br/>
        <w:br/>
        <w:t>Expressed in millions of U.S. dollars</w:t>
        <w:br/>
        <w:t xml:space="preserve">                                                                              2024         2023         2022</w:t>
        <w:br/>
        <w:t>Cash flows from investing activities</w:t>
        <w:br/>
        <w:t xml:space="preserve">  Loans</w:t>
        <w:br/>
        <w:t xml:space="preserve">    Disbursements                                                         $   (33,375) $   (25,465) $   (28,115)</w:t>
        <w:br/>
        <w:t xml:space="preserve">    Principal repayments                                                       12,991       12,296       12,797</w:t>
        <w:br/>
        <w:t xml:space="preserve">    Principal prepayments                                                         344          472          495</w:t>
        <w:br/>
        <w:t xml:space="preserve">    Loan origination fees received                                                 37           27           28</w:t>
        <w:br/>
        <w:t xml:space="preserve">  Net derivatives-loans                                                            76           66          147</w:t>
        <w:br/>
        <w:t xml:space="preserve">  Other investing activities, net                                                (154)        (141)        (163)</w:t>
        <w:br/>
        <w:t xml:space="preserve">       Net cash used in investing activities                                  (20,081)     (12,745)     (14,811)</w:t>
        <w:br/>
        <w:t>Cash flows from financing activities</w:t>
        <w:br/>
        <w:t xml:space="preserve">  Medium and long-term borrowings</w:t>
        <w:br/>
        <w:t xml:space="preserve">    New issues                                                                 52,152       42,056       40,715</w:t>
        <w:br/>
        <w:t xml:space="preserve">    Retirements                                                               (30,888)     (30,275)     (36,255)</w:t>
        <w:br/>
        <w:t xml:space="preserve">  Short-term borrowings (original maturities greater than 90 days)</w:t>
        <w:br/>
        <w:t xml:space="preserve">    New issues                                                                 20,483       25,358       21,631</w:t>
        <w:br/>
        <w:t xml:space="preserve">    Retirements                                                               (22,270)     (25,846)     (20,692)</w:t>
        <w:br/>
        <w:t xml:space="preserve">  Net short-term borrowings (original maturities less than 90 days)               807       (4,716)       3,996</w:t>
        <w:br/>
        <w:t xml:space="preserve">  Net derivatives-borrowings                                                       10         (787)         (13)</w:t>
        <w:br/>
        <w:t xml:space="preserve">  Capital subscriptions                                                           633        1,320        1,255</w:t>
        <w:br/>
        <w:t xml:space="preserve">  Other financing activities, net                                                   –           (5)           2</w:t>
        <w:br/>
        <w:t xml:space="preserve">       Net cash provided by financing activities                               20,927        7,105       10,639</w:t>
        <w:br/>
        <w:t>Cash flows from operating activities</w:t>
        <w:br/>
        <w:t xml:space="preserve">  Net income                                                                    2,142        1,144        3,990</w:t>
        <w:br/>
        <w:t xml:space="preserve">  Adjustments to reconcile net income to net cash provided by (used in)</w:t>
        <w:br/>
        <w:t xml:space="preserve">   operating activities:</w:t>
        <w:br/>
        <w:t xml:space="preserve">      Unrealized mark-to-market (gains) losses on non-trading portfolios,</w:t>
        <w:br/>
        <w:t xml:space="preserve">       net                                                                       (289)        155        (3,374)</w:t>
        <w:br/>
        <w:t xml:space="preserve">      Non-functional currency translation adjustment gains, net                   (73)        (39)         (150)</w:t>
        <w:br/>
        <w:t xml:space="preserve">      Depreciation and amortization                                               614         535           106</w:t>
        <w:br/>
        <w:t xml:space="preserve">      Provision for losses on loans and other exposures                            94         685           570</w:t>
        <w:br/>
        <w:t xml:space="preserve">  Changes in:</w:t>
        <w:br/>
        <w:t xml:space="preserve">    Investments-Trading                                                        (4,288)       3,173        1,792</w:t>
        <w:br/>
        <w:t xml:space="preserve">    Net investment securities purchased/traded                                   (410)         608         (371)</w:t>
        <w:br/>
        <w:t xml:space="preserve">    Net derivatives-investments                                                 1,063         (826)       2,921</w:t>
        <w:br/>
        <w:t xml:space="preserve">    Net securities purchased/sold under resale/repurchase</w:t>
        <w:br/>
        <w:t xml:space="preserve">       agreements and payable for cash collateral received                        128          (94)      (2,781)</w:t>
        <w:br/>
        <w:t xml:space="preserve">     Accrued income on loans and guarantee fees receivable                       (676)      (2,230)        (299)</w:t>
        <w:br/>
        <w:t xml:space="preserve">    Miscellaneous assets                                                          232           (4)          87</w:t>
        <w:br/>
        <w:t xml:space="preserve">    Accrued interest on borrowings                                                393        2,051         (419)</w:t>
        <w:br/>
        <w:t xml:space="preserve">    Accounts payable and miscellaneous liabilities                                232          463          200</w:t>
        <w:br/>
        <w:t xml:space="preserve">    Pension and other post-retirement benefits                                    (59)          86           99</w:t>
        <w:br/>
        <w:t xml:space="preserve">       Net cash (used in) provided by operating activities                       (897)       5,707        2,371</w:t>
        <w:br/>
        <w:t>Effect of exchange rate changes on unrestricted and restricted cash                (6)           1          (67)</w:t>
        <w:br/>
        <w:t>Net (decrease) increase in unrestricted and restricted cash                       (57)          68       (1,868)</w:t>
        <w:br/>
        <w:t>Unrestricted and restricted cash at the beginning of the fiscal year              547          479        2,347</w:t>
        <w:br/>
        <w:t>Unrestricted and restricted cash at the end of the fiscal year            $       490 $        547 $        479</w:t>
        <w:br/>
        <w:br/>
        <w:br/>
        <w:t>82    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2024         2023          2022</w:t>
        <w:br/>
        <w:t>Supplemental disclosure</w:t>
        <w:br/>
        <w:t xml:space="preserve"> Increase (decrease) in ending balances resulting from exchange rate</w:t>
        <w:br/>
        <w:t xml:space="preserve">    fluctuations</w:t>
        <w:br/>
        <w:t xml:space="preserve">       Loans outstanding                                               $      (822) $     1,817   $    (6,094)</w:t>
        <w:br/>
        <w:t xml:space="preserve">       Investment portfolio                                                     17            4          (210)</w:t>
        <w:br/>
        <w:t xml:space="preserve">       Borrowing portfolio                                                    (577)       1,397        (4,527)</w:t>
        <w:br/>
        <w:t xml:space="preserve"> Capitalized loan origination fees included in total loans                      75           39            53</w:t>
        <w:br/>
        <w:t xml:space="preserve"> Interest paid on borrowing portfolio                                       14,265        6,948         1,157</w:t>
        <w:br/>
        <w:br/>
        <w:br/>
        <w:t xml:space="preserve">                 The Notes to Financial Statements are an integral part of these Statements.</w:t>
        <w:br/>
        <w:br/>
        <w:br/>
        <w:t xml:space="preserve">                                                  IBRD FINANCIAL STATEMENTS: June 30, 2024                   83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SUMMARY STATEMENT OF LOANS</w:t>
        <w:br/>
        <w:t>June 30, 2024</w:t>
        <w:br/>
        <w:br/>
        <w:t>Expressed in millions of U.S. dollars</w:t>
        <w:br/>
        <w:t xml:space="preserve">                                                                 Undisbursed balance</w:t>
        <w:br/>
        <w:t xml:space="preserve">                                                                Loans                                             Percentage of</w:t>
        <w:br/>
        <w:t xml:space="preserve">                                                            approved but        Signed loan         Loans          total loans</w:t>
        <w:br/>
        <w:t>Borrower                                 Total loans a,b    not yet signed     commitment c       Outstanding     outstanding d</w:t>
        <w:br/>
        <w:t>Albania b                               $         1,409    $             —    $          420    $          989              0.38 %</w:t>
        <w:br/>
        <w:t>Angola a                                          6,499                 600            1,933             3,966              1.51</w:t>
        <w:br/>
        <w:t>Antigua and Barbuda                                    4                 —                —                   4                 *</w:t>
        <w:br/>
        <w:t>Argentina                                        13,887                  —             4,130             9,757              3.71</w:t>
        <w:br/>
        <w:t>Armenia b                                         1,319                 149              190               980              0.37</w:t>
        <w:br/>
        <w:t>Azerbaijan                                        1,165                  —                53             1,112              0.42</w:t>
        <w:br/>
        <w:t>Bahamas, The                                        100                  —                —                100              0.04</w:t>
        <w:br/>
        <w:t>Barbados                                            220                  —                —                220              0.08</w:t>
        <w:br/>
        <w:t>Belarus                                             992                  —                  8              984              0.37</w:t>
        <w:br/>
        <w:t>Belize                                               63                  —                26                37              0.01</w:t>
        <w:br/>
        <w:t>Bolivia, Plurinational State of a                 1,576                  —               733               843              0.32</w:t>
        <w:br/>
        <w:t>Bosnia and Herzegovina b                          1,168                  25              387               756              0.29</w:t>
        <w:br/>
        <w:t>Botswana a                                          719                  —                40               679              0.26</w:t>
        <w:br/>
        <w:t>Brazil b                                         19,089               2,600            1,048            15,441              5.87</w:t>
        <w:br/>
        <w:t>Bulgaria                                            327                  —                —                327              0.12</w:t>
        <w:br/>
        <w:t>Cabo Verde, Republic of                              39                  —                  2               37              0.01</w:t>
        <w:br/>
        <w:t>Cameroon                                            876                 205              140               531              0.20</w:t>
        <w:br/>
        <w:t>Chile a                                             750                 250              350               150              0.06</w:t>
        <w:br/>
        <w:t>China b                                          20,763               1,640            4,228            14,895              5.66</w:t>
        <w:br/>
        <w:t>Colombia a                                       17,171               1,050              455            15,666              5.95</w:t>
        <w:br/>
        <w:t>Congo, Republic of                                  506                  99              185               222              0.08</w:t>
        <w:br/>
        <w:t>Costa Rica a                                      2,685                 350              804             1,531              0.59</w:t>
        <w:br/>
        <w:t>Côte d'Ivoire                                       168                  —                  2              166              0.07</w:t>
        <w:br/>
        <w:t>Croatia                                           1,903                  —               517             1,386              0.53</w:t>
        <w:br/>
        <w:t>Dominican Republic a                              3,747                 400            1,440             1,907              0.72</w:t>
        <w:br/>
        <w:t>Ecuador a                                         6,316                 190              655             5,471              2.08</w:t>
        <w:br/>
        <w:t>Egypt, Arab Republic of                          15,262                 700            2,380            12,182              4.63</w:t>
        <w:br/>
        <w:t>El Salvador                                       1,897                  —               973               924              0.35</w:t>
        <w:br/>
        <w:t>Eswatini                                            274                  —                70               204              0.08</w:t>
        <w:br/>
        <w:t>Fiji                                                187                  —                  7              180              0.07</w:t>
        <w:br/>
        <w:t>Gabon a                                             819                  —               190               629              0.24</w:t>
        <w:br/>
        <w:t>Georgia b                                         2,270                  —               660             1,610              0.61</w:t>
        <w:br/>
        <w:t>Grenada                                              14                  —                  1               13                  *</w:t>
        <w:br/>
        <w:t>Guatemala                                         2,298                 250               51             1,997              0.76</w:t>
        <w:br/>
        <w:t>India b                                          34,698               3,180            8,706            22,812              8.67</w:t>
        <w:br/>
        <w:t>Indonesia b                                      27,780                  —             6,109            21,671              8.23</w:t>
        <w:br/>
        <w:t>Iran, Islamic Republic of                           131                  —                —                131              0.05</w:t>
        <w:br/>
        <w:t>Iraq                                              3,597                  —               660             2,937              1.12</w:t>
        <w:br/>
        <w:t>Jamaica                                           1,064                  —                89               975              0.37</w:t>
        <w:br/>
        <w:t>Jordan b                                          7,071                 693            1,815             4,563              1.73</w:t>
        <w:br/>
        <w:t>Kazakhstan                                        4,241                 611              329             3,301              1.25</w:t>
        <w:br/>
        <w:t>Kenya                                             2,016                  —                78             1,938              0.74</w:t>
        <w:br/>
        <w:t>Kosovo                                               91                  —                —                 91              0.03</w:t>
        <w:br/>
        <w:t>Lebanon                                           1,608                  29              642               937              0.36</w:t>
        <w:br/>
        <w:t>Mauritius                                           287                 184               —                103              0.04</w:t>
        <w:br/>
        <w:t>Mexico                                           16,286               1,000              110            15,176              5.77</w:t>
        <w:br/>
        <w:t>Moldova                                             680                  90              338               252              0.10</w:t>
        <w:br/>
        <w:t>Mongolia                                            234                  —               194                40              0.02</w:t>
        <w:br/>
        <w:t>Montenegro b                                        249                  —                59               190              0.07</w:t>
        <w:br/>
        <w:t>Morocco                                          14,061                 599            3,199            10,263              3.90</w:t>
        <w:br/>
        <w:br/>
        <w:br/>
        <w:t>84      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SUMMARY STATEMENT OF LOANS (continued)</w:t>
        <w:br/>
        <w:t>June 30, 2024</w:t>
        <w:br/>
        <w:br/>
        <w:t>Expressed in millions of U.S. dollars</w:t>
        <w:br/>
        <w:t xml:space="preserve">                                                                 Undisbursed balance</w:t>
        <w:br/>
        <w:t xml:space="preserve">                                                                Loans                                            Percentage of</w:t>
        <w:br/>
        <w:t xml:space="preserve">                                                            approved but        Signed loan          Loans        total loans</w:t>
        <w:br/>
        <w:t>Borrower                                 Total loans a,b    not yet signed     commitment c        Outstanding   outstanding d</w:t>
        <w:br/>
        <w:t>Namibia                                 $           100    $            100   $           —                                    *%</w:t>
        <w:br/>
        <w:t>Nigeria a                                         2,931                  —             2,447               484             0.18</w:t>
        <w:br/>
        <w:t>North Macedonia b                                   942                  —               243               699             0.27</w:t>
        <w:br/>
        <w:t>Pakistan b                                        5,121                 200            2,357             2,564             0.97</w:t>
        <w:br/>
        <w:t>Panama a                                          2,240                  —               206             2,034             0.77</w:t>
        <w:br/>
        <w:t>Papua New Guinea                                     80                  —                77                 3                 *</w:t>
        <w:br/>
        <w:t>Paraguay                                          1,490                 125              233             1,132             0.43</w:t>
        <w:br/>
        <w:t>Peru                                              6,414                  —               507             5,907             2.24</w:t>
        <w:br/>
        <w:t>Philippines                                      16,949               1,248            2,596            13,105             4.98</w:t>
        <w:br/>
        <w:t>Poland                                            5,832                  —               268             5,564              2.11</w:t>
        <w:br/>
        <w:t>Romania b                                         6,336                  —             1,357             4,979             1.89</w:t>
        <w:br/>
        <w:t>Serbia b                                          3,020                  76              527             2,417             0.92</w:t>
        <w:br/>
        <w:t>Seychelles                                          186                  —                21               165             0.06</w:t>
        <w:br/>
        <w:t>South Africa a                                    3,974                  —               441             3,533             1.34</w:t>
        <w:br/>
        <w:t>Sri Lanka                                         1,282                  —               243             1,039             0.39</w:t>
        <w:br/>
        <w:t>St. Lucia                                              3                 —                —                  3                 *</w:t>
        <w:br/>
        <w:t>Suriname                                             58                  —                32                26             0.01</w:t>
        <w:br/>
        <w:t>Thailand                                            541                  —                —                541             0.21</w:t>
        <w:br/>
        <w:t>Timor-Leste                                          13                  —                —                 13                 *</w:t>
        <w:br/>
        <w:t>Trinidad and Tobago a                                20                  —                —                 20             0.01</w:t>
        <w:br/>
        <w:t>Tunisia                                           5,743                  —             1,456             4,287             1.63</w:t>
        <w:br/>
        <w:t>Türkiye b                                        21,098               1,294            7,918            11,886             4.52</w:t>
        <w:br/>
        <w:t>Turkmenistan                                         20                  —                —                 20             0.01</w:t>
        <w:br/>
        <w:t>Ukraine                                          14,856                  —               640            14,216             5.40</w:t>
        <w:br/>
        <w:t>Uruguay                                           1,670                  —                70             1,600             0.61</w:t>
        <w:br/>
        <w:t>Uzbekistan                                        3,485                  —               408             3,077             1.17</w:t>
        <w:br/>
        <w:t>Viet Nam                                          2,842                 360              308             2,174             0.83</w:t>
        <w:br/>
        <w:t>Zimbabwe                                            426                  —                —                426             0.16</w:t>
        <w:br/>
        <w:t>Total-June 30, 2024                     $       348,248    $        18,297    $       66,761   $       263,190              100 %</w:t>
        <w:br/>
        <w:br/>
        <w:t>Total-June 30, 2023                     $      329,008     $       25,762     $      59,350    $       243,896</w:t>
        <w:br/>
        <w:br/>
        <w:br/>
        <w:t>Notes</w:t>
        <w:br/>
        <w:t>a. Indicates a country for which a guarantee is provided under an Exposure Exchange Agreement (EEA) with a multilateral</w:t>
        <w:br/>
        <w:t xml:space="preserve">   development organization (see Note D—Loans and Other Exposures). The amount of the guarantees is not included in the</w:t>
        <w:br/>
        <w:t xml:space="preserve">   figures in the Statement above.</w:t>
        <w:br/>
        <w:t>b. Indicates a country for which a guarantee has been received, under an EEA with a multilateral development organization or</w:t>
        <w:br/>
        <w:t xml:space="preserve">   from another guarantee provider (see Note D—Loans and Other Exposures). The effect of the guarantee is not included in the</w:t>
        <w:br/>
        <w:t xml:space="preserve">   figures in the Statement above.</w:t>
        <w:br/>
        <w:t>c. Loan agreements totaling $7,624 million ($8,427 million—June 30, 2023) have been signed, but the loans are not effective and</w:t>
        <w:br/>
        <w:t xml:space="preserve">   disbursements do not start until the borrowers and/or guarantors take certain actions and furnish documents.</w:t>
        <w:br/>
        <w:t>d. May differ from the calculated figures or sum of individual figures shown due to rounding.</w:t>
        <w:br/>
        <w:t>* Indicates amount less than $0.5 million or 0.005%</w:t>
        <w:br/>
        <w:br/>
        <w:t xml:space="preserve">                   The Notes to Financial Statements are an integral part of these Statements.</w:t>
        <w:br/>
        <w:br/>
        <w:br/>
        <w:t xml:space="preserve">                                                           IBRD FINANCIAL STATEMENTS: June 30, 2024                           85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 OF SUBSCRIPTIONS TO</w:t>
        <w:br/>
        <w:t>CAPITAL STOCK AND VOTING POWER</w:t>
        <w:br/>
        <w:t>June 30, 2024</w:t>
        <w:br/>
        <w:br/>
        <w:t>Expressed in millions of U.S. dollars</w:t>
        <w:br/>
        <w:t xml:space="preserve">                                                         Subscriptions                                 Voting Power</w:t>
        <w:br/>
        <w:t xml:space="preserve">                                                                                     Amounts</w:t>
        <w:br/>
        <w:t xml:space="preserve">                                  Number of Percentage        Total    Amounts       subject to    Number of Percentage</w:t>
        <w:br/>
        <w:t>Member                             shares    of total a    amounts a paid in a,b      call a, b      votes    of total a</w:t>
        <w:br/>
        <w:t>Afghanistan                             506         0.02 % $     61.0 $     5.1    $        55.9        1,339        0.05 %</w:t>
        <w:br/>
        <w:t>Albania                               1,355         0.05        163.5       8.5           154.9         2,188        0.08</w:t>
        <w:br/>
        <w:t>Algeria                              13,689         0.51      1,651.4     118.4         1,533.0        14,522        0.51</w:t>
        <w:br/>
        <w:t>Angola                                4,068         0.15        490.7      28.8           461.9         4,901        0.17</w:t>
        <w:br/>
        <w:t>Antigua and Barbuda                     659         0.02         79.5       2.3             77.2        1,492        0.05</w:t>
        <w:br/>
        <w:t>Argentina                            28,060         1.05      3,385.0     220.9         3,164.1        28,893        1.02</w:t>
        <w:br/>
        <w:t>Armenia                               2,006         0.07        242.0      13.8           228.2         2,839        0.10</w:t>
        <w:br/>
        <w:t>Australia c                          39,054         1.46      4,711.3     342.1         4,369.1        39,887        1.41</w:t>
        <w:br/>
        <w:t>Austria c                            18,143         0.68      2,188.7     157.4         2,031.3        18,976        0.67</w:t>
        <w:br/>
        <w:t>Azerbaijan                            2,876         0.11        346.9      21.1           325.9         3,709        0.13</w:t>
        <w:br/>
        <w:t>Bahamas, The                          1,503         0.06        181.3      10.3           171.1         2,336        0.08</w:t>
        <w:br/>
        <w:t>Bahrain                               1,648         0.06        198.8      11.9           186.9         2,481        0.09</w:t>
        <w:br/>
        <w:t>Bangladesh                            7,884         0.29        951.1      65.1           886.0         8,717        0.31</w:t>
        <w:br/>
        <w:t>Barbados                                948         0.04        114.4       4.5           109.9         1,781        0.06</w:t>
        <w:br/>
        <w:t>Belarus                               4,547         0.17        548.5      34.6           513.9         5,380        0.19</w:t>
        <w:br/>
        <w:t>Belgium c                            43,281         1.62      5,221.2     380.0         4,841.2        44,114        1.56</w:t>
        <w:br/>
        <w:t>Belize                                  646         0.02         77.9       3.1             74.8        1,479        0.05</w:t>
        <w:br/>
        <w:t>Benin                                 1,522         0.06        183.6       9.7           173.9         2,355        0.08</w:t>
        <w:br/>
        <w:t>Bhutan                                  829         0.03        100.0       4.2             95.8        1,662        0.06</w:t>
        <w:br/>
        <w:t>Bolivia, Plurinational State of       2,846         0.11        343.3      18.9           324.4         3,679        0.13</w:t>
        <w:br/>
        <w:t>Bosnia and Herzegovina                  980         0.04        118.2      10.3           107.9         1,813        0.06</w:t>
        <w:br/>
        <w:t>Botswana                                916         0.03        110.5       5.4           105.1         1,749        0.06</w:t>
        <w:br/>
        <w:t>Brazil                               53,509         2.00      6,455.1     386.8         6,068.3        54,342        1.92</w:t>
        <w:br/>
        <w:t>Brunei Darussalam                     2,373         0.09        286.3      15.2           271.1         3,206        0.11</w:t>
        <w:br/>
        <w:t>Bulgaria                              7,609         0.28        917.9      64.5           853.4         8,442        0.30</w:t>
        <w:br/>
        <w:t>Burkina Faso                          1,519         0.06        183.2       9.7           173.5         2,352        0.08</w:t>
        <w:br/>
        <w:t>Burundi                               1,043         0.04        125.8       4.6           121.3         1,876        0.07</w:t>
        <w:br/>
        <w:t>Cabo Verde, Republic of                 729         0.03         87.9       2.3             85.7        1,562        0.06</w:t>
        <w:br/>
        <w:t>Cambodia                                619         0.02         74.7       6.4             68.3        1,452        0.05</w:t>
        <w:br/>
        <w:t>Cameroon                              2,202         0.08        265.6      12.4           253.3         3,035        0.11</w:t>
        <w:br/>
        <w:t>Canada c                             70,455         2.63      8,499.3     619.5         7,879.8        71,288        2.51</w:t>
        <w:br/>
        <w:t>Central African Republic                975         0.04        117.6       3.9           113.8         1,808        0.06</w:t>
        <w:br/>
        <w:t>Chad                                    975         0.04        117.6       3.9           113.8         1,808        0.06</w:t>
        <w:br/>
        <w:t>Chile                                11,787         0.44      1,421.9     101.3         1,320.7        12,620        0.45</w:t>
        <w:br/>
        <w:t>China                               166,859         6.23     20,129.0   1,445.1        18,683.9       167,692        5.91</w:t>
        <w:br/>
        <w:t>Colombia                             11,806         0.44      1,424.2     101.2         1,323.0        12,639        0.45</w:t>
        <w:br/>
        <w:t>Comoros                                 369         0.01         44.5       1.0             43.5        1,202        0.04</w:t>
        <w:br/>
        <w:t>Congo, Democratic Republic of         3,416         0.13        412.1      31.0           381.1         4,249        0.15</w:t>
        <w:br/>
        <w:t>Congo, Republic of                    1,051         0.04        126.8       4.3           122.4         1,884        0.07</w:t>
        <w:br/>
        <w:t>Costa Rica                            1,392         0.05        167.9      12.3           155.6         2,225        0.08</w:t>
        <w:br/>
        <w:t>Côte d'Ivoire                         4,270         0.16        515.1      33.3           481.9         5,103        0.18</w:t>
        <w:br/>
        <w:t>Croatia                               3,376         0.13        407.3      29.9           377.4         4,209        0.15</w:t>
        <w:br/>
        <w:t>Cyprus                                2,111         0.08        254.7      16.0           238.6         2,944        0.10</w:t>
        <w:br/>
        <w:t>Czechia c                             9,451         0.35      1,140.1      82.0         1,058.2        10,284        0.36</w:t>
        <w:br/>
        <w:t>Denmark c                            21,061         0.79      2,540.7     182.4         2,358.3        21,894        0.77</w:t>
        <w:br/>
        <w:t>Djibouti                                801         0.03         96.6       2.8             93.8        1,634        0.06</w:t>
        <w:br/>
        <w:t>Dominica                                699         0.03         84.3       3.5             80.8        1,532        0.05</w:t>
        <w:br/>
        <w:t>Dominican Republic                    2,651         0.10        319.8      17.2           302.6         3,484        0.12</w:t>
        <w:br/>
        <w:t>Ecuador                               3,828         0.14        461.8      24.1           437.7         4,661        0.16</w:t>
        <w:br/>
        <w:t>Egypt, Arab Republic of              10,682         0.40      1,288.6      76.8         1,211.8        11,515        0.41</w:t>
        <w:br/>
        <w:br/>
        <w:br/>
        <w:t>86     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 OF SUBSCRIPTIONS TO</w:t>
        <w:br/>
        <w:t>CAPITAL STOCK AND VOTING POWER (continued)</w:t>
        <w:br/>
        <w:t>June 30, 2024</w:t>
        <w:br/>
        <w:br/>
        <w:t>Expressed in millions of U.S. dollars</w:t>
        <w:br/>
        <w:t xml:space="preserve">                                                          Subscriptions                                 Voting Power</w:t>
        <w:br/>
        <w:t xml:space="preserve">                                                                                      Amounts</w:t>
        <w:br/>
        <w:t xml:space="preserve">                                   Number of Percentage        Total    Amounts       subject to    Number of Percentage</w:t>
        <w:br/>
        <w:t>Member                              shares    of total a    amounts a paid in a,b      call a, b      votes    of total a</w:t>
        <w:br/>
        <w:t>El Salvador                              477         0.02 % $     57.5 $     4.6    $        52.9        1,310        0.05 %</w:t>
        <w:br/>
        <w:t>Equatorial Guinea                        715         0.03         86.3       2.7             83.5        1,548        0.05</w:t>
        <w:br/>
        <w:t>Eritrea                                  593         0.02         71.5       1.8             69.7        1,426        0.05</w:t>
        <w:br/>
        <w:t>Estonia c                              1,372         0.05        165.5       9.5           156.1         2,205        0.08</w:t>
        <w:br/>
        <w:t>Eswatini                                 609         0.02         73.5       3.7             69.8        1,442        0.05</w:t>
        <w:br/>
        <w:t>Ethiopia                               1,470         0.05        177.3       8.3           169.1         2,303        0.08</w:t>
        <w:br/>
        <w:t>Fiji                                   1,407         0.05        169.7       9.8           159.9         2,240        0.08</w:t>
        <w:br/>
        <w:t>Finland c                             13,726         0.51      1,655.8     118.5         1,537.3        14,559        0.51</w:t>
        <w:br/>
        <w:t>France c                             108,611         4.06     13,102.3     956.6        12,145.7       109,444        3.86</w:t>
        <w:br/>
        <w:t>Gabon                                  1,110         0.04        133.9       7.0           126.9         1,943        0.07</w:t>
        <w:br/>
        <w:t>Gambia, The                              777         0.03         93.7       2.7             91.0        1,610        0.06</w:t>
        <w:br/>
        <w:t>Georgia                                2,590         0.10        312.4      18.6           293.8         3,423        0.12</w:t>
        <w:br/>
        <w:t>Germany c                            118,578         4.43     14,304.7   1,043.5        13,261.1       119,411        4.21</w:t>
        <w:br/>
        <w:t>Ghana                                  2,202         0.08        265.6      16.1           249.5         3,035        0.11</w:t>
        <w:br/>
        <w:t>Greece c                               4,460         0.17        538.0      40.4           497.6         5,293        0.19</w:t>
        <w:br/>
        <w:t>Grenada                                  673         0.03         81.2       2.4             78.8        1,506        0.05</w:t>
        <w:br/>
        <w:t>Guatemala                              2,001         0.07        241.4      12.4           229.0         2,834        0.10</w:t>
        <w:br/>
        <w:t>Guinea                                 1,864         0.07        224.9       9.9           214.9         2,697        0.10</w:t>
        <w:br/>
        <w:t>Guinea-Bissau                            613         0.02         73.9       1.4             72.5        1,446        0.05</w:t>
        <w:br/>
        <w:t>Guyana                                 1,724         0.06        208.0      11.5           196.5         2,557        0.09</w:t>
        <w:br/>
        <w:t>Haiti                                  1,550         0.06        187.0       7.8           179.2         2,383        0.08</w:t>
        <w:br/>
        <w:t>Honduras                                 641         0.02         77.3       2.3             75.0        1,474        0.05</w:t>
        <w:br/>
        <w:t>Hungary c                             12,456         0.47      1,502.6     107.4         1,395.2        13,289        0.47</w:t>
        <w:br/>
        <w:t>Iceland c                              1,975         0.07        238.3      14.8           223.5         2,808        0.10</w:t>
        <w:br/>
        <w:t>India                                 85,175         3.18     10,275.1     738.0         9,537.1        86,008        3.03</w:t>
        <w:br/>
        <w:t>Indonesia                             28,863         1.08      3,481.9     249.9         3,232.0        29,696        1.05</w:t>
        <w:br/>
        <w:t>Iran, Islamic Republic of             34,963         1.31      4,217.8     254.3         3,963.4        35,796        1.26</w:t>
        <w:br/>
        <w:t>Iraq                                   3,875         0.14        467.5      33.0           434.5         4,708        0.17</w:t>
        <w:br/>
        <w:t>Ireland c                              9,415         0.35      1,135.8      80.3         1,055.5        10,248        0.36</w:t>
        <w:br/>
        <w:t>Israel                                 7,386         0.28        891.0      62.6           828.4         8,219        0.29</w:t>
        <w:br/>
        <w:t>Italy c                               72,444         2.71      8,739.3     641.8         8,097.5        73,277        2.58</w:t>
        <w:br/>
        <w:t>Jamaica                                3,741         0.14        451.3      30.5           420.8         4,574        0.16</w:t>
        <w:br/>
        <w:t>Japan c                              199,885         7.46     24,113.1   1,751.9        22,361.2       200,718        7.08</w:t>
        <w:br/>
        <w:t>Jordan                                 2,337         0.09        281.9      16.5           265.4         3,170        0.11</w:t>
        <w:br/>
        <w:t>Kazakhstan                             4,573         0.17        551.7      31.3           520.4         5,406        0.19</w:t>
        <w:br/>
        <w:t>Kenya                                  3,435         0.13        414.4      21.1           393.2         4,268        0.15</w:t>
        <w:br/>
        <w:t>Kiribati                                 680         0.03         82.0       1.9             80.1        1,513        0.05</w:t>
        <w:br/>
        <w:t>Korea, Republic of c                  45,285         1.69      5,463.0     389.9         5,073.1        46,118        1.63</w:t>
        <w:br/>
        <w:t>Kosovo, Republic of                    1,538         0.06        185.5      11.5           174.1         2,371        0.08</w:t>
        <w:br/>
        <w:t>Kuwait                                19,432         0.73      2,344.2     141.0         2,203.2        20,265        0.71</w:t>
        <w:br/>
        <w:t>Kyrgyz Republic                        1,107         0.04        133.5       5.7           127.9         1,940        0.07</w:t>
        <w:br/>
        <w:t>Lao People's Democratic Republic         355         0.01         42.8       3.3             39.5        1,188        0.04</w:t>
        <w:br/>
        <w:t>Latvia                                 2,027         0.08        244.5      15.3           229.3         2,860        0.10</w:t>
        <w:br/>
        <w:t>Lebanon                                1,062         0.04        128.1       6.3           121.8         1,895        0.07</w:t>
        <w:br/>
        <w:t>Lesotho                                1,057         0.04        127.5       4.6           122.9         1,890        0.07</w:t>
        <w:br/>
        <w:t>Liberia                                  606         0.02         73.1       3.6             69.5        1,439        0.05</w:t>
        <w:br/>
        <w:t>Libya                                  9,935         0.37      1,198.5      72.1         1,126.4        10,768        0.38</w:t>
        <w:br/>
        <w:t>Lithuania c                            2,258         0.08        272.4      17.3           255.1         3,091        0.11</w:t>
        <w:br/>
        <w:t>Luxembourg c                           2,806         0.10        338.5      22.1           316.4         3,639        0.13</w:t>
        <w:br/>
        <w:t>Madagascar                             2,506         0.09        302.3      18.0           284.4         3,339        0.12</w:t>
        <w:br/>
        <w:br/>
        <w:br/>
        <w:t xml:space="preserve">                                                      IBRD FINANCIAL STATEMENTS: June 30, 2024                         87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 OF SUBSCRIPTIONS TO</w:t>
        <w:br/>
        <w:t>CAPITAL STOCK AND VOTING POWER (continued)</w:t>
        <w:br/>
        <w:t>June 30, 2024</w:t>
        <w:br/>
        <w:br/>
        <w:t>Expressed in millions of U.S. dollars</w:t>
        <w:br/>
        <w:t xml:space="preserve">                                                          Subscriptions                                Voting Power</w:t>
        <w:br/>
        <w:t xml:space="preserve">                                                                                   Amounts</w:t>
        <w:br/>
        <w:t xml:space="preserve">                                  Number of Percentage       Total    Amounts      subject to      Number of Percentage</w:t>
        <w:br/>
        <w:t xml:space="preserve">                                                      a            a          a,b</w:t>
        <w:br/>
        <w:t>Member                             shares    of total      amounts    paid in       call a, b        votes    of total a</w:t>
        <w:br/>
        <w:t>Malawi                                1,722         0.06 % $   207.7 $      10.2 $       197.5          2,555       0.09 %</w:t>
        <w:br/>
        <w:t>Malaysia                             10,447         0.39     1,260.3        75.4      1,184.8          11,280       0.40</w:t>
        <w:br/>
        <w:t>Maldives                                525         0.02        63.3         2.0          61.3          1,358       0.05</w:t>
        <w:br/>
        <w:t>Mali                                  2,035         0.08       245.5        14.1         231.4          2,868       0.10</w:t>
        <w:br/>
        <w:t>Malta                                 1,533         0.06       184.9        10.9         174.0          2,366       0.08</w:t>
        <w:br/>
        <w:t>Marshall Islands                        469         0.02        56.6         0.9          55.7          1,302       0.05</w:t>
        <w:br/>
        <w:t>Mauritania                            1,308         0.05       157.8         6.1         151.7          2,141       0.08</w:t>
        <w:br/>
        <w:t>Mauritius                             1,780         0.07       214.7        13.1         201.6          2,613       0.09</w:t>
        <w:br/>
        <w:t>Mexico                               40,119         1.50     4,839.8      291.1       4,548.6          40,952       1.44</w:t>
        <w:br/>
        <w:t>Micronesia, Federated States of         479         0.02        57.8         1.0          56.8          1,312       0.05</w:t>
        <w:br/>
        <w:t>Moldova                               2,129         0.08       256.8        12.8         244.0          2,962       0.10</w:t>
        <w:br/>
        <w:t>Mongolia                                829         0.03       100.0         5.6          94.4          1,662       0.06</w:t>
        <w:br/>
        <w:t>Montenegro                              971         0.04       117.1         6.6         110.5          1,804       0.06</w:t>
        <w:br/>
        <w:t>Morocco                               8,069         0.30       973.4        66.8         906.6          8,902       0.31</w:t>
        <w:br/>
        <w:t>Mozambique                            1,332         0.05       160.7         6.8         153.9          2,165       0.08</w:t>
        <w:br/>
        <w:t>Myanmar                               3,465         0.13       418.0        21.4         396.6          4,298       0.15</w:t>
        <w:br/>
        <w:t>Namibia                               1,930         0.07       232.8        11.7         221.1          2,763       0.10</w:t>
        <w:br/>
        <w:t>Nauru                                   586         0.02        70.7         2.4          68.3          1,419       0.05</w:t>
        <w:br/>
        <w:t>Nepal                                 1,466         0.05       176.9         7.7         169.1          2,299       0.08</w:t>
        <w:br/>
        <w:t>Netherlands c                        54,111         2.02     6,527.7      475.4       6,052.3          54,944       1.94</w:t>
        <w:br/>
        <w:t>New Zealand c                        11,261         0.42     1,358.5        96.8      1,261.6          12,094       0.43</w:t>
        <w:br/>
        <w:t>Nicaragua                               999         0.04       120.5         5.3         115.2          1,832       0.06</w:t>
        <w:br/>
        <w:t>Niger                                 1,233         0.05       148.7         5.6         143.1          2,066       0.07</w:t>
        <w:br/>
        <w:t>Nigeria                              19,417         0.73     2,342.4      168.0       2,174.3          20,250       0.71</w:t>
        <w:br/>
        <w:t>North Macedonia                         641         0.02        77.3         5.7          71.7          1,474       0.05</w:t>
        <w:br/>
        <w:t>Norway c                             16,746         0.63     2,020.2      145.0       1,875.1          17,579       0.62</w:t>
        <w:br/>
        <w:t>Oman                                  1,978         0.07       238.6        12.1         226.5          2,811       0.10</w:t>
        <w:br/>
        <w:t>Pakistan                             13,906         0.52     1,677.6      118.4       1,559.1          14,739       0.52</w:t>
        <w:br/>
        <w:t>Palau                                    16         0.00         1.9         0.2             1.8          849       0.03</w:t>
        <w:br/>
        <w:t>Panama                                1,138         0.04       137.3        10.3         127.0          1,971       0.07</w:t>
        <w:br/>
        <w:t>Papua New Guinea                      2,273         0.08       274.2        16.1         258.1          3,106        0.11</w:t>
        <w:br/>
        <w:t>Paraguay                              2,037         0.08       245.7        14.1         231.6          2,870       0.10</w:t>
        <w:br/>
        <w:t>Peru                                  9,092         0.34     1,096.8        77.5      1,019.3           9,925       0.35</w:t>
        <w:br/>
        <w:t>Philippines                          11,887         0.44     1,434.0      102.1       1,331.9          12,720       0.45</w:t>
        <w:br/>
        <w:t>Poland c                             20,474         0.76     2,469.9      177.1       2,292.8          21,307       0.75</w:t>
        <w:br/>
        <w:t>Portugal c                            7,511         0.28       906.1        53.3         852.7          8,344       0.29</w:t>
        <w:br/>
        <w:t>Qatar                                 1,389         0.05       167.6        11.1         156.5          2,222       0.08</w:t>
        <w:br/>
        <w:t>Romania                               8,210         0.31       990.4        72.4         918.0          9,043       0.32</w:t>
        <w:br/>
        <w:t>Russian Federation                   79,121         2.95     9,544.8      685.8       8,859.0          79,954       2.82</w:t>
        <w:br/>
        <w:t>Rwanda                                1,502         0.06       181.2         7.5         173.7          2,335       0.08</w:t>
        <w:br/>
        <w:t>St. Kitts and Nevis                     275         0.01        33.2         0.3          32.9          1,108       0.04</w:t>
        <w:br/>
        <w:t>St. Lucia                               699         0.03        84.3         2.6          81.7          1,532       0.05</w:t>
        <w:br/>
        <w:t>St. Vincent and the Grenadines          387         0.01        46.7         1.6          45.1          1,220       0.04</w:t>
        <w:br/>
        <w:t>Samoa                                   947         0.04       114.2         5.1         109.2          1,780       0.06</w:t>
        <w:br/>
        <w:t>San Marino                              595         0.02        71.8         2.5          69.3          1,428       0.05</w:t>
        <w:br/>
        <w:t>Sao Tome and Principe                   705         0.03        85.0         2.2          82.9          1,538       0.05</w:t>
        <w:br/>
        <w:t>Saudi Arabia                         76,967         2.87     9,284.9      668.3       8,616.6          77,800       2.74</w:t>
        <w:br/>
        <w:t>Senegal                               2,942         0.11       354.9        17.5         337.4          3,775       0.13</w:t>
        <w:br/>
        <w:t>Serbia                                4,133         0.15       498.6        36.6         462.0          4,966       0.18</w:t>
        <w:br/>
        <w:t>Seychelles                              263         0.01        31.7         0.2          31.6          1,096       0.04</w:t>
        <w:br/>
        <w:br/>
        <w:br/>
        <w:t>88    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STATEMENT OF SUBSCRIPTIONS TO</w:t>
        <w:br/>
        <w:t>CAPITAL STOCK AND VOTING POWER (continued)</w:t>
        <w:br/>
        <w:t>June 30, 2024</w:t>
        <w:br/>
        <w:br/>
        <w:t>Expressed in millions of U.S. dollars</w:t>
        <w:br/>
        <w:t xml:space="preserve">                                                          Subscriptions                                      Voting Power</w:t>
        <w:br/>
        <w:t xml:space="preserve">                                                                                           Amounts</w:t>
        <w:br/>
        <w:t xml:space="preserve">                                Number     Percentage        Total         Amounts         subject to    Number of    Percentage</w:t>
        <w:br/>
        <w:t>Member                         of shares    of total a    amounts a        paid in a,b      call a, b      votes       of total a</w:t>
        <w:br/>
        <w:t>Sierra Leone                       1,043           0.04 % $    125.8      $      4.60    $       121.2        1,876          0.07 %</w:t>
        <w:br/>
        <w:t>Singapore                          7,109           0.27        857.6           63.00             794.6        7,942          0.28</w:t>
        <w:br/>
        <w:t>Slovak Republic c                  4,785           0.18        577.2           41.00             536.2        5,618          0.20</w:t>
        <w:br/>
        <w:t>Slovenia c                         2,037           0.08        245.7           18.00             227.8        2,870          0.10</w:t>
        <w:br/>
        <w:t>Solomon Islands                      729           0.03         87.9             2.30             85.6        1,562          0.06</w:t>
        <w:br/>
        <w:t>Somalia                              632           0.02         76.2             3.30             72.9        1,465          0.05</w:t>
        <w:br/>
        <w:t>South Africa                      20,793           0.78      2,508.4          180.00          2,328.4        21,626          0.76</w:t>
        <w:br/>
        <w:t>South Sudan                        1,437           0.05        173.4             8.60            164.8        2,270          0.08</w:t>
        <w:br/>
        <w:t>Spain c                           52,895           1.98      6,381.0          461.20          5,919.8        53,728          1.89</w:t>
        <w:br/>
        <w:t>Sri Lanka                          6,282           0.23        757.8           51.00             706.9        7,115          0.25</w:t>
        <w:br/>
        <w:t>Sudan                              1,989           0.07        239.9           15.50             224.5        2,822          0.10</w:t>
        <w:br/>
        <w:t>Suriname                             412           0.02         49.7             2.00             47.7        1,245          0.04</w:t>
        <w:br/>
        <w:t>Sweden c                          25,148           0.94      3,033.7          219.10          2,814.6        25,981          0.92</w:t>
        <w:br/>
        <w:t>Switzerland c                     40,889           1.53      4,932.6          357.90          4,574.7        41,722          1.47</w:t>
        <w:br/>
        <w:t>Syrian Arab Republic               2,452           0.09        295.8           14.00             281.8        3,285          0.12</w:t>
        <w:br/>
        <w:t>Tajikistan                         1,204           0.04        145.2             5.30            139.9        2,037          0.07</w:t>
        <w:br/>
        <w:t>Tanzania                           1,295           0.05        156.2           10.00             146.2        2,128          0.08</w:t>
        <w:br/>
        <w:t>Thailand                          13,752           0.51      1,659.0          118.10          1,540.9        14,585          0.51</w:t>
        <w:br/>
        <w:t>Timor-Leste                          753           0.03         90.8             3.10             87.8        1,586          0.06</w:t>
        <w:br/>
        <w:t>Togo                               1,598           0.06        192.8             8.10            184.7        2,431          0.09</w:t>
        <w:br/>
        <w:t>Tonga                                796           0.03         96.0             3.50             92.5        1,629          0.06</w:t>
        <w:br/>
        <w:t>Trinidad and Tobago                3,376           0.13        407.3           22.80             384.5        4,209          0.15</w:t>
        <w:br/>
        <w:t>Tunisia                            1,993           0.07        240.4           17.20             223.2        2,826          0.10</w:t>
        <w:br/>
        <w:t>Türkiye                           30,668           1.15      3,699.6          264.50          3,435.1        31,501           1.11</w:t>
        <w:br/>
        <w:t>Turkmenistan                         627           0.02         75.6             3.60             72.0        1,460          0.05</w:t>
        <w:br/>
        <w:t>Tuvalu                               461           0.02         55.6             1.50             54.1        1,294          0.05</w:t>
        <w:br/>
        <w:t>Uganda                             1,128           0.04        136.1             9.60            126.5        1,961          0.07</w:t>
        <w:br/>
        <w:t>Ukraine                           14,361           0.54      1,732.4          108.50          1,623.9        15,194          0.54</w:t>
        <w:br/>
        <w:t>United Arab Emirates               7,043           0.26        849.6           66.20             783.4        7,876          0.28</w:t>
        <w:br/>
        <w:t>United Kingdom c                 108,611           4.06     13,102.3          975.70         12,126.6       109,444          3.86</w:t>
        <w:br/>
        <w:t>United States c                  438,475         16.37      52,895.4        3,689.50         49,205.9       439,308         15.49</w:t>
        <w:br/>
        <w:t>Uruguay                            3,563           0.13        429.8           24.00             405.8        4,396          0.16</w:t>
        <w:br/>
        <w:t>Uzbekistan                         4,238           0.16        511.3           32.90             478.4        5,071          0.18</w:t>
        <w:br/>
        <w:t>Vanuatu                              765           0.03         92.3             3.10             89.2        1,598          0.06</w:t>
        <w:br/>
        <w:t>Venezuela, Republica</w:t>
        <w:br/>
        <w:t xml:space="preserve">                                  20,361          0.76        2,456.2         150.80          2,305.5        21,194         0.75</w:t>
        <w:br/>
        <w:t>Bolivariana de</w:t>
        <w:br/>
        <w:t>Viet Nam                           5,311          0.20         640.7           47.00            593.7         6,144         0.22</w:t>
        <w:br/>
        <w:t>Yemen, Republic of                 2,212          0.08         266.8           14.00            252.8         3,045         0.11</w:t>
        <w:br/>
        <w:t>Zambia                             4,727          0.18         570.2           38.70            531.5         5,560         0.20</w:t>
        <w:br/>
        <w:t>Zimbabwe                           3,575          0.13         431.3           22.40            408.9         4,408         0.16</w:t>
        <w:br/>
        <w:t>Total - June 30, 2024          2,678,098          100 %      323,072          22,452         300,620      2,835,535         100 %</w:t>
        <w:br/>
        <w:br/>
        <w:br/>
        <w:t>Total - June 30, 2023          2,634,728                     317,840          21,819         296,021      2,789,519</w:t>
        <w:br/>
        <w:br/>
        <w:t>Notes</w:t>
        <w:br/>
        <w:t>a. May differ from the calculated figures or sum of individual figures shown due to rounding.</w:t>
        <w:br/>
        <w:t>b. See Notes to Financial Statements, Note B—Capital Stock, Maintenance of Value, and Membership.</w:t>
        <w:br/>
        <w:t>c. A member of the Development Assistance Committee of the Organization for Economic Cooperation and Development (OECD).</w:t>
        <w:br/>
        <w:t>* Indicates amount less than $0.5 million or 0.005%</w:t>
        <w:br/>
        <w:br/>
        <w:t xml:space="preserve">                     The Notes to Financial Statements are an integral part of these Statements.</w:t>
        <w:br/>
        <w:br/>
        <w:br/>
        <w:t xml:space="preserve">                                                         IBRD FINANCIAL STATEMENTS: June 30, 2024                              89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NOTES TO FINANCIAL STATEMENTS</w:t>
        <w:br/>
        <w:t>PURPOSE AND AFFILIATED ORGANIZATIONS</w:t>
        <w:br/>
        <w:t>The International Bank for Reconstruction and Development (IBRD) is an international organization which</w:t>
        <w:br/>
        <w:t>commenced operations in 1946. The principal purpose of IBRD is to promote sustainable economic development</w:t>
        <w:br/>
        <w:t>and reduce poverty in its member countries, primarily by providing loans, guarantees and related technical</w:t>
        <w:br/>
        <w:t>assistance for specific projects and for programs of economic reform in developing member countries. The activities</w:t>
        <w:br/>
        <w:t>of IBRD are complemented by those of three affiliated organizations, the International Development Association</w:t>
        <w:br/>
        <w:t>(IDA), the International Finance Corporation (IFC), and the Multilateral Investment Guarantee Agency (MIGA).</w:t>
        <w:br/>
        <w:t>Each of these organizations is legally and financially independent from IBRD, with separate assets and liabilities,</w:t>
        <w:br/>
        <w:t>and IBRD is not liable for their respective obligations. Transactions with these affiliated organizations are disclosed</w:t>
        <w:br/>
        <w:t>in the notes that follow.</w:t>
        <w:br/>
        <w:t>IBRD is immune from taxation pursuant to Article VII, Section 9, Immunities from Taxation, of IBRD’s Articles of</w:t>
        <w:br/>
        <w:t>Agreement.</w:t>
        <w:br/>
        <w:t>NOTE A—SUMMARY OF SIGNIFICANT ACCOUNTING AND RELATED POLICIES</w:t>
        <w:br/>
        <w:t>IBRD’s financial statements are prepared in conformity with accounting principles generally accepted in the United</w:t>
        <w:br/>
        <w:t>States of America (U.S. GAAP).</w:t>
        <w:br/>
        <w:t>The preparation of financial statements in conformity with U.S. GAAP requires management to make estimates and</w:t>
        <w:br/>
        <w:t>assumptions that affect the reported amounts of assets and liabilities and disclosure of contingent assets and</w:t>
        <w:br/>
        <w:t>liabilities at the date of the financial statements and the reported amounts of revenue and expenses during the</w:t>
        <w:br/>
        <w:t>reporting periods. Due to the inherent uncertainty involved in making these estimates, actual results could differ</w:t>
        <w:br/>
        <w:t>from these estimates. Significant judgment has been used in the valuation of certain financial instruments, the</w:t>
        <w:br/>
        <w:t>determination of the adequacy of the accumulated provisions for losses on loans and other exposures, the</w:t>
        <w:br/>
        <w:t>determination of the net periodic cost from pension and other postretirement benefits plans, and the present value of</w:t>
        <w:br/>
        <w:t>projected benefit obligations.</w:t>
        <w:br/>
        <w:t>Certain reclassifications of the prior year’s information have been made to conform with the current year’s</w:t>
        <w:br/>
        <w:t>presentation.</w:t>
        <w:br/>
        <w:t>Translation of Currencies</w:t>
        <w:br/>
        <w:t>IBRD’s financial statements are expressed in terms of U.S. dollars for the purpose of reporting IBRD’s financial</w:t>
        <w:br/>
        <w:t>position and the results of its operations. IBRD’s functional currencies are the U.S. dollar and euro.</w:t>
        <w:br/>
        <w:t>Assets and liabilities are translated at market exchange rates in effect at the end of the reporting period. Revenue and</w:t>
        <w:br/>
        <w:t>expenses are translated at either the market exchange rates in effect on the dates on which they are recognized or at</w:t>
        <w:br/>
        <w:t>an average of the market exchange rates in effect during the month of the transaction. Translation adjustments</w:t>
        <w:br/>
        <w:t>relating to non-functional currencies are reflected in the Statements of Income, while translation adjustments for</w:t>
        <w:br/>
        <w:t>assets and liabilities denominated in euro are reflected in the Statements of Comprehensive Income.</w:t>
        <w:br/>
        <w:t>Valuation of Capital Stock</w:t>
        <w:br/>
        <w:t>In the Articles of Agreement, the capital stock of IBRD is expressed in terms of “U.S. dollars of the weight and</w:t>
        <w:br/>
        <w:t>fineness in effect on July 1, 1944” (“1944 dollars”). Following the abolition of gold as a common denominator of</w:t>
        <w:br/>
        <w:t>the monetary system and the repeal of the provision of the U.S. law defining the par value of the U.S. dollar in terms</w:t>
        <w:br/>
        <w:t>of gold, the pre-existing basis for translating 1944 dollars into current dollars or into any other currency was</w:t>
        <w:br/>
        <w:t>eliminated. The Executive Directors of IBRD have decided, until such time as the relevant provisions of the Articles</w:t>
        <w:br/>
        <w:t>of Agreement are amended, that the words “U.S. dollars of the weight and fineness in effect on July 1, 1944” in</w:t>
        <w:br/>
        <w:t>Article II, Section 2(a) of the Articles of Agreement of IBRD are interpreted to mean the Special Drawing Right</w:t>
        <w:br/>
        <w:t>(SDR) introduced by the International Monetary Fund, as valued in terms of U.S. dollars immediately before the</w:t>
        <w:br/>
        <w:t>introduction of the basket method of valuing the SDR on July 1, 1974, such value being $1.20635 for one SDR</w:t>
        <w:br/>
        <w:t>(“1974 SDR”).</w:t>
        <w:br/>
        <w:br/>
        <w:br/>
        <w:t>90    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Maintenance of Value</w:t>
        <w:br/>
        <w:t>Article II, Section 9 of the Articles of Agreement provides for maintenance of value (MOV), at the time of</w:t>
        <w:br/>
        <w:t>subscription, of national currencies paid-in, which are subject to certain restrictions. MOV is determined by</w:t>
        <w:br/>
        <w:t>measuring the foreign exchange value of a member’s national currency against the standard of value of IBRD’s</w:t>
        <w:br/>
        <w:t>capital based on the 1974 SDR. MOV receivable are amounts due from members on account of movements in</w:t>
        <w:br/>
        <w:t>exchange rates from the date of initial subscription, resulting in the reduction in the value of their paid-in capital</w:t>
        <w:br/>
        <w:t>denominated in national currencies. Members are required to make payments to IBRD if their currencies depreciate</w:t>
        <w:br/>
        <w:t>significantly relative to the standard of value. These amounts may be settled either in cash or a nonnegotiable,</w:t>
        <w:br/>
        <w:t>noninterest-bearing note, which is due on demand. Certain notes are due on demand only after IBRD's callable</w:t>
        <w:br/>
        <w:t>subscribed capital has been entirely called pursuant to Article IV, Section 2 (a) of the Articles of Agreement.</w:t>
        <w:br/>
        <w:t>Furthermore, the Executive Directors have adopted a policy of reimbursing members whose national currencies</w:t>
        <w:br/>
        <w:t>appreciate significantly in terms of the standard of value.</w:t>
        <w:br/>
        <w:t>MOV is deferred when the restriction of national currencies paid-in is lifted and these currencies are being used in</w:t>
        <w:br/>
        <w:t>IBRD’s operations and/or are being invested, swapped, or loaned to members by IBRD or through IFC. Once these</w:t>
        <w:br/>
        <w:t>restricted currencies are no longer being used in operations, the related MOV is no longer deferred, but rather,</w:t>
        <w:br/>
        <w:t>becomes due on the same terms as other MOV obligations.</w:t>
        <w:br/>
        <w:t>All MOV receivable balances are shown as components of Equity, under Receivable amounts to maintain value of</w:t>
        <w:br/>
        <w:t>currency holdings. All MOV payable balances are included in Other liabilities – Accounts payable and</w:t>
        <w:br/>
        <w:t>miscellaneous liabilities on the Balance Sheets. The net receivable or payable MOV amounts relating to national</w:t>
        <w:br/>
        <w:t>currencies used in IBRD's lending and investing operations are also included as a component of Equity under</w:t>
        <w:br/>
        <w:t>Deferred amounts to maintain value of currency holdings.</w:t>
        <w:br/>
        <w:t>Withdrawal of Membership</w:t>
        <w:br/>
        <w:t>Under IBRD’s Articles of Agreement, in the event a member withdraws from IBRD, the withdrawing member is</w:t>
        <w:br/>
        <w:t>entitled to receive the value of its shares payable to the extent the member does not have any outstanding obligations</w:t>
        <w:br/>
        <w:t>to IBRD. IBRD’s Articles of Agreement also state that the former member has continuing obligations to IBRD after</w:t>
        <w:br/>
        <w:t>withdrawal. Specifically, the former member remains fully liable for its entire capital subscription, including both</w:t>
        <w:br/>
        <w:t>the previously paid-in portion and the callable portion, so long as any part of the loans or guarantees contracted</w:t>
        <w:br/>
        <w:t>before it ceased to be a member are outstanding.</w:t>
        <w:br/>
        <w:t>Transfers Approved by the Board of Governors</w:t>
        <w:br/>
        <w:t>In accordance with IBRD’s Articles of Agreement, as interpreted by the Executive Directors, the Board of</w:t>
        <w:br/>
        <w:t>Governors may exercise its reserved power to approve transfers to other entities for development purposes. When</w:t>
        <w:br/>
        <w:t>unconditional, these transfers, which are included in the Board of Governors-approved and other transfers line in the</w:t>
        <w:br/>
        <w:t>Statements of Income, are reported as expenses upon approval. If conditional, these transfers are expensed when the</w:t>
        <w:br/>
        <w:t>conditions specified for the use by the beneficiaries have been met. The transfers are funded from the preceding</w:t>
        <w:br/>
        <w:t>fiscal year’s Net Income, Surplus, Restricted Retained Earnings or Other Reserves.</w:t>
        <w:br/>
        <w:t>Retained Earnings</w:t>
        <w:br/>
        <w:t>Retained Earnings consist of allocated amounts (Special Reserve, General Reserve, Pension Reserve, Surplus,</w:t>
        <w:br/>
        <w:t>Cumulative Fair Value Adjustments, Restricted Retained Earnings, Other Reserves) and Unallocated Net Income</w:t>
        <w:br/>
        <w:t>(Loss).</w:t>
        <w:br/>
        <w:t>The Special Reserve consists of loan commissions set aside pursuant to Article IV, Section 6 of the Articles of</w:t>
        <w:br/>
        <w:t>Agreement, which are to be held in liquid assets. These assets may be used only for the purpose of meeting liabilities</w:t>
        <w:br/>
        <w:t>of IBRD on its borrowings and guarantees in the event of default on loans made, participated in, or guaranteed by</w:t>
        <w:br/>
        <w:t>IBRD. The Special Reserve assets are included under Investments-Trading, and comprise obligations of the United</w:t>
        <w:br/>
        <w:t>States Government, its agencies, and other official entities. The allocation of such commissions to the Special</w:t>
        <w:br/>
        <w:t>Reserve was discontinued in 1964 with respect to subsequent loans and no further additions are being made to it.</w:t>
        <w:br/>
        <w:t>The General Reserve consists of earnings from prior fiscal years which, in the judgment of the Executive Directors,</w:t>
        <w:br/>
        <w:t>should be retained in IBRD’s operations.</w:t>
        <w:br/>
        <w:br/>
        <w:br/>
        <w:t xml:space="preserve">                                                    IBRD FINANCIAL STATEMENTS: June 30, 2024                      91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Pension Reserve consists of the difference between the cumulative actual funding of the Staff Retirement Plan</w:t>
        <w:br/>
        <w:t>and Trust (SRP) and other postretirement benefits plans, and the cumulative accounting income or expense for these</w:t>
        <w:br/>
        <w:t>plans, from prior fiscal years. This reserve is reduced when pension accounting expenses exceed the actual funding</w:t>
        <w:br/>
        <w:t>of these plans. In addition, the Pension Reserve also includes investment revenue earned on the Post-Employment</w:t>
        <w:br/>
        <w:t>Benefits Plan (PEBP) portfolio as well as Post Retirement Contribution Reserve Fund (PCRF), which is used to</w:t>
        <w:br/>
        <w:t>stabilize IBRD’s contributions to the pension plan.</w:t>
        <w:br/>
        <w:t>Surplus consists of earnings from prior fiscal years which are retained by IBRD until a further decision is made on</w:t>
        <w:br/>
        <w:t>their disposition.</w:t>
        <w:br/>
        <w:t>Cumulative Fair Value Adjustments consist of the unrealized mark-to-market gains or losses on non-trading</w:t>
        <w:br/>
        <w:t>portfolios and certain positions in the trading portfolio.</w:t>
        <w:br/>
        <w:t>Restricted Retained Earnings consists of contributions or revenue from prior years which are contractually restricted</w:t>
        <w:br/>
        <w:t>as to their purpose.</w:t>
        <w:br/>
        <w:t>Unallocated Net Income (Loss) consists of the current fiscal year’s net income (loss) adjusted for Board of</w:t>
        <w:br/>
        <w:t>Governors-approved and other transfers made during the year.</w:t>
        <w:br/>
        <w:t>Other Reserves consist of allocations from Surplus, non-functional currency translation adjustment gains/losses from</w:t>
        <w:br/>
        <w:t>prior fiscal years, and revenue from prior years which is set aside for a dedicated purpose. Allocations from Surplus</w:t>
        <w:br/>
        <w:t>are retained by IBRD until the conditions specified for the use by their beneficiaries have been met.</w:t>
        <w:br/>
        <w:t>Loans and Other Exposures</w:t>
        <w:br/>
        <w:t>Loans</w:t>
        <w:br/>
        <w:t>All IBRD loans are made to or guaranteed by countries that are members of IBRD, except for loans made to IFC.</w:t>
        <w:br/>
        <w:t>The majority of IBRD’s loans have repayment obligations based on specific currencies. IBRD also holds</w:t>
        <w:br/>
        <w:t>multicurrency loans which have repayment obligations in various currencies determined on the basis of a currency</w:t>
        <w:br/>
        <w:t>pooling system. Other exposures comprise signed commitments (including deferred drawdown options that are</w:t>
        <w:br/>
        <w:t>effective, and irrevocable commitments), and guarantees.</w:t>
        <w:br/>
        <w:t>Generally, loans are reported on the balance sheets at amortized cost. Loans with embedded derivatives are assessed</w:t>
        <w:br/>
        <w:t>for fair value election, or bifurcation of the loan and derivative. Commitment charges on the undisbursed balance of</w:t>
        <w:br/>
        <w:t>loans are recognized in revenue as earned. Any loan origination fees incorporated in the terms of a loan are deferred</w:t>
        <w:br/>
        <w:t>and recognized over the life of the loan as an adjustment of the yield. The unamortized balance of loan origination</w:t>
        <w:br/>
        <w:t>fees is included as a reduction of the Loans outstanding on the Balance Sheets, and the amortization of loan</w:t>
        <w:br/>
        <w:t>origination fees are included in Interest revenue from Loans, net in the Statements of Income. Accrued interest is</w:t>
        <w:br/>
        <w:t>presented in the Balance Sheets line item Receivables - Accrued income on loans and guarantee fees receivable.</w:t>
        <w:br/>
        <w:t>It is IBRD’s practice not to reschedule interest or principal payments on its loans or participate in debt rescheduling</w:t>
        <w:br/>
        <w:t>agreements with respect to its loans. Should modifications be made to the terms of existing loans, IBRD would</w:t>
        <w:br/>
        <w:t>perform an evaluation to determine the required accounting treatment, including whether the modification would</w:t>
        <w:br/>
        <w:t>result in the affected loans being accounted for as a new loan, or as a continuation of the existing loan.</w:t>
        <w:br/>
        <w:t>It is IBRD’s policy to place all loans and other exposures (collectively “exposures”) made to or guaranteed by a</w:t>
        <w:br/>
        <w:t>member of IBRD into nonaccrual status if principal, interest, or other charges with respect to any such exposures are</w:t>
        <w:br/>
        <w:t>overdue by more than six months, unless IBRD’s management determines that the overdue amount will be collected</w:t>
        <w:br/>
        <w:t>in the immediate future. In addition, if loans and other exposures made by IDA to a member country are placed in</w:t>
        <w:br/>
        <w:t>nonaccrual status, all IBRD loans and other exposures made to, or guaranteed by, that member country will also be</w:t>
        <w:br/>
        <w:t>placed in nonaccrual status by IBRD. On the date a member’s exposures are placed into nonaccrual status, unpaid</w:t>
        <w:br/>
        <w:t>interest and other charges accrued on exposures to the member are deducted from the revenue of the current period.</w:t>
        <w:br/>
        <w:t>Interest and other charges on nonaccruing exposures are included in revenue only to the extent that payments have</w:t>
        <w:br/>
        <w:t>been received by IBRD. A decision on the restoration of accrual status is made upon arrears clearance. If</w:t>
        <w:br/>
        <w:t>collectability risk is considered to be particularly high at the time of arrears clearance, the member’s exposures may</w:t>
        <w:br/>
        <w:t>not automatically emerge from nonaccrual status until a suitable period of payment performance has passed.</w:t>
        <w:br/>
        <w:br/>
        <w:br/>
        <w:t>92    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Loan Commitments</w:t>
        <w:br/>
        <w:t>Undisbursed loans relate to operations approved by the Executive Directors, for which disbursements are yet to be</w:t>
        <w:br/>
        <w:t>made. IBRD records a provision for expected losses on undisbursed loan commitments including Deferred</w:t>
        <w:br/>
        <w:t>Drawdown Options (DDOs), when signed by both parties. The signature of the loan agreement is a binding event</w:t>
        <w:br/>
        <w:t>that prevents IBRD from unconditionally withdrawing from the agreement.</w:t>
        <w:br/>
        <w:t>Guarantees provided</w:t>
        <w:br/>
        <w:t>Financial guarantees are commitments issued by IBRD to guarantee payment by a member country (the debtor) to a</w:t>
        <w:br/>
        <w:t>third party in the event that a member government (or a government-owned entity) fails to perform its contractual</w:t>
        <w:br/>
        <w:t>obligations to a third party.</w:t>
        <w:br/>
        <w:t>Guarantees provided are regarded as outstanding when the underlying financial obligation of the debtor is incurred,</w:t>
        <w:br/>
        <w:t>and called when a guaranteed party demands payment under the guarantee. IBRD would be required to perform</w:t>
        <w:br/>
        <w:t>under its guarantees if the payments guaranteed were not made by the debtor and the guaranteed party called the</w:t>
        <w:br/>
        <w:t>guarantee by demanding payment from IBRD in accordance with the terms of the guarantee. In the event that a</w:t>
        <w:br/>
        <w:t>guarantee of a member country is called, IBRD has the contractual right to require payment from the member</w:t>
        <w:br/>
        <w:t>country.</w:t>
        <w:br/>
        <w:t>IBRD records the fair value of the obligation to stand ready in Other Liabilities - Accounts payable and</w:t>
        <w:br/>
        <w:t>miscellaneous liabilities, and a corresponding fees receivable asset in the Receivables - Accrued income on loans</w:t>
        <w:br/>
        <w:t>and guarantee fees receivable line on IBRD’s Balance Sheets. Upfront guarantee fees received are deferred and</w:t>
        <w:br/>
        <w:t>amortized over the life of the guarantee.</w:t>
        <w:br/>
        <w:t>Guarantees Received</w:t>
        <w:br/>
        <w:t>IBRD receives third-party guarantees in the form of a credit enhancement to loan exposures. The credit</w:t>
        <w:br/>
        <w:t>enhancements that are contractually attached to the loan reduce the exposure at risk considered in computing the</w:t>
        <w:br/>
        <w:t>loan loss provisions.</w:t>
        <w:br/>
        <w:t>Financial guarantees that are not contractually attached to the loan are recorded as a recoverable asset and included</w:t>
        <w:br/>
        <w:t>in Other assets - Miscellaneous on the Balance Sheets. The change in value of the recoverable asset is recorded as</w:t>
        <w:br/>
        <w:t>Non-interest revenue - Other, net on the Statements of Income.</w:t>
        <w:br/>
        <w:t>Credit enhancements that do not meet the requirements to be accounted for as financial guarantees are recorded as</w:t>
        <w:br/>
        <w:t>derivatives. These instruments are recorded at fair value in Other Assets on the Balance Sheets, with changes in fair</w:t>
        <w:br/>
        <w:t>value recorded in Unrealized mark-to-market gains (losses) on non-trading portfolio, net.</w:t>
        <w:br/>
        <w:t>Accumulated Provision for Losses on Loans and Other Exposures</w:t>
        <w:br/>
        <w:t>Management determines the appropriate level of accumulated provisions for losses on exposures, which reflects the</w:t>
        <w:br/>
        <w:t>expected losses inherent in IBRD’s exposures.</w:t>
        <w:br/>
        <w:t>Loans</w:t>
        <w:br/>
        <w:t>Loan exposures are disaggregated into two groups: exposures in accrual status and exposures in nonaccrual status. In</w:t>
        <w:br/>
        <w:t>each group, a credit risk rating is assigned to exposures for each borrower.</w:t>
        <w:br/>
        <w:t>The total exposure for provisioning is the current exposure and the estimated future exposure, taking into account</w:t>
        <w:br/>
        <w:t>expected disbursements and repayments over the life of the instruments. The expected credit losses related to loans</w:t>
        <w:br/>
        <w:t>and other exposures are calculated over the life of the instruments based on the annual estimated exposures, the</w:t>
        <w:br/>
        <w:t>expected default frequency (probability of default to IBRD) and the estimated loss given default. The provision for</w:t>
        <w:br/>
        <w:t>expected losses is the sum of the expected annual losses over the life of the instruments.</w:t>
        <w:br/>
        <w:t>For countries in accrual status, these exposures are grouped in pools of borrowers with a similar risk rating. The</w:t>
        <w:br/>
        <w:t>determination of a borrower’s rating is based on various factors (see Note D—Loans and other exposures). Each risk</w:t>
        <w:br/>
        <w:t>rating is mapped to an expected default frequency using IBRD's credit migration matrix, based on historical</w:t>
        <w:br/>
        <w:t>observations of credit ratings at the beginning and at the end of each year.</w:t>
        <w:br/>
        <w:t>Expected losses on loan exposures comprise estimates of potential losses arising from the economic loss due to</w:t>
        <w:br/>
        <w:t>delays in receiving payments. The estimated loss given default is determined at each balance sheet date, based on</w:t>
        <w:br/>
        <w:br/>
        <w:br/>
        <w:t xml:space="preserve">                                                    IBRD FINANCIAL STATEMENTS: June 30, 2024                     93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IBRD’s historical experience, as well as parameters adjusted for current conditions during the reasonable and</w:t>
        <w:br/>
        <w:t>supportable forecast period of IBRD. The loss given default is based on the borrower’s eligibility, namely: IBRD,</w:t>
        <w:br/>
        <w:t>Blend (IBRD and IDA) and IDA, with the highest loss given default associated with IDA eligibility. The main</w:t>
        <w:br/>
        <w:t>factors used to determine the loss given default are the estimated length of delays in receiving loan payments, and</w:t>
        <w:br/>
        <w:t>the effective interest rate of the exposure. As the majority of IBRD’s loans carry a variable interest rate, the loss</w:t>
        <w:br/>
        <w:t>severity is impacted by the changes in forward looking market interest rates.</w:t>
        <w:br/>
        <w:t>For the calculation of expected credit losses, IBRD applies a three-year reasonable and supportable forecast period,</w:t>
        <w:br/>
        <w:t>representing the most reliable and available economic data during this period. IBRD also applies a ten-year straight-</w:t>
        <w:br/>
        <w:t>line reversion to the mean to reflect the historical pattern of rating migration to the mean of its loan portfolio.</w:t>
        <w:br/>
        <w:t>This methodology is also applied to countries with exposures in nonaccrual status, although the expected default</w:t>
        <w:br/>
        <w:t>frequency is equal to one hundred percent. At times, to reflect certain distinguishing circumstances of a particular</w:t>
        <w:br/>
        <w:t>nonaccrual situation, different input assumptions may be used for a specific country.</w:t>
        <w:br/>
        <w:t>All exposures for countries in nonaccrual status are individually assessed. Exposure for certain countries in accrual</w:t>
        <w:br/>
        <w:t>status may be individually assessed on the basis that they do not share common risk characteristics with an existing</w:t>
        <w:br/>
        <w:t>pool of exposures. It is IBRD’s practice not to write off loans. All contractual obligations associated with exposures</w:t>
        <w:br/>
        <w:t>in nonaccrual status have eventually been cleared, and borrowers have emerged from nonaccrual status. To date, no</w:t>
        <w:br/>
        <w:t>loans have been written off.</w:t>
        <w:br/>
        <w:t>Management reassesses the adequacy of the accumulated provision on a quarterly basis and adjustments to the</w:t>
        <w:br/>
        <w:t>accumulated provision are recorded as a charge to or release of provision in the Statements of Income. In addition,</w:t>
        <w:br/>
        <w:t>reasonableness of the inputs used is reassessed quarterly.</w:t>
        <w:br/>
        <w:t>Loan Commitments</w:t>
        <w:br/>
        <w:t>IBRD records the expected credit losses on loan commitments based on the projected disbursements of signed loan</w:t>
        <w:br/>
        <w:t>commitments (adjusted by cancellations based on historical experience), the expected probability of default and</w:t>
        <w:br/>
        <w:t>estimated loss given default. The provision is included in Other liabilities - Accounts payable and miscellaneous</w:t>
        <w:br/>
        <w:t>liabilities on the Balance Sheets.</w:t>
        <w:br/>
        <w:t>Guarantees provided</w:t>
        <w:br/>
        <w:t>IBRD records a contingent liability for the expected losses related to guarantees provided over the projected life of</w:t>
        <w:br/>
        <w:t>the instruments, that is determined based on the estimated exposure at default, multiplied by the corresponding loss</w:t>
        <w:br/>
        <w:t>given default and expected default probability for the projected life of the guarantee. This provision, as well as the</w:t>
        <w:br/>
        <w:t>unamortized balance of the deferred guarantee fees, and the unamortized balance of the obligation to stand-ready,</w:t>
        <w:br/>
        <w:t>are included in Other Liabilities - Accounts payable and miscellaneous liabilities on the Balance Sheets.</w:t>
        <w:br/>
        <w:t>Exposure Exchange Agreements (EEAs)</w:t>
        <w:br/>
        <w:t>IBRD executes EEAs with various organizations. While these agreements are not legally considered guarantees, in</w:t>
        <w:br/>
        <w:t>IBRD’s financial statements they are recognized as financial guarantees as they meet the accounting criteria for</w:t>
        <w:br/>
        <w:t>financial guarantees. Under an EEA, each party exchanges credit risk exposure of a portfolio supported by</w:t>
        <w:br/>
        <w:t>underlying loans to borrowers, by providing and receiving guarantees from each other, for the amounts specified.</w:t>
        <w:br/>
        <w:t>The guarantee provided and the guarantee received are two separate transactions; namely (a) the provision of a</w:t>
        <w:br/>
        <w:t>financial guarantee, and (b) the receipt of an asset. There is generally no exchange of cash between the organizations</w:t>
        <w:br/>
        <w:t>for these transactions.</w:t>
        <w:br/>
        <w:t>For a guarantee provided under an EEA, IBRD records a liability equivalent to the fair value of the obligation to</w:t>
        <w:br/>
        <w:t>stand ready. This liability is included in Other liabilities - Accounts payable and miscellaneous liabilities on the</w:t>
        <w:br/>
        <w:t>Balance Sheets and is amortized over the life of the EEA. IBRD also records a liability, and corresponding expense,</w:t>
        <w:br/>
        <w:t>in recognition of the risk coverage provided (provision). The change in the provision is recorded as Provision for</w:t>
        <w:br/>
        <w:t>losses on loans and other exposures on the Statements of Income. The value of this liability reflects the credit quality</w:t>
        <w:br/>
        <w:t>of the underlying loans in the portfolio and changes over the life of the EEA as the credit quality of these loans</w:t>
        <w:br/>
        <w:t>changes.</w:t>
        <w:br/>
        <w:t>For a guarantee received under an EEA, IBRD records an asset equivalent to the fair value of the right to be</w:t>
        <w:br/>
        <w:t>indemnified. This asset is included in Other assets – Miscellaneous on the Balance Sheets and is amortized over the</w:t>
        <w:br/>
        <w:br/>
        <w:br/>
        <w:t>94    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life of the EEA. IBRD records corresponding income, in recognition of the risk coverage received (recoverable</w:t>
        <w:br/>
        <w:t>asset). The change in value of the recoverable asset is recorded as Non-interest revenue - Other, net on the</w:t>
        <w:br/>
        <w:t>Statements of Income. The value of this asset reflects the credit quality of the underlying loans in the portfolio and</w:t>
        <w:br/>
        <w:t>changes over the life of the EEA contract as the credit quality of these loans changes.</w:t>
        <w:br/>
        <w:t>Segment Reporting</w:t>
        <w:br/>
        <w:t>Based on an evaluation of IBRD’s operations, Management has determined that IBRD has one reportable segment</w:t>
        <w:br/>
        <w:t>since financial results are reviewed and resource allocation decisions are made at the entity level.</w:t>
        <w:br/>
        <w:t>Statements of Cash Flows</w:t>
        <w:br/>
        <w:t>For the purpose of IBRD's Statements of Cash Flows, cash is defined as the amount of Unrestricted cash and</w:t>
        <w:br/>
        <w:t>Restricted cash under the Due from banks line on the Balance Sheets.</w:t>
        <w:br/>
        <w:t>Restricted Cash</w:t>
        <w:br/>
        <w:t>This includes amounts which have been received from members as part of their capital subscriptions, as well as from</w:t>
        <w:br/>
        <w:t>donors and other sources, which are restricted for specified purposes. For capital subscriptions, a portion of these</w:t>
        <w:br/>
        <w:t>subscriptions have been paid to IBRD in the national currencies of the members. These amounts are usable by IBRD</w:t>
        <w:br/>
        <w:t>in its lending and investing operations, only with the consent of the respective members, and for administrative</w:t>
        <w:br/>
        <w:t>expenses incurred in national currencies.</w:t>
        <w:br/>
        <w:t>Investments</w:t>
        <w:br/>
        <w:t>Investment securities are classified based on Management’s intention on the date of purchase, their nature, and</w:t>
        <w:br/>
        <w:t>IBRD’s policies governing the level and use of such investments. As of June 30, 2024, all of the financial</w:t>
        <w:br/>
        <w:t>instruments in IBRD’s investment portfolio were classified as trading. These securities are carried and reported at</w:t>
        <w:br/>
        <w:t>fair value, or at face value or net asset value (NAV), which approximate fair value.</w:t>
        <w:br/>
        <w:t>Where available, quoted market prices are used to determine the fair value of trading securities. These include most</w:t>
        <w:br/>
        <w:t>government and agency securities, exchange-traded equity securities, Asset-backed Securities (ABS), and Mortgage-</w:t>
        <w:br/>
        <w:t>backed Securities (MBS). For instruments for which market quotations are not available, fair values are determined</w:t>
        <w:br/>
        <w:t>using model-based valuation techniques, whether internally-generated or vendor-supplied, that include the</w:t>
        <w:br/>
        <w:t>discounted cash flow method using observable market inputs such as yield curves, credit spreads, and conditional</w:t>
        <w:br/>
        <w:t>prepayment rates. Where applicable, unobservable inputs such as conditional prepayment rates, probability of</w:t>
        <w:br/>
        <w:t>default and loss severity are used. Unless quoted prices are available, time deposits are reported at face value which</w:t>
        <w:br/>
        <w:t>approximates fair value, as they are short term in nature. Purchases and sales of securities are recorded on a trade-</w:t>
        <w:br/>
        <w:t>date basis. Time deposits and money market deposits are recorded at settlement. The first-in first-out method is used</w:t>
        <w:br/>
        <w:t>to determine the cost of securities sold in computing the realized gains and losses on these instruments. Derivative</w:t>
        <w:br/>
        <w:t>instruments used in liquidity management are not designated as hedging instruments for accounting purposes.</w:t>
        <w:br/>
        <w:t>Interest revenue is included in the Investments-Trading, net line in the Statements of Income. Unrealized gains and</w:t>
        <w:br/>
        <w:t>losses for investment securities and related financial instruments held in the trading portfolio are included in the</w:t>
        <w:br/>
        <w:t>Unrealized mark-to-market gains (losses) on Investments-Trading portfolio, net line in the Statements of Income.</w:t>
        <w:br/>
        <w:t>Realized gains and losses on trading securities are recognized in the Statements of Income when securities are sold.</w:t>
        <w:br/>
        <w:t>IBRD may require collateral in the form of approved liquid securities from individual counterparties or cash, under</w:t>
        <w:br/>
        <w:t>legal agreements that provide for collateralization, in order to mitigate its credit exposure to these counterparties. For</w:t>
        <w:br/>
        <w:t>collateral received in the form of cash from counterparties, IBRD invests the amounts received and records the</w:t>
        <w:br/>
        <w:t>investment and a corresponding obligation to return the cash. Collateral received in the form of liquid securities is</w:t>
        <w:br/>
        <w:t>only recorded on IBRD's Balance Sheets to the extent that it has been transferred under securities lending</w:t>
        <w:br/>
        <w:t>agreements in return for cash.</w:t>
        <w:br/>
        <w:t>Securities Purchased Under Resale Agreements, Securities Lent Under Securities Lending</w:t>
        <w:br/>
        <w:t>Agreements and Securities Sold Under Repurchase Agreements and Payable for Cash Collateral</w:t>
        <w:br/>
        <w:t>Received</w:t>
        <w:br/>
        <w:t>Securities purchased under resale agreements, securities lent under securities lending agreements, securities sold</w:t>
        <w:br/>
        <w:t>under repurchase agreements and payable for cash collateral received are reported at face value which approximates</w:t>
        <w:br/>
        <w:br/>
        <w:br/>
        <w:t xml:space="preserve">                                                      IBRD FINANCIAL STATEMENTS: June 30, 2024                        95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fair value, as they are short term in nature. IBRD receives securities purchased under resale agreements, monitors</w:t>
        <w:br/>
        <w:t>the fair value of the securities and, if necessary, closes out transactions and enters into new repriced transactions.</w:t>
        <w:br/>
        <w:t>The securities transferred to counterparties under repurchase and security lending arrangements and the securities</w:t>
        <w:br/>
        <w:t>transferred to IBRD under resale agreements have not met the accounting criteria for treatment as a sale. Therefore,</w:t>
        <w:br/>
        <w:t>securities transferred under repurchase agreements and security lending arrangements are retained as assets on the</w:t>
        <w:br/>
        <w:t>Balance Sheets, and securities received under resale agreements are not recorded on the Balance Sheets. Securities</w:t>
        <w:br/>
        <w:t>lent under securities lending agreements and sold under securities repurchase agreements as well as securities</w:t>
        <w:br/>
        <w:t>purchased under resale agreements are presented on a gross basis which is consistent with the manner in which these</w:t>
        <w:br/>
        <w:t>instruments are settled. The interest earned from securities purchased under resale agreements is included in</w:t>
        <w:br/>
        <w:t>Investments–Trading, net in the Statements of Income. The interest expense pertaining to the securities sold under</w:t>
        <w:br/>
        <w:t>repurchase agreements and security lending arrangements, is included in the Borrowing expenses, net line in the</w:t>
        <w:br/>
        <w:t>Statements of Income.</w:t>
        <w:br/>
        <w:t>Nonnegotiable, Noninterest-bearing Demand Obligations on Account of Subscribed Capital</w:t>
        <w:br/>
        <w:t>All demand obligations are held in bank accounts which bear IBRD’s name and are carried and reported at face</w:t>
        <w:br/>
        <w:t>value as a reduction to equity. Payments on some of these instruments are due to IBRD upon demand. Others are</w:t>
        <w:br/>
        <w:t>due to IBRD on demand, but only after IBRD’s callable subscribed capital has been entirely called pursuant to</w:t>
        <w:br/>
        <w:t>Article IV, Section 2 (a) of the Articles of Agreement.</w:t>
        <w:br/>
        <w:t>Premises and Equipment</w:t>
        <w:br/>
        <w:t>Premises and equipment, including leasehold improvements, and information technology assets are carried at cost</w:t>
        <w:br/>
        <w:t>less accumulated depreciation and amortization. IBRD computes depreciation and amortization using the straight-</w:t>
        <w:br/>
        <w:t>line method over the estimated useful lives of the owned assets, which range between three and fifty years. For</w:t>
        <w:br/>
        <w:t>leasehold improvements, depreciation is computed over the lesser of the remaining term of the leased facility or the</w:t>
        <w:br/>
        <w:t>estimated economic life of the improvement.</w:t>
        <w:br/>
        <w:t>Maintenance and repairs are charged to expense as incurred, while major improvements are capitalized and</w:t>
        <w:br/>
        <w:t>amortized over the estimated useful life.</w:t>
        <w:br/>
        <w:t>Lessee Arrangements</w:t>
        <w:br/>
        <w:t>IBRD’s lessee arrangements are mostly real estate operating leases. Under these arrangements, IBRD records right-</w:t>
        <w:br/>
        <w:t>of-use assets and lease liabilities at lease commencement. Right-of-use assets are reported in Other assets - Premises</w:t>
        <w:br/>
        <w:t>and equipment, net and the related lease liabilities are reported in Other liabilities - Accounts payable and</w:t>
        <w:br/>
        <w:t>miscellaneous liabilities. IBRD has elected to account for the lease and non-lease components together as a single</w:t>
        <w:br/>
        <w:t>lease component. At lease commencement, lease liabilities are recognized based on the present value of the</w:t>
        <w:br/>
        <w:t>remaining lease payments and discounted using IBRD’s incremental borrowing rate. All leases are recorded on the</w:t>
        <w:br/>
        <w:t>Balance Sheets except short-term leases with an initial term of 12 months or less. Lease expense, including that for</w:t>
        <w:br/>
        <w:t>short-term leases, is recognized on a straight-line basis over the lease term and is recorded in Administrative</w:t>
        <w:br/>
        <w:t>expenses in the Statements of Income.</w:t>
        <w:br/>
        <w:t>Borrowings</w:t>
        <w:br/>
        <w:t>To ensure funds are available for lending and liquidity purposes, IBRD borrows in the international capital markets,</w:t>
        <w:br/>
        <w:t>offering its securities (discount notes, vanilla and structured bonds) to private and governmental buyers. IBRD</w:t>
        <w:br/>
        <w:t>issues debt instruments of varying maturities denominated in various currencies with both fixed and variable interest</w:t>
        <w:br/>
        <w:t>rates.</w:t>
        <w:br/>
        <w:t>IBRD has elected the fair value option for all borrowings. All changes in fair value are recognized in the related</w:t>
        <w:br/>
        <w:t>Unrealized mark-to-market gains and losses on non-trading portfolios, net, line in the Statements of Income, except</w:t>
        <w:br/>
        <w:t>for changes in the fair value related to IBRD’s own credit risk, which are reported in Other Comprehensive Income</w:t>
        <w:br/>
        <w:t>(OCI) as a Debit Valuation Adjustment (DVA). The DVA on fair value option elected liabilities is measured by</w:t>
        <w:br/>
        <w:t>revaluing each borrowing instrument to determine the changes in fair value of that instrument arising from changes</w:t>
        <w:br/>
        <w:t>in IBRD’s funding spread relative to the applicable reference rate.</w:t>
        <w:br/>
        <w:t>Structured bonds issued by IBRD have coupon or repayment terms linked to the level or the performance of interest</w:t>
        <w:br/>
        <w:t>rates, foreign exchange rates, equity indices, catastrophic events or commodities.</w:t>
        <w:br/>
        <w:br/>
        <w:br/>
        <w:t>96    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For the purpose of the Statements of Cash Flows, short-term borrowings, if any, with original maturities less than 90</w:t>
        <w:br/>
        <w:t>days, are presented net of new issuances and retirements. By contrast, short-term borrowings with original maturities</w:t>
        <w:br/>
        <w:t>greater than 90 days and up to one year are presented on a gross basis.</w:t>
        <w:br/>
        <w:t>Interest expense relating to all debt instruments in IBRD’s borrowing portfolio is measured on an effective yield</w:t>
        <w:br/>
        <w:t>basis and is reported as part of Borrowing expenses, net in the Statements of Income.</w:t>
        <w:br/>
        <w:t>Amortization of discounts and premiums is recorded using the effective interest method and is included in the</w:t>
        <w:br/>
        <w:t>Borrowing expenses, net line in the Statements of Income.</w:t>
        <w:br/>
        <w:t>Accounting for Derivatives</w:t>
        <w:br/>
        <w:t>IBRD has elected not to designate any hedging relationships for accounting purposes. Rather, all derivative</w:t>
        <w:br/>
        <w:t>instruments are reported at fair value on the Balance Sheets, with changes in fair values accounted for through the</w:t>
        <w:br/>
        <w:t>Statements of Income.</w:t>
        <w:br/>
        <w:t>The presentation of derivative instruments on IBRD’s Balance Sheets reflects the netting of derivative asset and</w:t>
        <w:br/>
        <w:t>liability positions and the related cash collateral received from the counterparty, when a legally enforceable master</w:t>
        <w:br/>
        <w:t>netting agreement exists, and the other conditions are met. In addition, in the Notes to the financial statements,</w:t>
        <w:br/>
        <w:t>unless stated differently, derivatives are presented on a net basis by instrument.</w:t>
        <w:br/>
        <w:t>A master netting agreement is an industry standard agreement with a counterparty that permits multiple transactions</w:t>
        <w:br/>
        <w:t>governed by that agreement to be terminated or accelerated and settled through a single payment in a single currency</w:t>
        <w:br/>
        <w:t>in the event of a default (e.g., bankruptcy, failure to make a required payment or transfer security or deliver</w:t>
        <w:br/>
        <w:t>collateral when due). Obligations under master netting agreements are often secured by collateral posted under an</w:t>
        <w:br/>
        <w:t>industry standard credit support annex to the master netting agreement. Upon default by the counterparty, the</w:t>
        <w:br/>
        <w:t>collateral agreement grants an entity the right to set-off any amounts payable by the counterparty against any posted</w:t>
        <w:br/>
        <w:t>collateral.</w:t>
        <w:br/>
        <w:t>IBRD uses derivative instruments in its investment trading portfolio to manage interest rate and currency risks.</w:t>
        <w:br/>
        <w:t>These derivatives are carried and reported at fair value. Interest revenue/expenses are reflected as part of Interest</w:t>
        <w:br/>
        <w:t>revenue, while unrealized mark-to-market gains and losses on these derivatives are reflected as part of the</w:t>
        <w:br/>
        <w:t>Unrealized mark-to-market gains (losses) in Investments-Trading, net line in the Statements of Income.</w:t>
        <w:br/>
        <w:t>IBRD also uses derivatives in its loan, borrowing and asset/liability management activities. It also offers derivative</w:t>
        <w:br/>
        <w:t>intermediation services to clients. In the loan and borrowing portfolios, derivatives are used to modify the interest</w:t>
        <w:br/>
        <w:t>rate and/or currency characteristics of these portfolios. The interest component of these derivatives is recognized as</w:t>
        <w:br/>
        <w:t>an adjustment to the related loan revenue and borrowing costs over the life of the derivative contracts and is</w:t>
        <w:br/>
        <w:t>included in the related Interest revenue/expenses lines in the Statements of Income. Changes in fair values of these</w:t>
        <w:br/>
        <w:t>derivatives are recorded in the Statements of Income as Unrealized mark-to-market gains and losses in non-trading</w:t>
        <w:br/>
        <w:t>portfolios, net.</w:t>
        <w:br/>
        <w:t>For the purpose of the Statements of Cash Flows, IBRD has elected to report the cash flows associated with the</w:t>
        <w:br/>
        <w:t>derivative instruments that are used to economically hedge its loans, investments and borrowings, in a manner</w:t>
        <w:br/>
        <w:t>consistent with the presentation of the related loan, investment and borrowing cash flows.</w:t>
        <w:br/>
        <w:t>Derivative contracts include currency forward contracts, to-be-announced (TBA) securities, swaptions, exchange</w:t>
        <w:br/>
        <w:t>traded options and futures contracts, currency swaps and interest rate swaps. Currency swaps and interest rate swaps</w:t>
        <w:br/>
        <w:t>are either plain vanilla or structured. Currency forward contracts and plain vanilla currency and interest rate swaps</w:t>
        <w:br/>
        <w:t>are valued using the discounted cash flow methods using observable market inputs such as yield curves, foreign</w:t>
        <w:br/>
        <w:t>exchange rates, basis spreads and funding spreads. For structured currency and interest rate swaps, which primarily</w:t>
        <w:br/>
        <w:t>consist of callable swaps linked to interest rates, foreign exchange rates, and equity indices, valuation models and</w:t>
        <w:br/>
        <w:t>inputs similar to the ones applicable to structured bond valuations are used. Where applicable, the models also</w:t>
        <w:br/>
        <w:t>incorporate significant unobservable inputs such as correlations and long-dated interest rate volatilities.</w:t>
        <w:br/>
        <w:t>Most outstanding derivative positions are transacted over-the-counter and therefore valued using internally</w:t>
        <w:br/>
        <w:t>developed valuation models. For commercial and non-commercial counterparties where IBRD has a net receivable</w:t>
        <w:br/>
        <w:t>position, IBRD calculates a Credit Valuation Adjustment (CVA) to reflect credit risk. For net derivative positions</w:t>
        <w:br/>
        <w:t>with commercial and non-commercial counterparties where IBRD is in a net payable position, IBRD calculates a</w:t>
        <w:br/>
        <w:br/>
        <w:br/>
        <w:t xml:space="preserve">                                                    IBRD FINANCIAL STATEMENTS: June 30, 2024                      97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DVA to reflect its own credit risk. The CVA is calculated using future projected exposures of the derivative</w:t>
        <w:br/>
        <w:t>contracts, net of collateral received under credit support agreements, and the probability of counterparty default</w:t>
        <w:br/>
        <w:t>based on the Credit Default Swaps (CDS) spread and, where applicable, proxy CDS spreads. The DVA calculation</w:t>
        <w:br/>
        <w:t>is generally consistent with the CVA methodology and incorporates IBRD’s own credit spread as observed through</w:t>
        <w:br/>
        <w:t>the CDS market.</w:t>
        <w:br/>
        <w:t>Valuation of Financial Instruments</w:t>
        <w:br/>
        <w:t>IBRD has an established and documented process for determining fair values. Fair value is based upon quoted</w:t>
        <w:br/>
        <w:t>market prices for the same or similar securities, where available. Financial instruments for which quoted market</w:t>
        <w:br/>
        <w:t>prices are not readily available are valued based on discounted cash flow models and other established valuation</w:t>
        <w:br/>
        <w:t>models. These models primarily use market-based or independently-sourced market parameters such as yield curves,</w:t>
        <w:br/>
        <w:t>interest rates, volatilities, foreign exchange rates and credit curves, and may incorporate unobservable inputs, some</w:t>
        <w:br/>
        <w:t>of which may be significant. Selection of these inputs may involve some judgment. In instances where management</w:t>
        <w:br/>
        <w:t>relies on instrument valuations supplied by external pricing vendors, there are procedures in place to validate the</w:t>
        <w:br/>
        <w:t>appropriateness of the models used as well as inputs applied in determining those values. The fair value of certain</w:t>
        <w:br/>
        <w:t>instruments is calculated using NAV as a practical expedient. To ensure that the valuations are appropriate where</w:t>
        <w:br/>
        <w:t>internally-developed models are used, IBRD has various controls in place, which include both internal and periodic</w:t>
        <w:br/>
        <w:t>external verification and review.</w:t>
        <w:br/>
        <w:t>Fair Value Hierarchy</w:t>
        <w:br/>
        <w:t>Financial instruments are categorized based on the priority of the inputs to the valuation technique. The fair value</w:t>
        <w:br/>
        <w:t>hierarchy gives the highest priority to quoted prices in active markets for identical assets or liabilities (Level 1), the</w:t>
        <w:br/>
        <w:t>next highest priority to observable market-based inputs or inputs that are corroborated by market data (Level 2) and</w:t>
        <w:br/>
        <w:t>the lowest priority to unobservable inputs that are not corroborated by market data (Level 3).</w:t>
        <w:br/>
        <w:t>Financial assets and liabilities recorded at fair value on the Balance Sheets are categorized based on the inputs to the</w:t>
        <w:br/>
        <w:t>valuation techniques as follows:</w:t>
        <w:br/>
        <w:t>Level 1: Financial assets and liabilities whose values are based on unadjusted quoted prices for identical assets or</w:t>
        <w:br/>
        <w:t xml:space="preserve">         liabilities in active markets.</w:t>
        <w:br/>
        <w:t>Level 2: Financial assets and liabilities whose values are based on quoted prices for similar assets or liabilities in</w:t>
        <w:br/>
        <w:t xml:space="preserve">         active markets; quoted prices for identical or similar assets or liabilities in markets that are not active; or</w:t>
        <w:br/>
        <w:t xml:space="preserve">         pricing models for which all significant inputs are observable, either directly or indirectly for substantially</w:t>
        <w:br/>
        <w:t xml:space="preserve">         the full term of the asset or liability.</w:t>
        <w:br/>
        <w:t>Level 3: Financial assets and liabilities whose values are based on prices or valuation techniques that require inputs</w:t>
        <w:br/>
        <w:t xml:space="preserve">         that are both unobservable and significant to the overall fair value measurement.</w:t>
        <w:br/>
        <w:t>IBRD’s policy is to recognize transfers in and transfers out of levels as of the end of the reporting period in which</w:t>
        <w:br/>
        <w:t>they occur.</w:t>
        <w:br/>
        <w:t>Investments measured at NAV (or its equivalent) are not classified in the fair value hierarchy.</w:t>
        <w:br/>
        <w:t>Accounting for Grant Expenses</w:t>
        <w:br/>
        <w:t>IBRD recognizes an expense for unconditional grants, such as Contributions to Special Programs and most Board of</w:t>
        <w:br/>
        <w:t>Governors-approved and other transfers, upon approval. IBRD recognizes an expense for conditional grants when</w:t>
        <w:br/>
        <w:t>the conditions specified for use by the beneficiaries have been met.</w:t>
        <w:br/>
        <w:t>Trust Funds</w:t>
        <w:br/>
        <w:t>To the extent that IBRD acts as an agent for, or controls Bank-executed activities for trust funds, assets held on</w:t>
        <w:br/>
        <w:t>behalf of specified beneficiaries are recorded on IBRD’s Balance Sheets, along with corresponding liabilities.</w:t>
        <w:br/>
        <w:t>Amounts disbursed from these trust funds are recorded as expenses with corresponding amounts recognized as</w:t>
        <w:br/>
        <w:t>revenues. For recipient-executed activities for trust funds, since IBRD acts as a trustee, no assets or liabilities</w:t>
        <w:br/>
        <w:t>relating to these activities are recorded on the Balance Sheets. In some trust funds, execution is split between</w:t>
        <w:br/>
        <w:t>recipient-executed and Bank-executed portions. Decisions on assignment of funding resources between the two</w:t>
        <w:br/>
        <w:br/>
        <w:br/>
        <w:t>98     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types of execution may be made on an ongoing basis, therefore, the execution of a portion of these available</w:t>
        <w:br/>
        <w:t>resources may not yet be assigned.</w:t>
        <w:br/>
        <w:t>IBRD also acts as a financial intermediary to provide specific administrative or financial services with a limited</w:t>
        <w:br/>
        <w:t>fiduciary or operational role. These arrangements, referred to as Financial Intermediary Funds, include, for example,</w:t>
        <w:br/>
        <w:t>administration of debt service trust funds, financial intermediation and other more specialized limited fund</w:t>
        <w:br/>
        <w:t>management roles. For these arrangements, funds are held and disbursed in accordance with instructions from</w:t>
        <w:br/>
        <w:t>donors or, in some cases, an external governance structure or a body operating on behalf of donors. For Financial</w:t>
        <w:br/>
        <w:t>Intermediary Funds, since IBRD acts as a trustee, no assets or liabilities relating to these activities are recorded on</w:t>
        <w:br/>
        <w:t>the Balance Sheets.</w:t>
        <w:br/>
        <w:t>Accounting and Reporting Developments</w:t>
        <w:br/>
        <w:t>Evaluated Accounting Standards:</w:t>
        <w:br/>
        <w:t>In June 2022, the Financial Accounting Standards Board (FASB) issued Accounting Standard Update (ASU)</w:t>
        <w:br/>
        <w:t>2022-03, Fair Value Measurement (Topic 820) Fair Value Measurement of Equity Securities Subject to Contractual</w:t>
        <w:br/>
        <w:t>Sale Restrictions, which clarifies that a contractual restriction on the sale of an equity security is not considered part</w:t>
        <w:br/>
        <w:t>of the unit of account of the equity security and should not be factored in when measuring fair value. The ASU also</w:t>
        <w:br/>
        <w:t>clarifies that an entity cannot, as a separate unit of account, recognize and measure a contractual sale restriction. The</w:t>
        <w:br/>
        <w:t>ASU requires certain disclosures for equity securities subject to contractual sale restrictions. For IBRD, the ASU</w:t>
        <w:br/>
        <w:t>will be effective from the quarter ending September 30, 2024 (fiscal year 2025 for IBRD), and the adoption of the</w:t>
        <w:br/>
        <w:t>ASU is not expected to have a material impact on IBRD's financial statements.</w:t>
        <w:br/>
        <w:t>In March 2022, the FASB issued ASU 2022-02, Troubled Debt Restructurings and Vintage Disclosures, which</w:t>
        <w:br/>
        <w:t>eliminates the accounting guidance on troubled debt restructurings for creditors and amends the guidance on</w:t>
        <w:br/>
        <w:t>“vintage disclosures” to require disclosure of current-period gross write-offs by year of origination. The ASU</w:t>
        <w:br/>
        <w:t>became effective for IBRD from the quarter ended September 30, 2023, and the adoption of the ASU did not have a</w:t>
        <w:br/>
        <w:t>material impact on IBRD's financial statements.</w:t>
        <w:br/>
        <w:t>Accounting Standards Under Evaluation:</w:t>
        <w:br/>
        <w:t>In November 2023, the FASB issued ASU 2023-07, Segment Reporting (Topic 280): Improvements to Reportable</w:t>
        <w:br/>
        <w:t>Segment Disclosures, which requires additional segment disclosures for public entities, including those with a single</w:t>
        <w:br/>
        <w:t>reportable segment, such as the significant segment expenses that are regularly provided to the chief operating</w:t>
        <w:br/>
        <w:t>decision maker (CODM), the title and position of the CODM, as well as an explanation of how the CODM uses the</w:t>
        <w:br/>
        <w:t>reported measure of segment profit or loss. All existing annual disclosures about segment profit or loss must be</w:t>
        <w:br/>
        <w:t>provided on an interim basis, in addition to disclosure of significant segment expenses. For IBRD, the ASU will be</w:t>
        <w:br/>
        <w:t>effective for the annual period ending June 30, 2025 (fiscal year 2025 for IBRD). IBRD is currently evaluating the</w:t>
        <w:br/>
        <w:t>impact of the ASU on its financial statements.</w:t>
        <w:br/>
        <w:t>In October 2023, the FASB issued ASU 2023-06, Disclosure Improvements: Codification Amendments in Response</w:t>
        <w:br/>
        <w:t>to the SEC’s Disclosure Update and Simplification Initiative. The new guidance is intended to align U.S. GAAP</w:t>
        <w:br/>
        <w:t>requirements with those of the SEC and to facilitate the application of U.S. GAAP for all entities. If by June 30,</w:t>
        <w:br/>
        <w:t>2027, the SEC has not removed the related SEC requirement, the related ASU amendment will not become effective.</w:t>
        <w:br/>
        <w:t>IBRD is currently evaluating the impact of the ASU on its financial statements.</w:t>
        <w:br/>
        <w:br/>
        <w:br/>
        <w:t xml:space="preserve">                                                      IBRD FINANCIAL STATEMENTS: June 30, 2024                        99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NOTE B—CAPITAL STOCK</w:t>
        <w:br/>
        <w:t>The following table provides a summary of changes in IBRD’s authorized and subscribed shares:</w:t>
        <w:br/>
        <w:t>Table B1: IBRD's Shares</w:t>
        <w:br/>
        <w:t xml:space="preserve">                                                                                        Authorized shares       Subscribed shares</w:t>
        <w:br/>
        <w:t>As of June 30, 2022                                                                           2,783,873               2,545,984</w:t>
        <w:br/>
        <w:t xml:space="preserve">  General Capital Increase/Selective Capital Increase (GCI/SCI)                                        –                 88,744</w:t>
        <w:br/>
        <w:t>As of June 30, 2023                                                                           2,783,873               2,634,728</w:t>
        <w:br/>
        <w:t xml:space="preserve">  GCI/SCI                                                                                              –                 43,370</w:t>
        <w:br/>
        <w:t>As of June 30, 2024                                                                           2,783,873               2,678,098</w:t>
        <w:br/>
        <w:br/>
        <w:br/>
        <w:t>The following table provides a summary of the changes in subscribed capital, uncalled portion of subscriptions, and</w:t>
        <w:br/>
        <w:t>paid-in capital:</w:t>
        <w:br/>
        <w:t>Table B2: IBRD's Capital</w:t>
        <w:br/>
        <w:t>In millions of U.S. dollars</w:t>
        <w:br/>
        <w:t xml:space="preserve">                                                                                          Uncalled portion of</w:t>
        <w:br/>
        <w:t xml:space="preserve">                                                                   Subscribed capital       subscriptions          Paid-in capital</w:t>
        <w:br/>
        <w:t>As of June 30, 2022                                               $     307,135         $      (286,636)         $      20,499</w:t>
        <w:br/>
        <w:t xml:space="preserve">  GCI/SCI                                                                 10,705                  (9,385)                 1,320</w:t>
        <w:br/>
        <w:t>As of June 30, 2023                                                     317,840                (296,021)                21,819</w:t>
        <w:br/>
        <w:t xml:space="preserve">  GCI/SCI                                                                  5,232                  (4,599)                   633</w:t>
        <w:br/>
        <w:t>As of June 30, 2024                                               $     323,072         $      (300,620)         $      22,452</w:t>
        <w:br/>
        <w:br/>
        <w:br/>
        <w:t>The uncalled portion of subscriptions is subject to call only when required to meet the obligations incurred by IBRD</w:t>
        <w:br/>
        <w:t>as a result of borrowings or guaranteeing loans.</w:t>
        <w:br/>
        <w:t>On October 1, 2018, IBRD’s Board of Governors approved two resolutions that increased IBRD’s authorized</w:t>
        <w:br/>
        <w:t>capital. The total increase in authorized capital was $57.5 billion, of which, $27.8 billion and $29.7 billion relate to</w:t>
        <w:br/>
        <w:t>the GCI and SCI, respectively. Under the terms of the 2018 GCI and SCI, paid-in capital is expected to increase by</w:t>
        <w:br/>
        <w:t>up to $7.5 billion. On May 23, 2023, the Board approved the extension of the subscription period for GCI and SCI</w:t>
        <w:br/>
        <w:t>from October 1, 2023 to October 1, 2025. As of June 30, 2024, the cumulative subscription payments received under</w:t>
        <w:br/>
        <w:t>the 2018 capital increases were $6.0 billion.</w:t>
        <w:br/>
        <w:t>Amounts to Maintain the Value of Currency Holdings</w:t>
        <w:br/>
        <w:t>The following table summarizes the amounts to Maintain the Value of Currency (MOV), classified as components</w:t>
        <w:br/>
        <w:t>of equity:</w:t>
        <w:br/>
        <w:t>Table B3: MOV balances</w:t>
        <w:br/>
        <w:t xml:space="preserve"> In millions of U.S. dollars</w:t>
        <w:br/>
        <w:t xml:space="preserve">                                                                              June 30, 2024                     June 30, 2023</w:t>
        <w:br/>
        <w:t xml:space="preserve"> MOV receivable                                                        $           (337)                $            (345)</w:t>
        <w:br/>
        <w:br/>
        <w:br/>
        <w:t xml:space="preserve"> Net Deferred MOV receivable                                                        (428)                            (306)</w:t>
        <w:br/>
        <w:t xml:space="preserve"> Deferred demand obligations                                                        (130)                            (130)</w:t>
        <w:br/>
        <w:t xml:space="preserve"> Deferred MOV receivable                                               $            (558)               $            (436)</w:t>
        <w:br/>
        <w:br/>
        <w:br/>
        <w:t>100     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NOTE C—INVESTMENTS</w:t>
        <w:br/>
        <w:t>IBRD’s investments include the liquid asset portfolio, holdings relating to the Post Employment Benefit Plan</w:t>
        <w:br/>
        <w:t>(PEBP) and the Post Retirement Contribution Reserve Fund (PCRF).</w:t>
        <w:br/>
        <w:t>Investments held by IBRD are designated as trading and reported at fair value or at face value which approximates</w:t>
        <w:br/>
        <w:t>fair value. As of June 30, 2024, Investments were primarily comprised of time deposits (56%) and government and</w:t>
        <w:br/>
        <w:t>agency obligations (39%), with all of the instruments classified as Level 1 or Level 2 within the fair value hierarchy.</w:t>
        <w:br/>
        <w:t>A summary of IBRD’s Investments-Trading is as follows:</w:t>
        <w:br/>
        <w:t>Table C1: Investments - Trading composition</w:t>
        <w:br/>
        <w:t>In millions of U.S. dollars</w:t>
        <w:br/>
        <w:t xml:space="preserve">                                                                                       June 30, 2024          June 30, 2023</w:t>
        <w:br/>
        <w:t>Government and agency obligations                                                    $       32,353         $       39,046</w:t>
        <w:br/>
        <w:t>Time deposits                                                                                45,991                 36,809</w:t>
        <w:br/>
        <w:t>Asset-backed Securities (ABS)                                                                 1,880                  1,087</w:t>
        <w:br/>
        <w:t>Other fund investments a                                                                      2,155                  1,982</w:t>
        <w:br/>
        <w:t>Equity securities a                                                                             349                    275</w:t>
        <w:br/>
        <w:t>Total                                                                                $       82,728         $       79,199</w:t>
        <w:br/>
        <w:br/>
        <w:t>a. Related to PEBP holdings. Other fund investments are comprised of investments in hedge funds, private equity funds,</w:t>
        <w:br/>
        <w:t xml:space="preserve">   commingled funds, credit strategy funds and real asset funds, at net asset value (NAV).</w:t>
        <w:br/>
        <w:br/>
        <w:t>IBRD manages its investments on a net portfolio basis. As of June 30, 2024, the largest holdings from a single</w:t>
        <w:br/>
        <w:t>counterparty within the net investment portfolio was the Monetary Authority of Singapore (11%). The following</w:t>
        <w:br/>
        <w:t>table summarizes IBRD’s net investment portfolio position:</w:t>
        <w:br/>
        <w:t>Table C2: Net investment portfolio</w:t>
        <w:br/>
        <w:t>In millions of U.S. dollars</w:t>
        <w:br/>
        <w:t xml:space="preserve">                                                                                         June 30, 2024          June 30, 2023</w:t>
        <w:br/>
        <w:t>Investments-Trading                                                                  $         82,728       $         79,199</w:t>
        <w:br/>
        <w:t>Securities purchased under resale agreements                                                       79                     78</w:t>
        <w:br/>
        <w:t>Securities sold under repurchase agreements, securities lent under</w:t>
        <w:br/>
        <w:t xml:space="preserve">  securities lending agreements, and payable for cash collateral received a                      (277)                  (149)</w:t>
        <w:br/>
        <w:t>Derivative assets</w:t>
        <w:br/>
        <w:t xml:space="preserve">  Currency swaps and forward contracts                                                            812                    926</w:t>
        <w:br/>
        <w:t xml:space="preserve">  Interest rate swaps                                                                              14                     18</w:t>
        <w:br/>
        <w:t xml:space="preserve">  Other                                                                                             1                      –</w:t>
        <w:br/>
        <w:t xml:space="preserve">   Total                                                                                          827                    944</w:t>
        <w:br/>
        <w:t>Derivative liabilities</w:t>
        <w:br/>
        <w:t xml:space="preserve">  Currency swaps and forward contracts                                                            (68)                   (33)</w:t>
        <w:br/>
        <w:t xml:space="preserve">  Interest rate swaps                                                                            (450)                  (300)</w:t>
        <w:br/>
        <w:t xml:space="preserve">  Other b                                                                                           —                     (6)</w:t>
        <w:br/>
        <w:t xml:space="preserve">   Total                                                                                         (518)                  (339)</w:t>
        <w:br/>
        <w:t>Cash held in investment portfolio c                                                               308                    385</w:t>
        <w:br/>
        <w:t>Receivable from investment securities traded and other assets                                     438                    102</w:t>
        <w:br/>
        <w:t>Payable for investment securities purchased d                                                    (561)                  (640)</w:t>
        <w:br/>
        <w:t>IFC PCRF payable e                                                                               (344)                  (385)</w:t>
        <w:br/>
        <w:t>Net investment portfolio                                                             $         82,680       $         79,195</w:t>
        <w:br/>
        <w:br/>
        <w:br/>
        <w:t>a. Includes $21 million of cash collateral received from counterparties under derivative agreements ($140 million—June 30, 2023).</w:t>
        <w:br/>
        <w:t>b. Includes swaptions, options, and futures contracts.</w:t>
        <w:br/>
        <w:t>c. This amount is included in Unrestricted cash under Due from banks on the Balance Sheets.</w:t>
        <w:br/>
        <w:t>d. Includes $59 million of liabilities related to short sales ($59 million—June 30, 2023).</w:t>
        <w:br/>
        <w:t>e. Liabilities are included in Other liabilities – Accounts payable and miscellaneous liabilities on the Balance Sheets.</w:t>
        <w:br/>
        <w:br/>
        <w:br/>
        <w:t xml:space="preserve">                                                          IBRD FINANCIAL STATEMENTS: June 30, 2024                           101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composition of IBRD’s net investment portfolio is as follows:</w:t>
        <w:br/>
        <w:t>Table C3: Net investment portfolio composition</w:t>
        <w:br/>
        <w:t>In millions of U.S. dollars</w:t>
        <w:br/>
        <w:t xml:space="preserve">                                                                                June 30, 2024        June 30, 2023</w:t>
        <w:br/>
        <w:t>Net investment portfolio</w:t>
        <w:br/>
        <w:t xml:space="preserve">  Liquid assets                                                             $        78,792      $        75,413</w:t>
        <w:br/>
        <w:t xml:space="preserve">  PEBP holdings                                                                       2,939                2,684</w:t>
        <w:br/>
        <w:t xml:space="preserve">  PCRF holdings                                                                         949                1,098</w:t>
        <w:br/>
        <w:t>Total                                                                       $        82,680      $        79,195</w:t>
        <w:br/>
        <w:br/>
        <w:br/>
        <w:t>IBRD uses derivative instruments to manage the associated currency and interest rate risks in the portfolio. For</w:t>
        <w:br/>
        <w:t>details of these instruments, see Note F—Derivative Instruments. After considering the effects of these derivatives,</w:t>
        <w:br/>
        <w:t>IBRD’s investment portfolio is predominantly denominated in U.S. dollars.</w:t>
        <w:br/>
        <w:t>Commercial Credit Risk</w:t>
        <w:br/>
        <w:t>For the purpose of risk management, IBRD is party to a variety of financial transactions, certain of which involve</w:t>
        <w:br/>
        <w:t>elements of credit risk. Credit risk exposure represents the maximum potential loss due to possible non-performance</w:t>
        <w:br/>
        <w:t>by obligors and counterparties under the terms of the contracts. For all securities, IBRD limits trading to a list of</w:t>
        <w:br/>
        <w:t>authorized dealers and counterparties. In addition, IBRD may require collateral in connection with resale agreements</w:t>
        <w:br/>
        <w:t>and swap agreements. The collateral serves to mitigate IBRD’s exposure to credit risk.</w:t>
        <w:br/>
        <w:t>Swap Agreements</w:t>
        <w:br/>
        <w:t>Credit risk is mitigated through the application of eligibility criteria and volume limits for transactions with</w:t>
        <w:br/>
        <w:t>individual counterparties and through the use of mark-to-market collateral arrangements for swap transactions.</w:t>
        <w:br/>
        <w:t>IBRD may require collateral in the form of cash or other approved liquid securities from individual counterparties in</w:t>
        <w:br/>
        <w:t>order to mitigate its credit exposure.</w:t>
        <w:br/>
        <w:t>IBRD has entered into master derivative agreements that contain legally enforceable close-out netting provisions.</w:t>
        <w:br/>
        <w:t>These agreements may further reduce the gross credit risk exposure related to the swaps. Credit risk with financial</w:t>
        <w:br/>
        <w:t>assets subject to a master derivatives arrangement is further reduced under these agreements to the extent that</w:t>
        <w:br/>
        <w:t>payments and receipts with the counterparty are netted at settlement. The reduction in exposure as a result of these</w:t>
        <w:br/>
        <w:t>netting provisions can vary due to the impact of changes in market conditions on existing and new transactions. The</w:t>
        <w:br/>
        <w:t>extent of the reduction in exposure may therefore change substantially within a short period of time following the</w:t>
        <w:br/>
        <w:t>balance sheet date. For more information on netting and offsetting provisions, see Note F—Derivative Instruments.</w:t>
        <w:br/>
        <w:t>The following is a summary of the collateral received by IBRD for swap transactions:</w:t>
        <w:br/>
        <w:t>Table C4: Collateral received</w:t>
        <w:br/>
        <w:t>In millions of U.S. dollars</w:t>
        <w:br/>
        <w:t xml:space="preserve">                                                                                June 30, 2024        June 30, 2023</w:t>
        <w:br/>
        <w:t>Collateral received</w:t>
        <w:br/>
        <w:t xml:space="preserve">  Cash                                                                      $           21       $          140</w:t>
        <w:br/>
        <w:t xml:space="preserve">  Securities                                                                           322                  161</w:t>
        <w:br/>
        <w:t>Total collateral received                                                   $          343       $          301</w:t>
        <w:br/>
        <w:t>Collateral permitted to be repledged                                        $          343       $          301</w:t>
        <w:br/>
        <w:t>Amount of collateral repledged                                                           –                    –</w:t>
        <w:br/>
        <w:t>Amount of cash collateral invested                                                      21                  134</w:t>
        <w:br/>
        <w:br/>
        <w:br/>
        <w:t>Securities Lending</w:t>
        <w:br/>
        <w:t>IBRD may engage in securities lending and repurchases, against adequate collateral, as well as secured borrowing</w:t>
        <w:br/>
        <w:t>and reverse repurchases (resales) of government and agency obligations, corporate securities, ABS and Mortgage-</w:t>
        <w:br/>
        <w:t>backed securities (MBS). These transactions, if any, are conducted under legally enforceable master netting</w:t>
        <w:br/>
        <w:br/>
        <w:br/>
        <w:t>102     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arrangements, which allow IBRD to reduce its gross credit exposure related to these transactions. IBRD presents its</w:t>
        <w:br/>
        <w:t>securities lending and repurchases, as well as resales, on a gross basis on the Balance Sheets. As of June 30, 2024,</w:t>
        <w:br/>
        <w:t>the amount that could potentially be offset as a result of legally enforceable master netting arrangements were $59</w:t>
        <w:br/>
        <w:t>million (Nil—June 30, 2023).</w:t>
        <w:br/>
        <w:t>Securities lending and repurchase agreements expose IBRD to several risks, including counterparty risk,</w:t>
        <w:br/>
        <w:t>reinvestment risk, and risk of a collateral gap (due to increases or decrease in the fair value of collateral pledged).</w:t>
        <w:br/>
        <w:t>IBRD has procedures in place to ensure that trading activity and balances under these agreements are below</w:t>
        <w:br/>
        <w:t>predefined counterparty and maturity limits, and to actively manage net counterparty exposure, after collateral, using</w:t>
        <w:br/>
        <w:t>daily market values. Whenever the collateral pledged by IBRD related to its borrowings under repurchase</w:t>
        <w:br/>
        <w:t>agreements and securities lending agreements declines in value, the transaction is re-priced as appropriate by</w:t>
        <w:br/>
        <w:t>returning cash or pledging additional collateral.</w:t>
        <w:br/>
        <w:t>Transfers of securities by IBRD to counterparties are not accounted for as sales as the accounting criteria for the</w:t>
        <w:br/>
        <w:t>treatment as a sale have not been met. Counterparties are permitted to repledge these securities until the repurchase</w:t>
        <w:br/>
        <w:t>date.</w:t>
        <w:br/>
        <w:t>As of June 30, 2024, liabilities relating to securities transferred under repurchase or securities lending agreements</w:t>
        <w:br/>
        <w:t>were $256 million ($9 million—June 30, 2023) and there were no unsettled trades relating to repurchase or</w:t>
        <w:br/>
        <w:t>securities lending agreements (Nil —June 30, 2023). There were no replacement trades entered into in anticipation</w:t>
        <w:br/>
        <w:t>of maturing trades of a similar amount (Nil—June 30, 2023). As of June 30, 2024 and June 30, 2023, the remaining</w:t>
        <w:br/>
        <w:t>contractual maturity of these agreements was less than 30 days. The securities transferred were mainly comprised of</w:t>
        <w:br/>
        <w:t>government and agency obligations, equity securities and sovereign debt.</w:t>
        <w:br/>
        <w:t>In the case of resale agreements, IBRD receives collateral in the form of liquid securities and is permitted to</w:t>
        <w:br/>
        <w:t>repledge these securities. While these transactions are legally considered to be true purchases and sales, the</w:t>
        <w:br/>
        <w:t>securities received are not recorded on IBRD’s Balance Sheets as the accounting criteria for treatment as a sale have</w:t>
        <w:br/>
        <w:t>not been met. As of June 30, 2024 and June 30, 2023, there were no unsettled trades pertaining to securities</w:t>
        <w:br/>
        <w:t>purchased under resale agreements. For resale agreements, IBRD received securities with a fair value of $79 million</w:t>
        <w:br/>
        <w:t>as of June 30, 2024 ($78 million—June 30, 2023). As of June 30, 2024 and June 30, 2023, none of these securities</w:t>
        <w:br/>
        <w:t>had been transferred under repurchase or security lending agreements.</w:t>
        <w:br/>
        <w:br/>
        <w:t>NOTE D—LOANS AND OTHER EXPOSURES</w:t>
        <w:br/>
        <w:t>IBRD’s loans and other exposures (collectively, “exposures”) are generally made to, or guaranteed by, member</w:t>
        <w:br/>
        <w:t>countries of IBRD. In addition, IBRD may also make loans to the International Finance Corporation (IFC), an</w:t>
        <w:br/>
        <w:t>affiliated organization, without any guarantee. Other exposures include signed loan commitments including Deferred</w:t>
        <w:br/>
        <w:t>Drawdown Options (DDOs) and irrevocable commitments and guarantees. As of June 30, 2024, all of IBRD’s loans</w:t>
        <w:br/>
        <w:t>were reported at amortized cost.</w:t>
        <w:br/>
        <w:t>IBRD’s loan portfolio includes loans with multicurrency terms, variable spread terms and fixed spread terms. As of</w:t>
        <w:br/>
        <w:t>June 30, 2024, only loans with variable spread terms (including special development policy loans), were available</w:t>
        <w:br/>
        <w:t>for new commitments. Effective April 1, 2021, IBRD suspended the offering of loans on fixed spread terms.</w:t>
        <w:br/>
        <w:t>As of June 30, 2024, 88% of IBRD’s loans carried variable interest rates. IBRD uses derivative instruments to</w:t>
        <w:br/>
        <w:t>manage the currency risk as well as repricing risk between its loans and borrowings. After the effects of these</w:t>
        <w:br/>
        <w:t>derivatives, the entire loan portfolio carried variable interest rates, with a weighted average interest rate of 6.25% as</w:t>
        <w:br/>
        <w:t>of June 30, 2024 (5.63%—June 30, 2023). For details regarding derivatives used in the loan portfolio see Note F—</w:t>
        <w:br/>
        <w:t>Derivative Instruments.</w:t>
        <w:br/>
        <w:t>The majority of IBRD’s loans outstanding are denominated in U.S. dollars (80%) and euro (18%).</w:t>
        <w:br/>
        <w:t>IBRD excludes the interest receivable balance from the amortized cost basis and from the related disclosures. As of</w:t>
        <w:br/>
        <w:t>June 30, 2024, accrued interest receivable on loans of $3,706 million is included in Receivables – Accrued income</w:t>
        <w:br/>
        <w:t>on loans and guarantee fees receivable in the Balance Sheets ($3,138 million—June 30, 2023).</w:t>
        <w:br/>
        <w:t>As of June 30, 2024, 0.5% of IBRD’s loans were in nonaccrual status and related to two borrowers (see Table D6:</w:t>
        <w:br/>
        <w:t>Loans in nonaccrual status). The total accumulated provision for losses on loans in accrual status and nonaccrual</w:t>
        <w:br/>
        <w:br/>
        <w:br/>
        <w:t xml:space="preserve">                                                      IBRD FINANCIAL STATEMENTS: June 30, 2024                      103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status accounted for 0.9% of the total loan portfolio. Based on IBRD’s internal credit quality indicators, the majority</w:t>
        <w:br/>
        <w:t>of loans outstanding are in the medium-risk or high-risk classes.</w:t>
        <w:br/>
        <w:t>A summary of IBRD’s loans outstanding by currency and by interest rate characteristics (fixed or variable) is as</w:t>
        <w:br/>
        <w:t>follows:</w:t>
        <w:br/>
        <w:t>Table D1: Loans outstanding currency and interest rate structure</w:t>
        <w:br/>
        <w:t>In millions of U.S. dollars, except as otherwise noted</w:t>
        <w:br/>
        <w:t xml:space="preserve">                                                                                                      June 30, 2024</w:t>
        <w:br/>
        <w:t xml:space="preserve">                                           U.S. dollars                     Euro                  Japanese Yen                      Others              Loans Outstanding</w:t>
        <w:br/>
        <w:t xml:space="preserve">                                        Fixed        Variable         Fixed     Variable        Fixed     Variable          Fixed        Variable       Fixed     Variable        Total</w:t>
        <w:br/>
        <w:br/>
        <w:t xml:space="preserve"> Multicurrency terms a          $               21    $    402    $        8   $        7   $        4   $       3     $        —       $      —    $        33   $   412     $     445</w:t>
        <w:br/>
        <w:t xml:space="preserve">    Weighted average rate (%) b               8.37         6.38         2.78         6.43         2.78        6.43              —              —           6.32       6.38          6.38</w:t>
        <w:br/>
        <w:t xml:space="preserve">    Average Maturity (years)                  0.39           —          1.12           —          1.09          —               —              —           0.65         —           0.05</w:t>
        <w:br/>
        <w:br/>
        <w:t xml:space="preserve"> Variable-spread terms              $           —     $ 167,948   $       —    $ 28,782     $       —    $    334      $        —       $   2,544   $        —    $ 199,608   $ 199,608</w:t>
        <w:br/>
        <w:t xml:space="preserve">    Weighted average rate (%) b                 —          6.35           —        4.40             —         0.84              —           10.13            —         6.11        6.11</w:t>
        <w:br/>
        <w:t xml:space="preserve">    Average Maturity (years)                    —          8.52           —        7.97             —         6.69              —            6.15            —         8.41        8.41</w:t>
        <w:br/>
        <w:br/>
        <w:br/>
        <w:t xml:space="preserve"> Fixed-spread terms               $     18,351 $ 23,792 $ 12,429               $  7,132     $       —    $     711     $      297       $     425   $ 31,077      $ 32,060    $ 63,137</w:t>
        <w:br/>
        <w:t xml:space="preserve">    Weighted average rate (%) b           3.30         6.88        2.08            4.77             —         0.64            8.67          10.51       2.86           6.32        4.62</w:t>
        <w:br/>
        <w:t xml:space="preserve">    Average maturity (years)              7.63         8.96        9.59            7.14             —         4.18            8.27           7.17       8.42           8.43        8.43</w:t>
        <w:br/>
        <w:t xml:space="preserve"> Loans Outstanding                $     18,372 $ 192,142 $ 12,437              $ 35,921     $        4   $   1,048     $      297       $   2,969   $ 31,110      $ 232,080   $ 263,190</w:t>
        <w:br/>
        <w:t xml:space="preserve">                               b</w:t>
        <w:br/>
        <w:t xml:space="preserve">    Weighted average rate (%)             3.30         6.41        2.08            4.47           2.78        0.72            8.67          10.19       2.86           6.14        5.75</w:t>
        <w:br/>
        <w:t xml:space="preserve">    Average Maturity (years)              7.63         8.56        9.59            7.80           1.09        4.97            8.27           6.29       8.42           8.39        8.40</w:t>
        <w:br/>
        <w:t xml:space="preserve"> Loans Outstanding                                                                                                                                                            $ 263,190</w:t>
        <w:br/>
        <w:t xml:space="preserve"> Less accumulated provision for loan losses and deferred loan income                                                                                                              2,954</w:t>
        <w:br/>
        <w:t xml:space="preserve"> Net loans outstanding                                                                                                                                                        $ 260,236</w:t>
        <w:br/>
        <w:br/>
        <w:br/>
        <w:t>Table D1.1</w:t>
        <w:br/>
        <w:t>In millions of U.S. dollars, except as otherwise noted</w:t>
        <w:br/>
        <w:t xml:space="preserve">                                                                                                                      June 30, 2023</w:t>
        <w:br/>
        <w:t xml:space="preserve">                                               U.S. dollars                 Euro                  Japanese Yen                  Others                  Loans Outstanding</w:t>
        <w:br/>
        <w:t xml:space="preserve">                                            Fixed      Variable       Fixed     Variable        Fixed     Variable        Fixed      Variable           Fixed     Variable        Total</w:t>
        <w:br/>
        <w:br/>
        <w:t xml:space="preserve"> Multicurrency terms a                  $      26     $    403    $       8     $      7    $      10    $      3       $      —        $     —     $       44    $    413    $      457</w:t>
        <w:br/>
        <w:t xml:space="preserve">    Weighted average rate (%) b              7.30          6.43        2.78         6.61         2.78        6.61              —              —           5.46         6.43          6.34</w:t>
        <w:br/>
        <w:t xml:space="preserve">    Average Maturity (years)                 0.77            —         1.62           —          1.62          —               —              —           1.11           —           0.11</w:t>
        <w:br/>
        <w:br/>
        <w:t xml:space="preserve"> Variable-spread terms                  $      —      $ 150,309   $      —      $24,930     $      —     $   233        $      —        $ 2,671     $      —      $ 178,143   $ 178,143</w:t>
        <w:br/>
        <w:t xml:space="preserve">    Weighted average rate (%) b                —           5.77          —         3.94            —         0.55              —          10.16            —           5.58        5.58</w:t>
        <w:br/>
        <w:t xml:space="preserve">    Average Maturity (years)                   —           8.42          —         7.95            —         6.21              —           6.87            —           8.33        8.33</w:t>
        <w:br/>
        <w:br/>
        <w:t xml:space="preserve"> Fixed-spread terms                   $19,560    $ 24,198 $12,717               $ 7,242             *    $   807        $    357        $   415     $32,634       $ 32,662    $ 65,296</w:t>
        <w:br/>
        <w:t xml:space="preserve">    Weighted average rate (%) b          3.32          6.35       2.04             4.26          2.30       0.50             8.13         10.76        2.87            5.80        4.34</w:t>
        <w:br/>
        <w:t xml:space="preserve">    Average maturity (years)             8.06          9.42      10.19             7.40          0.08       5.08             8.23          7.67        8.89            8.85        8.87</w:t>
        <w:br/>
        <w:t xml:space="preserve"> Loans Outstanding                    $19,586    $ 174,910 $12,725              $32,179     $      10    $ 1,043        $    357        $ 3,086     $32,678       $ 211,218   $ 243,896</w:t>
        <w:br/>
        <w:t xml:space="preserve">    Weighted average rate (%) b          3.33          5.85       2.04             4.01          2.76       0.53             8.13         10.24        2.88            5.61        5.25</w:t>
        <w:br/>
        <w:t xml:space="preserve">    Average Maturity (years)             8.05          8.54      10.19             7.82          1.57       5.32             8.23          6.98        8.88            8.39        8.46</w:t>
        <w:br/>
        <w:t xml:space="preserve"> Loans Outstanding                                                                                                                                                            $243,896</w:t>
        <w:br/>
        <w:t xml:space="preserve"> Less accumulated provision for loan losses and deferred loan income                                                                                                              2,855</w:t>
        <w:br/>
        <w:t xml:space="preserve"> Net loans outstanding                                                                                                                                                        $241,041</w:t>
        <w:br/>
        <w:br/>
        <w:br/>
        <w:t xml:space="preserve"> a. Variable rates for multicurrency loans are based on the weighted average cost of allocated debt.</w:t>
        <w:br/>
        <w:t xml:space="preserve"> b. Excludes effects of any waivers of loan interest.</w:t>
        <w:br/>
        <w:t xml:space="preserve"> * Indicates amount less than $0.5 million.</w:t>
        <w:br/>
        <w:br/>
        <w:br/>
        <w:t xml:space="preserve"> 104        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maturity structure of IBRD’s loans is as follows:</w:t>
        <w:br/>
        <w:t>Table D2: Loans maturity structure</w:t>
        <w:br/>
        <w:t>In millions of U.S. dollars</w:t>
        <w:br/>
        <w:t xml:space="preserve">                                                                                         June 30, 2024</w:t>
        <w:br/>
        <w:t xml:space="preserve">                                  July 1, 2024 through       July 1, 2025 through       July 1, 2029 through</w:t>
        <w:br/>
        <w:t>Terms/Rate Type                      June 30, 2025              June 30, 2029              June 30, 2039           Thereafter       Total</w:t>
        <w:br/>
        <w:t xml:space="preserve"> Multicurrency terms</w:t>
        <w:br/>
        <w:t xml:space="preserve">     Fixed                    $                24        $                9         $                 —        $          —     $       33</w:t>
        <w:br/>
        <w:t xml:space="preserve">     Variable                                 412                         —                           —                   —            412</w:t>
        <w:br/>
        <w:t xml:space="preserve"> Variable-spread terms</w:t>
        <w:br/>
        <w:t xml:space="preserve">     Fixed                                     —                          —                          —                    —              —</w:t>
        <w:br/>
        <w:t xml:space="preserve">     Variable                              12,034                     56,517                    104,736               26,321        199,608</w:t>
        <w:br/>
        <w:t xml:space="preserve"> Fixed-spread terms</w:t>
        <w:br/>
        <w:t xml:space="preserve">     Fixed                                  1,719                      7,038                     18,107                4,213         31,077</w:t>
        <w:br/>
        <w:t xml:space="preserve">     Variable                               2,018                      9,391                     16,040                4,611         32,060</w:t>
        <w:br/>
        <w:t xml:space="preserve"> All Loans</w:t>
        <w:br/>
        <w:t xml:space="preserve">     Fixed                                  1,743                      7,047                     18,107                4,213         31,110</w:t>
        <w:br/>
        <w:t xml:space="preserve">     Variable                              14,464                     65,908                    120,776               30,932        232,080</w:t>
        <w:br/>
        <w:t xml:space="preserve"> Total loans outstanding      $            16,207        $            72,955        $           138,883        $      35,145    $   263,190</w:t>
        <w:br/>
        <w:br/>
        <w:br/>
        <w:t>Table D2.1</w:t>
        <w:br/>
        <w:t>In millions of U.S. dollars</w:t>
        <w:br/>
        <w:t xml:space="preserve">                                                                                           June 30, 2023</w:t>
        <w:br/>
        <w:t xml:space="preserve">                                  July 1, 2023 through       July 1, 2024 through       July 1, 2028 through</w:t>
        <w:br/>
        <w:t>Terms/Rate Type                      June 30, 2024              June 30, 2028              June 30, 2038           Thereafter         Total</w:t>
        <w:br/>
        <w:t xml:space="preserve"> Multicurrency terms</w:t>
        <w:br/>
        <w:t xml:space="preserve">     Fixed                    $                24        $                20        $                —         $           —    $            44</w:t>
        <w:br/>
        <w:t xml:space="preserve">     Variable                                 413                         —                          —                     —                413</w:t>
        <w:br/>
        <w:t xml:space="preserve"> Variable-spread terms</w:t>
        <w:br/>
        <w:t xml:space="preserve">     Fixed                                     —                          —                          —                     —               —</w:t>
        <w:br/>
        <w:t xml:space="preserve">     Variable                               9,261                     51,025                     95,141                22,716         178,143</w:t>
        <w:br/>
        <w:t xml:space="preserve"> Fixed-spread terms</w:t>
        <w:br/>
        <w:t xml:space="preserve">     Fixed                                  1,920                      6,901                     19,016                 4,797          32,634</w:t>
        <w:br/>
        <w:t xml:space="preserve">     Variable                               2,040                      8,722                     16,717                 5,183          32,662</w:t>
        <w:br/>
        <w:t xml:space="preserve"> All Loans</w:t>
        <w:br/>
        <w:t xml:space="preserve">     Fixed                                  1,944                      6,921                    19,016                  4,797          32,678</w:t>
        <w:br/>
        <w:t xml:space="preserve">     Variable                              11,714                     59,747                   111,858                 27,899         211,218</w:t>
        <w:br/>
        <w:t xml:space="preserve"> Total loans outstanding      $            13,658        $            66,668        $          130,874         $       32,696   $     243,896</w:t>
        <w:br/>
        <w:br/>
        <w:br/>
        <w:t>Credit Quality of Sovereign Exposures</w:t>
        <w:br/>
        <w:t>Based on an evaluation of IBRD’s exposures, management has determined that IBRD has one portfolio segment –</w:t>
        <w:br/>
        <w:t>Sovereign Exposures. IBRD’s loans constitute the majority of the Sovereign Exposures portfolio segment.</w:t>
        <w:br/>
        <w:t>IBRD’s country risk ratings are an assessment of its borrowers’ ability and willingness to repay IBRD on time and</w:t>
        <w:br/>
        <w:t>in full. These ratings are internal credit quality indicators. Individual country risk ratings are derived on the basis of</w:t>
        <w:br/>
        <w:t>both quantitative and qualitative analysis. The components considered in the analysis can be grouped broadly into</w:t>
        <w:br/>
        <w:t>eight categories: political risk, external debt and liquidity, fiscal policy and public debt burden, balance of payments</w:t>
        <w:br/>
        <w:t>risks, economic structure and growth prospects, monetary and exchange rate policy, financial sector risks, and</w:t>
        <w:br/>
        <w:t>corporate sector debt and vulnerabilities. The analysis also takes into account Environmental, Social, and</w:t>
        <w:br/>
        <w:t>Governance (ESG) factors. For the purpose of analyzing the risk characteristics of IBRD’s exposures, these</w:t>
        <w:br/>
        <w:t>exposures are grouped into three classes in accordance with assigned borrower risk ratings, which relate to the</w:t>
        <w:br/>
        <w:t>likelihood of loss: Low, Medium and High-risk classes, as well as exposures in nonaccrual status.</w:t>
        <w:br/>
        <w:t>IBRD’s borrowers’ country risk ratings are key determinants in the provision for losses. Country risk ratings are</w:t>
        <w:br/>
        <w:t>grouped in pools of borrowers with similar credit ratings for the purpose of the calculation of the expected credit</w:t>
        <w:br/>
        <w:t>losses. Exposure for certain countries in accrual status may be individually assessed on the basis that they do not</w:t>
        <w:br/>
        <w:t>share common risk characteristics with an existing pool of exposures. All exposures for countries in nonaccrual</w:t>
        <w:br/>
        <w:t>status are individually assessed. Country risk ratings are determined in review meetings that take place several times</w:t>
        <w:br/>
        <w:t>a year. All countries are reviewed at least once a year, or more frequently, if circumstances warrant, to determine the</w:t>
        <w:br/>
        <w:t>appropriate ratings.</w:t>
        <w:br/>
        <w:br/>
        <w:br/>
        <w:t xml:space="preserve">                                                                     IBRD FINANCIAL STATEMENTS: June 30, 2024                                 105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 assessment was also performed to determine whether a qualitative adjustment of the loan loss provision was</w:t>
        <w:br/>
        <w:t>needed as of June 30, 2024, including consideration of global and macroeconomic events. Management concluded</w:t>
        <w:br/>
        <w:t>that a qualitative adjustment beyond the regular application of IBRD’s loan loss provision framework was not</w:t>
        <w:br/>
        <w:t>warranted.</w:t>
        <w:br/>
        <w:t>The following tables provide an aging analysis of the loans outstanding:</w:t>
        <w:br/>
        <w:t>Table D3: Loan portfolio aging structure</w:t>
        <w:br/>
        <w:t>In millions of U.S. dollars</w:t>
        <w:br/>
        <w:t xml:space="preserve">                                                                          June 30, 2024</w:t>
        <w:br/>
        <w:t xml:space="preserve">                                                                                            Total Past</w:t>
        <w:br/>
        <w:t>Days past due                    Up to 45       46-60       61-90       91-180   Over 180      Due           Current       Total</w:t>
        <w:br/>
        <w:t>Risk Class</w:t>
        <w:br/>
        <w:t xml:space="preserve">  Low                           $     –     $      –    $      –    $      –     $     –    $     –      $  6,935      $  6,935</w:t>
        <w:br/>
        <w:t xml:space="preserve">  Medium                              –            –           –           –           –          –       124,106       124,106</w:t>
        <w:br/>
        <w:t xml:space="preserve">  High                                5            9           2           –           –         16       130,723       130,739</w:t>
        <w:br/>
        <w:t>Loans in accrual status               5            9           2           –           –         16       261,764       261,780</w:t>
        <w:br/>
        <w:t>Loans in nonaccrual status            –            1          40          24         661        726           684         1,410</w:t>
        <w:br/>
        <w:t>Total                           $     5     $     10    $     42    $     24     $   661    $   742      $262,448      $263,190</w:t>
        <w:br/>
        <w:br/>
        <w:br/>
        <w:t>Table D3.1</w:t>
        <w:br/>
        <w:t>In millions of U.S. dollars</w:t>
        <w:br/>
        <w:t xml:space="preserve">                                                                          June 30, 2023</w:t>
        <w:br/>
        <w:t xml:space="preserve">                                                                                            Total Past</w:t>
        <w:br/>
        <w:t>Days past due                    Up to 45       46-60       61-90       91-180   Over 180      Due           Current       Total</w:t>
        <w:br/>
        <w:t>Risk Class</w:t>
        <w:br/>
        <w:t xml:space="preserve">  Low                           $     –     $      –    $      –    $      –     $     –    $     –      $  7,341      $  7,341</w:t>
        <w:br/>
        <w:t xml:space="preserve">  Medium                              –            –           –           –           –          –       117,886       117,886</w:t>
        <w:br/>
        <w:t xml:space="preserve">  High                                2            –           –           –           –          2       117,242       117,244</w:t>
        <w:br/>
        <w:t>Loans in accrual status               2            –           –           –           –          2       242,469       242,471</w:t>
        <w:br/>
        <w:t>Loans in nonaccrual status            –            1          40          26         532        599           826         1,425</w:t>
        <w:br/>
        <w:t>Total                           $     2     $      1    $     40    $     26     $   532    $   601      $243,295      $243,896</w:t>
        <w:br/>
        <w:br/>
        <w:br/>
        <w:t>106     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IBRD considers the signature date of a loan agreement as the best indicator of the decision point in the origination</w:t>
        <w:br/>
        <w:t>process, rather than the disbursement date. The tables below disclose the outstanding balances of IBRD’s loan</w:t>
        <w:br/>
        <w:t>portfolio, classified by the year the loan agreement was signed.</w:t>
        <w:br/>
        <w:t>Table D4: Loan portfolio vintage disclosure</w:t>
        <w:br/>
        <w:t>In millions of U.S. dollars</w:t>
        <w:br/>
        <w:t xml:space="preserve">                                                                                 June 30, 2024</w:t>
        <w:br/>
        <w:t xml:space="preserve">                                                    Fiscal Year of Origination</w:t>
        <w:br/>
        <w:t xml:space="preserve">                                                                                                       CAT         CAT        Loans</w:t>
        <w:br/>
        <w:t xml:space="preserve">                                                                                                      DDOs        DDOs      outstanding</w:t>
        <w:br/>
        <w:t xml:space="preserve">                                                                                                    Disbursed   Converted      as of</w:t>
        <w:br/>
        <w:t xml:space="preserve">                                                                                           Prior       and       to Term     June 30,</w:t>
        <w:br/>
        <w:t xml:space="preserve">                                  2024       2023         2022       2021        2020      Years    Revolving     Loans        2024</w:t>
        <w:br/>
        <w:t>Risk Class</w:t>
        <w:br/>
        <w:t xml:space="preserve">  Low                         $  150     $    –       $  250     $     –    $    –       $ 6,535    $     –     $       –   $     6,935</w:t>
        <w:br/>
        <w:t xml:space="preserve">  Medium                       7,885      8,445        6,893     10,126      8,421         79,700       302         2,334       124,106</w:t>
        <w:br/>
        <w:t xml:space="preserve">  High                        11,645      7,402       11,897       9,951     8,486         80,454         1           903       130,739</w:t>
        <w:br/>
        <w:t>Loans in accrual status       19,680     15,847       19,040     20,077     16,907        166,689       303         3,237       261,780</w:t>
        <w:br/>
        <w:t>Loans in nonaccrual</w:t>
        <w:br/>
        <w:t xml:space="preserve">  status                           –          –            –          –        115          1,295         –             –       1,410</w:t>
        <w:br/>
        <w:t>Total                         $19,680    $15,847      $19,040    $20,077    $17,022      $167,984   $   303     $   3,237   $ 263,190</w:t>
        <w:br/>
        <w:br/>
        <w:br/>
        <w:t>Table D4.1</w:t>
        <w:br/>
        <w:t>In millions of U.S. dollars</w:t>
        <w:br/>
        <w:t xml:space="preserve">                                                                                 June 30, 2023</w:t>
        <w:br/>
        <w:t xml:space="preserve">                                                    Fiscal Year of Origination</w:t>
        <w:br/>
        <w:t xml:space="preserve">                                                                                                       CAT         CAT      Loans</w:t>
        <w:br/>
        <w:t xml:space="preserve">                                                                                                      DDOs        DDOs      outstanding</w:t>
        <w:br/>
        <w:t xml:space="preserve">                                                                                                    Disbursed   Converted   as        of</w:t>
        <w:br/>
        <w:t xml:space="preserve">                                                                                           Prior       and       to Term    June    30,</w:t>
        <w:br/>
        <w:t xml:space="preserve">                                  2023       2022         2021       2020        2019      Years    Revolving     Loans     2023</w:t>
        <w:br/>
        <w:t>Risk Class</w:t>
        <w:br/>
        <w:t xml:space="preserve">  Low                         $    –     $  250       $    –     $    –     $    –       $ 7,091    $     –     $       –   $     7,341</w:t>
        <w:br/>
        <w:t xml:space="preserve">  Medium                       7,012      6,082        9,419      7,516      5,499         79,676       800         1,882       117,886</w:t>
        <w:br/>
        <w:t xml:space="preserve">  High                         4,977     10,660        9,128      7,674      7,476         76,405         –           924       117,244</w:t>
        <w:br/>
        <w:t>Loans in accrual status       11,989     16,992       18,547     15,190     12,975        163,172       800         2,806       242,471</w:t>
        <w:br/>
        <w:t>Loans in nonaccrual</w:t>
        <w:br/>
        <w:t xml:space="preserve">  status                           –          –            –        127         28          1,270         –             –       1,425</w:t>
        <w:br/>
        <w:t>Total                         $11,989    $16,992      $18,547    $15,317    $13,003      $164,442   $   800     $   2,806   $ 243,896</w:t>
        <w:br/>
        <w:br/>
        <w:br/>
        <w:t>The amount of Catastrophe Deferred Drawdown Option (CAT DDOs) converted to term loans during the fiscal year</w:t>
        <w:br/>
        <w:t>ended June 30, 2024, is $500 million ($473 million—fiscal year ended June 30, 2023).</w:t>
        <w:br/>
        <w:t>Accumulated Provision for Losses on Loans and Other Exposures</w:t>
        <w:br/>
        <w:t>Management determines the appropriate level of accumulated provision for losses, which reflects the expected</w:t>
        <w:br/>
        <w:t>losses inherent in IBRD’s exposures.</w:t>
        <w:br/>
        <w:t>Delays in receiving loan payments result in economic losses to IBRD since it does not charge additional interest on</w:t>
        <w:br/>
        <w:t>any overdue interest or loan charges. These economic losses are estimated as the difference between the present</w:t>
        <w:br/>
        <w:t>value of payments of interest and charges made according to the related loan's contractual terms and the present</w:t>
        <w:br/>
        <w:t>value of its expected future cash flows. It is IBRD’s practice not to write off its loans. Historically, all contractual</w:t>
        <w:br/>
        <w:t>obligations associated with exposures in nonaccrual status were eventually cleared, thereby allowing borrowers to</w:t>
        <w:br/>
        <w:t>emerge from nonaccrual status. To date, no loans have been written off by IBRD.</w:t>
        <w:br/>
        <w:br/>
        <w:br/>
        <w:t xml:space="preserve">                                                                 IBRD FINANCIAL STATEMENTS: June 30, 2024                          107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Management reassesses the adequacy of the accumulated provision on a quarterly basis and adjustments to the</w:t>
        <w:br/>
        <w:t>accumulated provision are recorded as a charge to or release of provision in the Statements of Income.</w:t>
        <w:br/>
        <w:t>Changes to the accumulated provision for losses on loans and other exposures are summarized below:</w:t>
        <w:br/>
        <w:t>Table D5: Accumulated provision</w:t>
        <w:br/>
        <w:t>In millions of U.S. dollars</w:t>
        <w:br/>
        <w:t xml:space="preserve">                                                                                      June 30, 2024</w:t>
        <w:br/>
        <w:t xml:space="preserve">                                                             Loans outstanding    Loan commitments        Other a     Total</w:t>
        <w:br/>
        <w:t>Accumulated provision, beginning of the fiscal year          $          2,336     $            452      $     90    $  2,878</w:t>
        <w:br/>
        <w:t>Provision - charge                                                         29                   64              1         94</w:t>
        <w:br/>
        <w:t>Translation adjustment                                                     (5)                   (2)            1         (6)</w:t>
        <w:br/>
        <w:t>Accumulated provision, end of the fiscal year                $          2,360     $            514      $     92    $ 2,966</w:t>
        <w:br/>
        <w:t>Composed of accumulated provision for losses on:</w:t>
        <w:br/>
        <w:t xml:space="preserve">      Loans in accrual status                                $           2,036</w:t>
        <w:br/>
        <w:t xml:space="preserve">      Loans in nonaccrual status                                           324</w:t>
        <w:br/>
        <w:t>Total                                                        $           2,360</w:t>
        <w:br/>
        <w:t>Loans, end of the fiscal year:</w:t>
        <w:br/>
        <w:t xml:space="preserve">  Loans in accrual status                                    $        261,780</w:t>
        <w:br/>
        <w:t xml:space="preserve">  Loans in nonaccrual status                                            1,410</w:t>
        <w:br/>
        <w:t>Total loans outstanding                                      $        263,190</w:t>
        <w:br/>
        <w:br/>
        <w:br/>
        <w:t>Table D5.1:</w:t>
        <w:br/>
        <w:t>In millions of U.S. dollars</w:t>
        <w:br/>
        <w:t xml:space="preserve">                                                                                      June 30, 2023</w:t>
        <w:br/>
        <w:t xml:space="preserve">                                                             Loans outstanding    Loan commitments        Other a     Total</w:t>
        <w:br/>
        <w:t>Accumulated provision, beginning of the fiscal year          $          1,742     $            359      $     64    $  2,165</w:t>
        <w:br/>
        <w:t>Provision - charge                                                        573                   88            24         685</w:t>
        <w:br/>
        <w:t>Translation adjustment                                                     21                    5              2         28</w:t>
        <w:br/>
        <w:t>Accumulated provision, end of the fiscal year                $          2,336     $            452      $     90    $ 2,878</w:t>
        <w:br/>
        <w:t>Composed of accumulated provision for losses on:</w:t>
        <w:br/>
        <w:t xml:space="preserve">      Loans in accrual status                                $           2,014</w:t>
        <w:br/>
        <w:t xml:space="preserve">      Loans in nonaccrual status                                           322</w:t>
        <w:br/>
        <w:t>Total                                                        $           2,336</w:t>
        <w:br/>
        <w:t>Loans, end of the fiscal year:</w:t>
        <w:br/>
        <w:t xml:space="preserve">  Loans in accrual status                                    $        242,471</w:t>
        <w:br/>
        <w:t xml:space="preserve">  Loans in nonaccrual status                                            1,425</w:t>
        <w:br/>
        <w:t>Total loans outstanding                                      $        243,896</w:t>
        <w:br/>
        <w:br/>
        <w:br/>
        <w:t>a. Primarily relates to guarantees and does not include recoverable assets relating to certain guarantees received (including</w:t>
        <w:br/>
        <w:t xml:space="preserve">   guarantees received under the Exposure Exchange Agreements) or the benefit of credit enhancements that are derivatives.</w:t>
        <w:br/>
        <w:t xml:space="preserve">   For more details, see Guarantees section.</w:t>
        <w:br/>
        <w:br/>
        <w:t xml:space="preserve">                                                                                 Reported as:</w:t>
        <w:br/>
        <w:t xml:space="preserve">                                                    Balance Sheets                              Statements of Income</w:t>
        <w:br/>
        <w:t>Accumulated Provision for Losses on:</w:t>
        <w:br/>
        <w:t xml:space="preserve">  Loans outstanding                  Accumulated provision for loan losses        Provision for losses on loans and other exposures</w:t>
        <w:br/>
        <w:t>Loan commitments and other exposures Other liabilities                            Provision for losses on loans and other exposures</w:t>
        <w:br/>
        <w:br/>
        <w:br/>
        <w:t>The accumulated provision for losses on loan and other exposures as of June 30, 2024 was $2,966 million, compared</w:t>
        <w:br/>
        <w:t>to $2,878 million as of June 30, 2023. The increase of $88 million in the accumulated provision for losses on loan</w:t>
        <w:br/>
        <w:t>and other exposures is due to the increase in exposures and the increase in severity from the increase in relevant</w:t>
        <w:br/>
        <w:t>forward interest rates.</w:t>
        <w:br/>
        <w:br/>
        <w:br/>
        <w:t>108     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Overdue Amounts</w:t>
        <w:br/>
        <w:t>IBRD considers loans to be past due when a borrower fails to make payment on any principal, interest or other</w:t>
        <w:br/>
        <w:t>charges due to IBRD on the dates provided in the contractual loan agreement.</w:t>
        <w:br/>
        <w:t>As of June 30, 2024, no principal or interest amounts are overdue by more than three months for loans in accrual</w:t>
        <w:br/>
        <w:t>status.</w:t>
        <w:br/>
        <w:t>The following tables provide a summary of selected financial information related to loans in nonaccrual status:</w:t>
        <w:br/>
        <w:t>Table D6: Loans in nonaccrual status</w:t>
        <w:br/>
        <w:t>In millions of U.S. dollars</w:t>
        <w:br/>
        <w:t xml:space="preserve">                                                       Accumulated        Average             Overdue amounts</w:t>
        <w:br/>
        <w:t xml:space="preserve">                                         Recorded      Provision for     recorded                       Interest and</w:t>
        <w:br/>
        <w:t xml:space="preserve">    Borrower        Nonaccrual since    investment      loan losses     investment        Principal       Charges</w:t>
        <w:br/>
        <w:t>Belarus             October 2022       $        984    $         111   $         992    $         300   $          81</w:t>
        <w:br/>
        <w:t>Zimbabwe            October 2000                426              213             426              426             686</w:t>
        <w:br/>
        <w:t>Total - June 30, 2024                  $      1,410    $         324   $       1,418    $         726   $         767</w:t>
        <w:br/>
        <w:t>Total - June 30, 2023                  $      1,425    $         322   $       1,419    $         598   $         690</w:t>
        <w:br/>
        <w:br/>
        <w:br/>
        <w:t>During the fiscal year ended June 30, 2024, no loans were placed in nonaccrual status or restored to accrual status.</w:t>
        <w:br/>
        <w:t>During the fiscal year ended June 30, 2024, interest and other revenue not recognized as a result of loans being in</w:t>
        <w:br/>
        <w:t>nonaccrual status was $80 million ($69 million– June 30, 2023 and $27 million – June 30, 2022).</w:t>
        <w:br/>
        <w:t>In addition, during the fiscal year ended June 30, 2024, $4 million of interest income was recognized on loans in</w:t>
        <w:br/>
        <w:t>nonaccrual status upon receipt of payment ($2 million —June 30, 2023 and less than $1 million —June 30, 2022).</w:t>
        <w:br/>
        <w:t>Guarantees</w:t>
        <w:br/>
        <w:t>Guarantees provided</w:t>
        <w:br/>
        <w:t>Guarantees of $7,168 million were outstanding as of June 30, 2024 ($6,542 million—June 30, 2023), including</w:t>
        <w:br/>
        <w:t>guarantees provided under the EEA. These amounts represent the maximum potential amount of undiscounted future</w:t>
        <w:br/>
        <w:t>payments that IBRD could be required to make under these guarantees, and are not included in the Balance Sheets.</w:t>
        <w:br/>
        <w:t>These guarantees have original maturities ranging between 10 and 23 years and expire in decreasing amounts</w:t>
        <w:br/>
        <w:t>through 2047.</w:t>
        <w:br/>
        <w:t>As of June 30, 2024, liabilities related to IBRD's obligations under guarantees included the obligation to stand ready</w:t>
        <w:br/>
        <w:t>of $296 million ($303 million—June 30, 2023), and the accumulated provision for guarantee losses of $71 million</w:t>
        <w:br/>
        <w:t>($76 million—June 30, 2023). These are included in Other liabilities - Accounts payable and miscellaneous</w:t>
        <w:br/>
        <w:t>liabilities on the Balance Sheets.</w:t>
        <w:br/>
        <w:t>During the fiscal year ended June 30, 2024 and June 30, 2023, no guarantees provided by IBRD were called.</w:t>
        <w:br/>
        <w:br/>
        <w:br/>
        <w:t xml:space="preserve">                                                      IBRD FINANCIAL STATEMENTS: June 30, 2024                    109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IBRD participates in Exposure Exchange Agreements (EEAs) which are recognized as financial guarantees in the</w:t>
        <w:br/>
        <w:t>financial statements. Information on the location and amounts associated with the EEAs executed with the</w:t>
        <w:br/>
        <w:t>Multilateral Investment Guarantee Agency (MIGA), African Development Bank and Inter-American Development</w:t>
        <w:br/>
        <w:t>Bank included in the Balance Sheets and Statements of Income is presented in the following table:</w:t>
        <w:br/>
        <w:t>Table D7: Amounts associated with EEAs</w:t>
        <w:br/>
        <w:t>In millions of U.S. dollars</w:t>
        <w:br/>
        <w:t xml:space="preserve">                                           June 30, 2024                               June 30, 2023</w:t>
        <w:br/>
        <w:t xml:space="preserve">                                          (Stand ready      (Provision)              (Stand ready      (Provision)      Location on</w:t>
        <w:br/>
        <w:t xml:space="preserve">                               Notional     obligation)    Recoverable     Notional    obligation)    Recoverable       the Balance</w:t>
        <w:br/>
        <w:t xml:space="preserve">                               amount         Asset            asset       amount        Asset            asset           Sheets</w:t>
        <w:br/>
        <w:t>Guarantees provided           $ 3,609     $      (129)    $       (25)    $ 3,619 $         (149)    $       (29)      Other liabilities</w:t>
        <w:br/>
        <w:t>Guarantees received             (3,611)           129              19        (3,619)         149              27       Other assets</w:t>
        <w:br/>
        <w:t xml:space="preserve">                              $     (2)   $           –   $        (6)    $      –   $           –   $        (2)</w:t>
        <w:br/>
        <w:br/>
        <w:br/>
        <w:t>Guarantees received</w:t>
        <w:br/>
        <w:t>As of June 30, 2024, IBRD had received third-party financial guarantees, including guarantees received under the</w:t>
        <w:br/>
        <w:t>EEA. The outstanding amount of loans subject to guarantees received amounted to $12,461 million ($6,664 million</w:t>
        <w:br/>
        <w:t>as of June 30, 2023). Financial guarantees received protect IBRD against the risk of loss related to loans in IBRD's</w:t>
        <w:br/>
        <w:t>portfolio and increase IBRD's lending capacity.</w:t>
        <w:br/>
        <w:t>Waivers of Loan Charges</w:t>
        <w:br/>
        <w:t>The Executive Directors have approved waivers of certain charges on eligible loans. These include a portion of</w:t>
        <w:br/>
        <w:t>interest on loans, a portion of the commitment charge on undisbursed balances, and a portion of the front-end fee.</w:t>
        <w:br/>
        <w:t>The forgone income resulting from waivers of loan charges was $9 million for year ended June 30, 2024 ($16</w:t>
        <w:br/>
        <w:t>million— June 30, 2023 and $20 million —June 30, 2022).</w:t>
        <w:br/>
        <w:t>Concentration risk</w:t>
        <w:br/>
        <w:t>Loan revenue comprises interest, commitment fees, loan origination fees and prepayment premiums, net of waivers.</w:t>
        <w:br/>
        <w:t>For the fiscal year ended June 30, 2024, there was no country that contributed more than 10% to the total loan</w:t>
        <w:br/>
        <w:t>revenue.</w:t>
        <w:br/>
        <w:t>IBRD’s loan revenue and associated loans outstanding by geographic region is presented in the following table:</w:t>
        <w:br/>
        <w:t>Table D8: Loan revenue and associated outstanding loan balances by geographic region</w:t>
        <w:br/>
        <w:t>In millions of U.S. dollars                                                 For the fiscal year ended and as of</w:t>
        <w:br/>
        <w:t xml:space="preserve">                                                                  June 30, 2024                            June 30, 2023</w:t>
        <w:br/>
        <w:t xml:space="preserve">                                                                              Loans                                      Loans</w:t>
        <w:br/>
        <w:t>Region                                                Loan Revenue a        Outstanding        Loan Revenue a          Outstanding</w:t>
        <w:br/>
        <w:t>Latin America and the Caribbean                      $       4,674        $      80,934       $       3,484          $      78,233</w:t>
        <w:br/>
        <w:t>East Asia and Pacific                                        3,154               52,621               2,315                 50,140</w:t>
        <w:br/>
        <w:t>Europe and Central Asia                                      2,769               54,838               1,605                 48,029</w:t>
        <w:br/>
        <w:t>Middle East and North Africa                                 1,860               35,300               1,313                 33,733</w:t>
        <w:br/>
        <w:t>South Asia                                                   1,655               26,415               1,136                 23,862</w:t>
        <w:br/>
        <w:t>Eastern and Southern Africa                                    524               11,014                 373                  8,001</w:t>
        <w:br/>
        <w:t>Western and Central Africa                                      76                2,068                  53                  1,898</w:t>
        <w:br/>
        <w:t>Total                                                $      14,712        $    263,190        $      10,279          $    243,896</w:t>
        <w:br/>
        <w:br/>
        <w:br/>
        <w:t>a. Excludes $1,268 million interest income from loan related derivatives for the fiscal year ended June 30, 2024 ($367 million—</w:t>
        <w:br/>
        <w:t xml:space="preserve">   fiscal year ended June 30, 2023). Includes commitment charges of $149 million for the fiscal year ended June 30, 2024 ($124</w:t>
        <w:br/>
        <w:t xml:space="preserve">   million—fiscal year ended June 30, 2023).</w:t>
        <w:br/>
        <w:br/>
        <w:t>For the fiscal year ended June 30, 2024, Interest revenue—Loans, net in the Statements of Income was $15,831</w:t>
        <w:br/>
        <w:t>million ($10,522 million—June 30, 2023 and $2,368 million —June 30, 2022). This includes $1,268 million of</w:t>
        <w:br/>
        <w:br/>
        <w:br/>
        <w:t>110     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interest income, net related to loan related derivatives associated with the Loan portfolio (interest income, net of</w:t>
        <w:br/>
        <w:t>$367 million June 30, 2023 and interest expense, net $871 million —June 30, 2022).</w:t>
        <w:br/>
        <w:br/>
        <w:t>NOTE E—BORROWINGS</w:t>
        <w:br/>
        <w:t>IBRD issues unsubordinated and unsecured fixed and variable rate debt in a variety of currencies. Variable rates are</w:t>
        <w:br/>
        <w:t>primarily based on exchange rates or market interest rates.</w:t>
        <w:br/>
        <w:t>Borrowings issued by IBRD are reported at fair value. As of June 30, 2024, 98% of the instruments were classified</w:t>
        <w:br/>
        <w:t>as Level 2 within the fair value hierarchy. In addition, most of these instruments were denominated in U.S. dollars</w:t>
        <w:br/>
        <w:t>and euro (63% and 15%, respectively).</w:t>
        <w:br/>
        <w:t>IBRD uses derivatives, reported at fair value, to manage the currency risk and the interest rate risk between its loans</w:t>
        <w:br/>
        <w:t>and borrowings. For details regarding the derivatives used, see Note F—Derivative Instruments.</w:t>
        <w:br/>
        <w:t>After the effect of these derivatives, the borrowing portfolio carried variable interest rates, with a weighted average</w:t>
        <w:br/>
        <w:t>cost of 5.54% as of June 30, 2024 (5.05% as of June 30, 2023).</w:t>
        <w:br/>
        <w:t>The following table summarizes IBRD’s borrowing portfolio, including derivatives:</w:t>
        <w:br/>
        <w:t>Table E1: Borrowings and borrowing-related derivatives</w:t>
        <w:br/>
        <w:t>In millions of U.S. dollars</w:t>
        <w:br/>
        <w:t xml:space="preserve">                                                                                   June 30, 2024       June 30, 2023</w:t>
        <w:br/>
        <w:t>Borrowings                                                                       $     261,790       $     237,265</w:t>
        <w:br/>
        <w:t>Currency swaps, net                                                                       7,427               8,697</w:t>
        <w:br/>
        <w:t>Interest rate swaps, net                                                                 17,900              20,866</w:t>
        <w:br/>
        <w:t>Total                                                                            $     287,117       $     266,828</w:t>
        <w:br/>
        <w:br/>
        <w:br/>
        <w:t>For the fiscal year ended June 30, 2024, Borrowing expenses, net in the Statements of Income was $15,215 million</w:t>
        <w:br/>
        <w:t>($9,562 million—June 30, 2023 and $750 million —June 30, 2022). This includes $7,781 million of interest</w:t>
        <w:br/>
        <w:t>expense, net related to derivatives associated with the Borrowing portfolio (interest expense, net of $4,237 million—</w:t>
        <w:br/>
        <w:t>June 30, 2023 and interest revenue, net of $2,317 million —June 30, 2022).</w:t>
        <w:br/>
        <w:t>The following table provides a summary of the interest rate characteristics of IBRD’s borrowings:</w:t>
        <w:br/>
        <w:t>Table E2: Interest rate composition of Borrowings</w:t>
        <w:br/>
        <w:t>In millions of U.S. dollars, except as otherwise noted</w:t>
        <w:br/>
        <w:t xml:space="preserve">                                                             June 30, 2024    WAC a (%)   June 30, 2023    WAC a (%)</w:t>
        <w:br/>
        <w:t>Fixed                                                        $    253,337       2.42      $    232,316       1.93</w:t>
        <w:br/>
        <w:t>Variable                                                            29,494      8.40             29,969       9.29</w:t>
        <w:br/>
        <w:t>Borrowings b                                                 $     282,831      3.04%     $     262,285       2.76%</w:t>
        <w:br/>
        <w:t>Fair Value Adjustment                                              (21,041)                     (25,020)</w:t>
        <w:br/>
        <w:t>Borrowings at fair value                                     $     261,790                $     237,265</w:t>
        <w:br/>
        <w:br/>
        <w:br/>
        <w:t>a. WAC refers to weighted average borrowings cost as of the reporting date.</w:t>
        <w:br/>
        <w:t>b. At amortized cost.</w:t>
        <w:br/>
        <w:br/>
        <w:t>The currency composition of IBRD’s borrowing portfolio before derivatives was as follows:</w:t>
        <w:br/>
        <w:t>Table E3: Currency composition of Borrowings (before derivatives)</w:t>
        <w:br/>
        <w:t xml:space="preserve">                                                                               June 30, 2024          June 30, 2023</w:t>
        <w:br/>
        <w:t>U.S. Dollar                                                                            62.6 %                 62.3 %</w:t>
        <w:br/>
        <w:t>Euro                                                                                   15.1                   13.6</w:t>
        <w:br/>
        <w:t>Others                                                                                 22.3                   24.1</w:t>
        <w:br/>
        <w:t xml:space="preserve">                                                                                      100.0 %                100.0 %</w:t>
        <w:br/>
        <w:br/>
        <w:br/>
        <w:t xml:space="preserve">                                                         IBRD FINANCIAL STATEMENTS: June 30, 2024                  111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maturity structure of IBRD’s borrowings outstanding was as follows:</w:t>
        <w:br/>
        <w:t>Table E4: Maturity structure of Borrowings</w:t>
        <w:br/>
        <w:t>In millions of U.S. dollars</w:t>
        <w:br/>
        <w:t xml:space="preserve">                                                                                June 30, 2024              June 30, 2023</w:t>
        <w:br/>
        <w:t>Less than 1 year                                                            $        41,955           $         38,996</w:t>
        <w:br/>
        <w:t>Between</w:t>
        <w:br/>
        <w:t xml:space="preserve">  1-2 years                                                                           32,883                     31,917</w:t>
        <w:br/>
        <w:t xml:space="preserve">  2-3 years                                                                           31,082                     29,004</w:t>
        <w:br/>
        <w:t xml:space="preserve">  3-4 years                                                                           29,994                     27,040</w:t>
        <w:br/>
        <w:t xml:space="preserve">  4-5 years                                                                           32,042                     25,850</w:t>
        <w:br/>
        <w:t>Thereafter                                                                            93,834                     84,458</w:t>
        <w:br/>
        <w:t xml:space="preserve">                                                                            $        261,790          $         237,265</w:t>
        <w:br/>
        <w:br/>
        <w:br/>
        <w:t>IBRD’s borrowings have original maturities ranging from 34 days to 50 years, with the final maturity in 2073.</w:t>
        <w:br/>
        <w:br/>
        <w:t>NOTE F—DERIVATIVE INSTRUMENTS</w:t>
        <w:br/>
        <w:t>IBRD uses derivative instruments in its investment, loan and borrowing portfolios, and for asset/liability</w:t>
        <w:br/>
        <w:t>management purposes. It also offers derivative intermediation services to clients and, concurrently, enters into</w:t>
        <w:br/>
        <w:t>offsetting transactions with market counterparties.</w:t>
        <w:br/>
        <w:t>The following table summarizes IBRD’s use of derivatives in its various financial portfolios:</w:t>
        <w:br/>
        <w:t>Portfolio                            Derivative instruments used                    Purpose / Risk being managed</w:t>
        <w:br/>
        <w:t>Risk management purposes:</w:t>
        <w:br/>
        <w:t xml:space="preserve">   Investments                Currency swaps, currency forward contracts,   Manage currency and interest rate risk</w:t>
        <w:br/>
        <w:t xml:space="preserve">                              interest rate swaps, options, swaptions and</w:t>
        <w:br/>
        <w:t xml:space="preserve">                              futures contracts, to-be-announced (TBA)</w:t>
        <w:br/>
        <w:t xml:space="preserve">                              securities</w:t>
        <w:br/>
        <w:t xml:space="preserve">   Loans                      Currency swaps and interest rate swaps        Manage currency risk and interest rate risk</w:t>
        <w:br/>
        <w:t xml:space="preserve">                                                                              between loans and borrowings</w:t>
        <w:br/>
        <w:t xml:space="preserve">   Borrowings                 Currency swaps and interest rate swaps        Manage currency risk and interest rate risk</w:t>
        <w:br/>
        <w:t xml:space="preserve">                                                                              between loans and borrowings</w:t>
        <w:br/>
        <w:t xml:space="preserve">   Other asset/liability      Currency swaps and interest rate swaps        Manage currency risk and the duration of IBRD’s</w:t>
        <w:br/>
        <w:t xml:space="preserve">   management derivatives                                                     equity</w:t>
        <w:br/>
        <w:t>Other purposes:</w:t>
        <w:br/>
        <w:t xml:space="preserve">   Client operations          Currency swaps, currency forward contracts,   Assist clients in managing risks</w:t>
        <w:br/>
        <w:t xml:space="preserve">                              and interest rate swaps</w:t>
        <w:br/>
        <w:br/>
        <w:t>Under client operations, derivative intermediation services are provided to the following:</w:t>
        <w:br/>
        <w:t>Borrowing Countries: Currency and interest rate swap transactions are executed between IBRD and its borrowers</w:t>
        <w:br/>
        <w:t>under master derivatives agreements.</w:t>
        <w:br/>
        <w:t>Non-Affiliated Organizations: IBRD has a master derivatives agreement with the International Finance Facility for</w:t>
        <w:br/>
        <w:t>Immunisation (IFFIm), under which several transactions have been executed.</w:t>
        <w:br/>
        <w:t>Affiliated Organizations: Derivative contracts are executed between IBRD and IDA, under an agreement allowing</w:t>
        <w:br/>
        <w:t>IBRD to intermediate derivative contracts on behalf of IDA.</w:t>
        <w:br/>
        <w:t>The derivatives in the related tables of Note F are presented on a net basis by instrument. A reconciliation to the</w:t>
        <w:br/>
        <w:t>presentation in the Balance Sheets is shown in Table F1.</w:t>
        <w:br/>
        <w:t>Offsetting assets and liabilities</w:t>
        <w:br/>
        <w:t>IBRD enters into International Swaps and Derivatives Association, Inc. (ISDA) master netting agreements with</w:t>
        <w:br/>
        <w:t>substantially all of its derivative counterparties. These legally enforceable master netting agreements give IBRD the</w:t>
        <w:br/>
        <w:br/>
        <w:br/>
        <w:t>112     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right to liquidate securities held as collateral and to offset receivables and payables with the same counterparty in the</w:t>
        <w:br/>
        <w:t>event of default by the counterparty.</w:t>
        <w:br/>
        <w:t>The following tables summarize the gross and net derivative positions by instrument type. Instruments that are in a</w:t>
        <w:br/>
        <w:t>net asset position are included in the Derivative Assets columns and instruments that are in a net liability position</w:t>
        <w:br/>
        <w:t>are included in the Derivative Liabilities columns. The effects of the ISDA master netting agreements are applied on</w:t>
        <w:br/>
        <w:t>an aggregate basis to the total derivative asset and liability positions and are presented net of any cash collateral</w:t>
        <w:br/>
        <w:t>received on the Balance Sheets. The net derivative asset positions in the tables below have been further reduced by</w:t>
        <w:br/>
        <w:t>any securities received as collateral to show IBRD’s net exposure on its derivative asset positions.</w:t>
        <w:br/>
        <w:t>Table F1: Derivative assets and liabilities before and after netting adjustments</w:t>
        <w:br/>
        <w:t>In millions of U.S. dollars</w:t>
        <w:br/>
        <w:t xml:space="preserve">                                                                 June 30, 2024                          June 30, 2023</w:t>
        <w:br/>
        <w:t xml:space="preserve">                                                           Derivative         Derivative          Derivative          Derivative</w:t>
        <w:br/>
        <w:t xml:space="preserve">                                                            Assets            Liabilities          Assets             Liabilities</w:t>
        <w:br/>
        <w:t>Interest rate swaps                                      $     7,977        $    24,759         $      8,193        $     28,172</w:t>
        <w:br/>
        <w:t>Currency swaps a                                               4,057              9,907                4,623              11,564</w:t>
        <w:br/>
        <w:t>Other b                                                             1                   –                   –                     6</w:t>
        <w:br/>
        <w:t>Gross Total                                              $   12,035         $    34,666         $     12,816        $     39,742</w:t>
        <w:br/>
        <w:t>Less:</w:t>
        <w:br/>
        <w:t>Amounts subject to legally enforceable master netting                   ᵈ                   ᵉ                   ᵈ                     ᵉ</w:t>
        <w:br/>
        <w:t xml:space="preserve"> agreements                                                    11,558            11,938              12,405               12,849</w:t>
        <w:br/>
        <w:t>Cash collateral received c                                         21                                   140</w:t>
        <w:br/>
        <w:t>Net derivative position on the Balance Sheet             $        456       $    22,728         $       271         $     26,893</w:t>
        <w:br/>
        <w:t>Less:</w:t>
        <w:br/>
        <w:t>Securities collateral received c                                  298                                    145</w:t>
        <w:br/>
        <w:t>Net derivative exposure after collateral                 $        158                           $        126</w:t>
        <w:br/>
        <w:br/>
        <w:t>a. Includes currency forward contracts.</w:t>
        <w:br/>
        <w:t>b. Relate to swaptions, options and futures contracts.</w:t>
        <w:br/>
        <w:t>c. Does not include excess collateral received.</w:t>
        <w:br/>
        <w:t>d. Includes $29 million Credit Valuation Adjustment (CVA) ($27 million—June 30, 2023).</w:t>
        <w:br/>
        <w:t>e. Includes $409 million Debit Valuation Adjustment (DVA) ($471 million—June 30, 2023).</w:t>
        <w:br/>
        <w:br/>
        <w:br/>
        <w:t xml:space="preserve">                                                        IBRD FINANCIAL STATEMENTS: June 30, 2024                                113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following tables provide information about the credit risk exposures at fair value of IBRD’s derivative</w:t>
        <w:br/>
        <w:t>instruments by portfolio, before the effects of master netting arrangements and collateral:</w:t>
        <w:br/>
        <w:t>Table F2: Credit risk exposure of the derivative instruments a</w:t>
        <w:br/>
        <w:t>In millions of U.S. dollars</w:t>
        <w:br/>
        <w:t xml:space="preserve">                                                                                June 30, 2024</w:t>
        <w:br/>
        <w:t xml:space="preserve">                                                                        Currency swaps (including</w:t>
        <w:br/>
        <w:t xml:space="preserve">                                                                            currency forward</w:t>
        <w:br/>
        <w:t>Portfolio                                        Interest rate swaps           contracts)                      Total</w:t>
        <w:br/>
        <w:t>Investments                                    $                  14    $                  812      $            826</w:t>
        <w:br/>
        <w:t>Loans                                                          5,893                     1,314                 7,207</w:t>
        <w:br/>
        <w:t>Client operations                                                274                       424                   698</w:t>
        <w:br/>
        <w:t>Borrowings                                                     1,555                     1,507                 3,062</w:t>
        <w:br/>
        <w:t>Other asset/liability management derivatives                     241                         –                   241</w:t>
        <w:br/>
        <w:t xml:space="preserve">  Total Exposure                               $               7,977    $                4,057      $         12,034</w:t>
        <w:br/>
        <w:br/>
        <w:br/>
        <w:t>Table F2.1</w:t>
        <w:br/>
        <w:t>In millions of U.S. dollars</w:t>
        <w:br/>
        <w:t xml:space="preserve">                                                                                June 30, 2023</w:t>
        <w:br/>
        <w:t xml:space="preserve">                                                                        Currency swaps (including</w:t>
        <w:br/>
        <w:t xml:space="preserve">                                                                            currency forward</w:t>
        <w:br/>
        <w:t>Portfolio                                        Interest rate swaps           contracts)                      Total</w:t>
        <w:br/>
        <w:t>Investments                                    $                  18    $                  926      $            944</w:t>
        <w:br/>
        <w:t>Loans                                                          6,032                     1,486                 7,518</w:t>
        <w:br/>
        <w:t>Client operations                                                323                       531                   854</w:t>
        <w:br/>
        <w:t>Borrowings                                                     1,415                     1,680                 3,095</w:t>
        <w:br/>
        <w:t>Other asset/liability management derivatives                     405                         –                   405</w:t>
        <w:br/>
        <w:t xml:space="preserve">  Total Exposure                               $               8,193    $                4,623      $         12,816</w:t>
        <w:br/>
        <w:br/>
        <w:t>a. Excludes exchange traded instruments as they are generally subject to daily margin requirements and are deemed to have no</w:t>
        <w:br/>
        <w:t xml:space="preserve">   material credit risk.</w:t>
        <w:br/>
        <w:br/>
        <w:t>The volume of derivative contracts is measured using the U.S. dollar equivalent notional balance. The notional</w:t>
        <w:br/>
        <w:t>balance represents the face value or reference value on which the calculations of payments on the derivative</w:t>
        <w:br/>
        <w:t>instruments are determined. As of June 30, 2024, the notional amounts of IBRD’s derivative contracts outstanding</w:t>
        <w:br/>
        <w:t>were as follows: interest rate swaps $436,783 million ($443,108 million—June 30, 2023), currency swaps $120,483</w:t>
        <w:br/>
        <w:t>million ($115,634 million—June 30, 2023), long positions of other derivatives $280 million ($360 million—</w:t>
        <w:br/>
        <w:t>June 30, 2023), and short positions of other derivatives $201 million ($113 million—June 30, 2023).</w:t>
        <w:br/>
        <w:t>IBRD is not required to post collateral under its derivative agreements as long as it maintains a triple-A credit rating.</w:t>
        <w:br/>
        <w:t>The aggregate fair value of all derivative instruments with credit-risk related contingent features that were in a</w:t>
        <w:br/>
        <w:t>liability position as of June 30, 2024 was $22,858 million ($27,110 million—June 30, 2023). IBRD has not posted</w:t>
        <w:br/>
        <w:t>any collateral with these counterparties due to its triple-A credit rating.</w:t>
        <w:br/>
        <w:t>If the credit risk related contingent features underlying these agreements were triggered to the extent that IBRD</w:t>
        <w:br/>
        <w:t>would be required to post collateral as of June 30, 2024, the amount of collateral that would need to be posted would</w:t>
        <w:br/>
        <w:t>be $18,593 million ($22,746 million—June 30, 2023). Subsequent triggers of contingent features would require</w:t>
        <w:br/>
        <w:t>posting of additional collateral, up to a maximum of $22,858 million ($27,110 million—June 30, 2023). IBRD</w:t>
        <w:br/>
        <w:t>received collateral totaling $343 million as of June 30, 2024 ($301 million—June 30, 2023), in relation to swap</w:t>
        <w:br/>
        <w:t>transactions (see Note C—Investments).</w:t>
        <w:br/>
        <w:br/>
        <w:br/>
        <w:t>114     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following table provides information on the unrealized mark-to-market gains and losses on the non-trading</w:t>
        <w:br/>
        <w:t>derivatives and their location on the Statements of Income:</w:t>
        <w:br/>
        <w:t>Table F3: Unrealized mark-to-market gains or losses on non-trading derivatives</w:t>
        <w:br/>
        <w:t>In millions of U.S. dollars</w:t>
        <w:br/>
        <w:t xml:space="preserve">                                                    Reported as:                     2024          2023              2022</w:t>
        <w:br/>
        <w:t>Interest rate swaps                         Unrealized mark-to-market        $        3,324   $   (4,948)        $ (13,844)</w:t>
        <w:br/>
        <w:t>Currency swaps (including currency            gains (losses) on non-</w:t>
        <w:br/>
        <w:t xml:space="preserve"> forward contracts and structured swaps)      trading portfolios, net                1,145          (867)           (4,336)</w:t>
        <w:br/>
        <w:t>Total                                                                        $       4,469    $   (5,815)        $ (18,180)</w:t>
        <w:br/>
        <w:br/>
        <w:br/>
        <w:t>All of the instruments in IBRD’s investment portfolio are held for trading purposes. Within the investment portfolio,</w:t>
        <w:br/>
        <w:t>IBRD holds highly rated fixed income securities, equity securities and derivatives. The trading portfolio is primarily</w:t>
        <w:br/>
        <w:t>held to ensure the availability of funds to meet future cash flow requirements and for liquidity management</w:t>
        <w:br/>
        <w:t>purposes.</w:t>
        <w:br/>
        <w:t>The following table provides information on the amount of unrealized mark-to-market gains and losses on the net</w:t>
        <w:br/>
        <w:t>Investment–Trading portfolio and their location on the Statements of Income:</w:t>
        <w:br/>
        <w:t>Table F4: Unrealized mark-to-market gains or losses on net investment-trading portfolio</w:t>
        <w:br/>
        <w:t>In millions of U.S. dollars</w:t>
        <w:br/>
        <w:t xml:space="preserve">                                              Reported as:                             2024           2023               2022</w:t>
        <w:br/>
        <w:t>Type of instrument a</w:t>
        <w:br/>
        <w:t xml:space="preserve">  Fixed income                 Unrealized mark-to-market gains (losses) on       $        7       $         10      $     (74)</w:t>
        <w:br/>
        <w:t xml:space="preserve">  Equity b                         Investments-Trading portfolio, net                    84                 74             (3)</w:t>
        <w:br/>
        <w:t>Total                                                                            $       91       $         84      $     (77)</w:t>
        <w:br/>
        <w:br/>
        <w:br/>
        <w:t>a. Amounts associated with each type of instrument include gains and losses on both derivative instruments and investment</w:t>
        <w:br/>
        <w:t xml:space="preserve">   securities.</w:t>
        <w:br/>
        <w:t>b. Related to PEBP holdings.</w:t>
        <w:br/>
        <w:br/>
        <w:br/>
        <w:t xml:space="preserve">                                                         IBRD FINANCIAL STATEMENTS: June 30, 2024                                115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NOTE G—RETAINED EARNINGS, ALLOCATIONS AND TRANSFERS</w:t>
        <w:br/>
        <w:t>The changes in the components of Retained Earnings are summarized below:</w:t>
        <w:br/>
        <w:t>Table G1: Retained Earnings composition a</w:t>
        <w:br/>
        <w:t>In millions of U.S. dollars</w:t>
        <w:br/>
        <w:t xml:space="preserve">                                                                              Cumulative     Unallocated        Restricted</w:t>
        <w:br/>
        <w:t xml:space="preserve">                              Special    General     Pension                   Fair Value    Net Income         Retained       Other</w:t>
        <w:br/>
        <w:t xml:space="preserve">                              Reserve    Reserve     Reserve      Surplus     Adjustments     (Loss) b          Earnings     reserves d       Total</w:t>
        <w:br/>
        <w:t>As of June 30, 2021               293     30,387          731          100        (3,303)         2,450                54          295       31,007</w:t>
        <w:br/>
        <w:t>Net income allocation b            —       1,077           (38)        100        1,218           (2,177)             (12)         (168)          —</w:t>
        <w:br/>
        <w:t>Board of Governors-</w:t>
        <w:br/>
        <w:t>approved transfers</w:t>
        <w:br/>
        <w:t>funded from Surplus</w:t>
        <w:br/>
        <w:t>and other transfers c              —          —            —          (100)           —               80               —             20           —</w:t>
        <w:br/>
        <w:t>Net income for the year            —          —            —            —             —           3,990                —             —        3,990</w:t>
        <w:br/>
        <w:t>As of June 30, 2022               293     31,464          693          100        (2,085)         4,343                42          147       34,997</w:t>
        <w:br/>
        <w:t>Net income allocation b            —        589            46          100        3,356           (4,227)             (21)         157            —</w:t>
        <w:br/>
        <w:t>Board of Governors-</w:t>
        <w:br/>
        <w:t>approved transfers</w:t>
        <w:br/>
        <w:t>funded from Surplus</w:t>
        <w:br/>
        <w:t>and other transfers c              —          —            —           (80)           —             104                —           (24)           —</w:t>
        <w:br/>
        <w:t>Net income for the year            —          —            —            —             —           1,144                —             —        1,144</w:t>
        <w:br/>
        <w:t>As of June 30, 2023               293     32,053          739          120        1,271           1,364                21          280       36,141</w:t>
        <w:br/>
        <w:t>Net income allocation b            —        921           192          100         (168)         (1,073)              (10)           38           —</w:t>
        <w:br/>
        <w:t>Board of Governors-</w:t>
        <w:br/>
        <w:t>approved transfers</w:t>
        <w:br/>
        <w:t>funded from Surplus</w:t>
        <w:br/>
        <w:t>and other transfers c              —          —            —          (120)           —               80               —             40           —</w:t>
        <w:br/>
        <w:t>Transfer from Pension</w:t>
        <w:br/>
        <w:t>reserve to General</w:t>
        <w:br/>
        <w:t>reserve                            —        250         (250)           —             —               —                —             —            —</w:t>
        <w:br/>
        <w:t>Net income for the year            —          —            —            —             —           2,142                —             —        2,142</w:t>
        <w:br/>
        <w:t>As of June 30, 2024           $   293   $ 33,224    $     681     $    100    $   1,103      $    2,513     $          11    $     358     $ 38,283</w:t>
        <w:br/>
        <w:br/>
        <w:br/>
        <w:t>a. See Note A for details of the components of Retained Earnings.</w:t>
        <w:br/>
        <w:t>b. Amounts retained as Surplus from the allocation of net income are approved by the Board of Governors.</w:t>
        <w:br/>
        <w:t>c. A concurrent transfer is made from Surplus to Unallocated Net Income (Loss) for all transfers reported in the Statements of Income and authorized</w:t>
        <w:br/>
        <w:t xml:space="preserve">   to be funded from Surplus.</w:t>
        <w:br/>
        <w:t>d. Comprised of non-functional currency translation gains/losses, the unutilized portion of the transfer to the IBRD Fund for Innovative Global Public</w:t>
        <w:br/>
        <w:t xml:space="preserve">   Goods Solutions (subsequently renamed the IBRD Surplus-Funded Livable Planet Fund or LPF1), and revenue from prior years which is set aside</w:t>
        <w:br/>
        <w:t xml:space="preserve">   for a dedicated purpose.</w:t>
        <w:br/>
        <w:br/>
        <w:t>IBRD makes net income allocation decisions on the basis of reported net income, adjusted to exclude unrealized</w:t>
        <w:br/>
        <w:t>mark-to-market gains and losses on non-trading portfolios, net, restricted income, Board of Governors-approved and</w:t>
        <w:br/>
        <w:t>other transfers, non-functional currency translation adjustments and the allocation to the pension reserve.</w:t>
        <w:br/>
        <w:t>On June 13, 2024, IBRD’s Board approved a release of $250 million from the Pension Reserve to the General</w:t>
        <w:br/>
        <w:t>Reserve.</w:t>
        <w:br/>
        <w:br/>
        <w:br/>
        <w:t>116      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On August 3, 2023, IBRD’s Executive Directors approved the following adjustments and allocations relating to the</w:t>
        <w:br/>
        <w:t>net income earned in the fiscal year ended June 30, 2023, to arrive at allocable income for that fiscal year:</w:t>
        <w:br/>
        <w:t>In millions of U.S. dollars</w:t>
        <w:br/>
        <w:t>Adjustments and Allocations                                                                                                   Increase (decrease)</w:t>
        <w:br/>
        <w:t>Cumulative Fair Value Adjustments, for the Unrealized mark-to-market gain on non-trading portfolios (this excludes realized              (168)</w:t>
        <w:br/>
        <w:t>amounts).</w:t>
        <w:br/>
        <w:t>Board of Governors-approved transfers, relating to income earned in prior fiscal years (See Table G2)                                     221</w:t>
        <w:br/>
        <w:t>General Reserve                                                                                                                           921</w:t>
        <w:br/>
        <w:t>Pension Reserve                                                                                                                           192</w:t>
        <w:br/>
        <w:t>Other reserves                                                                                                                             38</w:t>
        <w:br/>
        <w:t>Restricted Retained Earnings                                                                                                              (10)</w:t>
        <w:br/>
        <w:br/>
        <w:br/>
        <w:t>On August 21, 2023, IBRD’s Board of Governors approved a transfer of $80 million from Surplus to the Trust fund</w:t>
        <w:br/>
        <w:t>for Gaza and the West Bank and $40 million from Surplus to the IBRD Fund for Innovative Global Public Goods</w:t>
        <w:br/>
        <w:t>Solutions (subsequently renamed the IBRD Surplus-Funded Livable Planet Fund or LPF1). The transfers were made</w:t>
        <w:br/>
        <w:t>on September 6, 2023 and September 12, 2023 respectively.</w:t>
        <w:br/>
        <w:t>During the fiscal year ended June 30, 2024, no grants were made by the LPF1, therefore no contribution expense</w:t>
        <w:br/>
        <w:t>was recognized in the Statement of Income. Unutilized LPF1 contributions are included in Retained Earnings -</w:t>
        <w:br/>
        <w:t>Other Reserves on the Condensed Balance Sheet ($101 million —June 30, 2024 and $61 million —June 30, 2023).</w:t>
        <w:br/>
        <w:t>On October 13, 2023, IBRD’s Board of Governors approved a transfer to IDA of $291 million and a transfer of $100</w:t>
        <w:br/>
        <w:t>million to Surplus out of the net income earned in the fiscal year ended June 30, 2023. The transfer to IDA was</w:t>
        <w:br/>
        <w:t>made on October 24, 2023.</w:t>
        <w:br/>
        <w:t>Board of Governors-approved and other transfers that were expensed during the stated fiscal years are included in</w:t>
        <w:br/>
        <w:t>the following table:</w:t>
        <w:br/>
        <w:t>Table G2: Board of Governors-approved and other transfers expensed</w:t>
        <w:br/>
        <w:t>In millions of U.S. dollars</w:t>
        <w:br/>
        <w:t>Transfers funded from:                                                                   2024                   2023                  2022</w:t>
        <w:br/>
        <w:t>Unallocated Net Income:</w:t>
        <w:br/>
        <w:t xml:space="preserve">   IDA                                                                           $         291           $        117          $        274</w:t>
        <w:br/>
        <w:t>Surplus:</w:t>
        <w:br/>
        <w:t xml:space="preserve">   Trust fund for Gaza and West Bank                                                        80                     80                    80</w:t>
        <w:br/>
        <w:t>Other reserves:</w:t>
        <w:br/>
        <w:t xml:space="preserve">   LPF1                                                                                     —                      24                    —</w:t>
        <w:br/>
        <w:t>Total                                                                            $         371           $        221          $        354</w:t>
        <w:br/>
        <w:br/>
        <w:br/>
        <w:t>There were no amounts payable for the transfers approved by the Board of Governors as of June 30, 2024, and</w:t>
        <w:br/>
        <w:t>June 30, 2023.</w:t>
        <w:br/>
        <w:br/>
        <w:t>NOTE H—TRANSACTIONS WITH AFFILIATED ORGANIZATIONS</w:t>
        <w:br/>
        <w:t>IBRD transacts with affiliated organizations by providing loans, administrative, derivative and investment</w:t>
        <w:br/>
        <w:t>intermediation services, and through its pension and other postretirement benefit plans.</w:t>
        <w:br/>
        <w:t>In addition, IBRD provides transfers to IDA out of its net income, upon approval by the Board of Governors (see</w:t>
        <w:br/>
        <w:t>Note G—Retained Earnings, Allocations and Transfers).</w:t>
        <w:br/>
        <w:br/>
        <w:br/>
        <w:t xml:space="preserve">                                                                  IBRD FINANCIAL STATEMENTS: June 30, 2024                                      117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IBRD had the following receivables from (payables to) its affiliated organizations:</w:t>
        <w:br/>
        <w:t>Table H1: IBRD’s receivables and payables with affiliated organizations</w:t>
        <w:br/>
        <w:t>In millions of U.S. dollars</w:t>
        <w:br/>
        <w:t xml:space="preserve">                                                       June 30, 2024                                June 30, 2023</w:t>
        <w:br/>
        <w:t xml:space="preserve">                                            IDA       IFC        MIGA         Total      IDA       IFC        MIGA        Total</w:t>
        <w:br/>
        <w:t xml:space="preserve"> Receivable for administrative</w:t>
        <w:br/>
        <w:t xml:space="preserve">  services, net                        $      279 $       1 $        16   $      296 $     594 $      35 $       10   $      639</w:t>
        <w:br/>
        <w:t xml:space="preserve"> Payable for PCRF investments                (489)     (344)         —          (833)     (579)     (385)        —          (964)</w:t>
        <w:br/>
        <w:t xml:space="preserve"> Pension and other postretirement</w:t>
        <w:br/>
        <w:t xml:space="preserve">  benefits                                 (906)     (774)          (30)   (1,710)        (712)     (704)       (27)   (1,443)</w:t>
        <w:br/>
        <w:t xml:space="preserve"> Total                                 $ (1,116) $ (1,117) $        (14) $ (2,247) $      (697) $ (1,054) $     (17) $ (1,768)</w:t>
        <w:br/>
        <w:br/>
        <w:br/>
        <w:t>The receivables from (payables to) these affiliated organizations are reported on the Balance Sheets as follows:</w:t>
        <w:br/>
        <w:t>Receivables / Payables related to:                              Reported as:</w:t>
        <w:br/>
        <w:t>Administrative services                                         Other assets</w:t>
        <w:br/>
        <w:t>PCRF investments                                                Other liabilities</w:t>
        <w:br/>
        <w:t>Pension and other postretirement benefits                       Other liabilities</w:t>
        <w:br/>
        <w:br/>
        <w:t>Loans and Other Exposures</w:t>
        <w:br/>
        <w:t>IBRD has a Local Currency Loan Facility Agreement with IFC, which is capped at $300 million. As of June 30,</w:t>
        <w:br/>
        <w:t>2024 and June 30, 2023, there were no loans outstanding under this facility.</w:t>
        <w:br/>
        <w:t>During the fiscal year ended June 30, 2014, IBRD entered into an exposure exchange agreement with MIGA under</w:t>
        <w:br/>
        <w:t>which IBRD and MIGA exchanged selected exposures, with each divesting exposure in countries where their</w:t>
        <w:br/>
        <w:t>lending capacities are limited, in return for exposure in countries where they have excess lending capacity. Under</w:t>
        <w:br/>
        <w:t>the agreement, IBRD and MIGA have each exchanged $120 million of notional exposure as follows: MIGA</w:t>
        <w:br/>
        <w:t>assumes IBRD's loan principal and interest exposure in exchange for IBRD's assumption of principal and interest</w:t>
        <w:br/>
        <w:t>exposure of MIGA under its Non-Honoring of Sovereign Financial Obligation agreement. As of June 30, 2024, there</w:t>
        <w:br/>
        <w:t>are no assets related to IBRD’s right to be indemnified under this agreement (less than $1 million—June 30, 2023),</w:t>
        <w:br/>
        <w:t>and no liabilities related to IBRD’s obligation under this agreement (less than $1 million—June 30, 2023).</w:t>
        <w:br/>
        <w:t>Administrative Services</w:t>
        <w:br/>
        <w:t>Expenses jointly incurred by IBRD and IDA are allocated based on an agreed cost-sharing methodology, and</w:t>
        <w:br/>
        <w:t>amounts are settled quarterly. For the fiscal year ended June 30, 2024, IBRD’s administrative expenses exclude the</w:t>
        <w:br/>
        <w:t>share of expenses allocated to IDA of $1,750 million ($1,744 million—fiscal year ended June 30, 2023 and $1,644</w:t>
        <w:br/>
        <w:t>million fiscal year ended June 30, 2022).</w:t>
        <w:br/>
        <w:t>Revenue</w:t>
        <w:br/>
        <w:t>Revenue jointly earned by IBRD and IDA is allocated based on an agreed revenue-sharing methodology and</w:t>
        <w:br/>
        <w:t>amounts are settled quarterly. For the fiscal year ended June 30, 2024, IBRD’s other revenue excludes revenue</w:t>
        <w:br/>
        <w:t>allocated to IDA of $326 million ($280 million—fiscal year ended June 30, 2023 and $252 million fiscal year ended</w:t>
        <w:br/>
        <w:t>June 30, 2022), and is included in Revenue from externally funded activities on the Statements of Income. This</w:t>
        <w:br/>
        <w:t>revenue also includes revenue from contracts with clients that are not affiliated with IBRD and are as follows:</w:t>
        <w:br/>
        <w:br/>
        <w:br/>
        <w:t>118     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H2: Revenue from contracts with clients</w:t>
        <w:br/>
        <w:t>In millions of U.S. dollars</w:t>
        <w:br/>
        <w:t xml:space="preserve">                                                                      2024                 2023                 2022</w:t>
        <w:br/>
        <w:t>Trust fund fees                                                   $   192         $        119            $      93</w:t>
        <w:br/>
        <w:t>Reimbursable advisory services                                         91                   99                   88</w:t>
        <w:br/>
        <w:t>Asset management services                                              33                   31                   30</w:t>
        <w:br/>
        <w:t>Total                                                             $   316         $        249            $     211</w:t>
        <w:br/>
        <w:t xml:space="preserve">  Of which:</w:t>
        <w:br/>
        <w:t xml:space="preserve">    IBRD’s share                                                  $   163         $        130            $     113</w:t>
        <w:br/>
        <w:t xml:space="preserve">    IDA’s share                                                       153                  119                   98</w:t>
        <w:br/>
        <w:br/>
        <w:br/>
        <w:t>Each revenue stream represents compensation for services provided and the related revenue is recognized over time.</w:t>
        <w:br/>
        <w:t>When IBRD performs services, its rights to consideration are deemed unconditional and are classified as</w:t>
        <w:br/>
        <w:t>receivables. IBRD also has an obligation to provide certain services for which it has received consideration in</w:t>
        <w:br/>
        <w:t>advance. Such consideration is presented as contract liability and is subsequently recognized as revenue when the</w:t>
        <w:br/>
        <w:t>related performance obligation is satisfied.</w:t>
        <w:br/>
        <w:t>The following table shows IBRD’s receivables and contract liabilities related to revenue from contracts with clients:</w:t>
        <w:br/>
        <w:t>Table H3: Receivables and contract liabilities related to revenue from contracts with clients</w:t>
        <w:br/>
        <w:t>In millions of U.S. dollars</w:t>
        <w:br/>
        <w:t xml:space="preserve">                                                                                          June 30, 2024       June 30, 2023</w:t>
        <w:br/>
        <w:t>Receivables                                                                           $          111          $         125</w:t>
        <w:br/>
        <w:t>Contract liabilities                                                                             185                    181</w:t>
        <w:br/>
        <w:br/>
        <w:br/>
        <w:t>The amount of fee revenue associated with services provided to affiliated organizations that is included in Revenue</w:t>
        <w:br/>
        <w:t>from externally funded activities in the Statements of Income, is as follows:</w:t>
        <w:br/>
        <w:t>Table H4: Fee revenue from affiliated organizations</w:t>
        <w:br/>
        <w:t>In millions of U.S. dollars</w:t>
        <w:br/>
        <w:t xml:space="preserve">                                                           2024                  2023                         2022</w:t>
        <w:br/>
        <w:t>Fees charged to IFC                                $        105             $     102               $           97</w:t>
        <w:br/>
        <w:t>Fees charged to MIGA                                          7                     7                            6</w:t>
        <w:br/>
        <w:br/>
        <w:br/>
        <w:t>Investments</w:t>
        <w:br/>
        <w:t>These relate to investments that IBRD has made on behalf of IFC, associated with the PCRF and are included in</w:t>
        <w:br/>
        <w:t>Investments-Trading on IBRD’s Balance Sheets. The corresponding payable to IFC is included in Other liabilities –</w:t>
        <w:br/>
        <w:t>Accounts payable and miscellaneous liabilities on IBRD’s Balance Sheets. As a result, there is no impact on IBRD’s</w:t>
        <w:br/>
        <w:t>net asset value from these transactions.</w:t>
        <w:br/>
        <w:t>Pension and Other Postretirement Benefits</w:t>
        <w:br/>
        <w:t>The payable to IDA represents IDA’s net share of prepaid costs for pension and other postretirement benefit plans</w:t>
        <w:br/>
        <w:t>and PEBP assets. These will be realized over the life of the pension plan participants. The payables to IFC and</w:t>
        <w:br/>
        <w:t>MIGA represent their respective share of PEBP assets.</w:t>
        <w:br/>
        <w:t>The PEBP assets are managed by IBRD and are part of the investment portfolio. For Pension and Other</w:t>
        <w:br/>
        <w:t>Postretirement Benefits related disclosures, see Note K—Pension and Other Postretirement Benefits.</w:t>
        <w:br/>
        <w:br/>
        <w:br/>
        <w:t xml:space="preserve">                                                       IBRD FINANCIAL STATEMENTS: June 30, 2024                        119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NOTE I—ACCUMULATED OTHER COMPREHENSIVE INCOME</w:t>
        <w:br/>
        <w:t>Comprehensive income or loss consists of net income and other gains and losses affecting equity that, under U.S.</w:t>
        <w:br/>
        <w:t>GAAP, are excluded from net income. Other comprehensive income (loss) comprises currency translation</w:t>
        <w:br/>
        <w:t>adjustments on assets and liabilities denominated in euro, DVA on Fair Value Option elected liabilities, and pension</w:t>
        <w:br/>
        <w:t>related items. These items are presented in the Statements of Comprehensive Income.</w:t>
        <w:br/>
        <w:t>The following tables present the changes in Accumulated Other Comprehensive Income (AOCI) and Accumulated</w:t>
        <w:br/>
        <w:t>Other Comprehensive Loss (AOCL):</w:t>
        <w:br/>
        <w:t>Table I1: AOCI/AOCL changes</w:t>
        <w:br/>
        <w:t>In millions of U.S. dollars</w:t>
        <w:br/>
        <w:t xml:space="preserve">                                                                                        2024</w:t>
        <w:br/>
        <w:t xml:space="preserve">                                                                                      Amounts</w:t>
        <w:br/>
        <w:t xml:space="preserve">                                                   Balance,                          reclassified    Net Changes   Balance, end</w:t>
        <w:br/>
        <w:t xml:space="preserve">                                                 beginning of         Changes          into net       during the    of the fiscal</w:t>
        <w:br/>
        <w:t xml:space="preserve">                                                the fiscal year       in AOCI          income           period          year</w:t>
        <w:br/>
        <w:br/>
        <w:br/>
        <w:t>Cumulative Translation Adjustments              $       (295)     $      (150)   $             —     $    (150)    $      (445)</w:t>
        <w:br/>
        <w:t>DVA on Fair Value Option elected liabilities             351              321                  1           322             673</w:t>
        <w:br/>
        <w:t>Unrecognized Net Actuarial Gains (Losses) on</w:t>
        <w:br/>
        <w:t xml:space="preserve">  Benefit Plans                                        3,490              318               (67) ᵃ         251           3,741</w:t>
        <w:br/>
        <w:t>Unrecognized Prior Service (Costs) Credits on</w:t>
        <w:br/>
        <w:t xml:space="preserve">  Benefit Plans                                          (23)                –                8 ᵃ            8             (15)</w:t>
        <w:br/>
        <w:t>Total AOCI                                      $      3,523      $       489    $          (58)     $     431     $     3,954</w:t>
        <w:br/>
        <w:br/>
        <w:br/>
        <w:t>Table I1.1:</w:t>
        <w:br/>
        <w:t>In millions of U.S. dollars</w:t>
        <w:br/>
        <w:t xml:space="preserve">                                                                                        2023</w:t>
        <w:br/>
        <w:t xml:space="preserve">                                                                                      Amounts</w:t>
        <w:br/>
        <w:t xml:space="preserve">                                                   Balance,                          reclassified    Net Changes   Balance, end</w:t>
        <w:br/>
        <w:t xml:space="preserve">                                                 beginning of         Changes          into net       during the    of the fiscal</w:t>
        <w:br/>
        <w:t xml:space="preserve">                                                the fiscal year       in AOCL          income           period          year</w:t>
        <w:br/>
        <w:br/>
        <w:br/>
        <w:t>Cumulative Translation Adjustments              $       (790)     $      495     $            —      $      495    $      (295)</w:t>
        <w:br/>
        <w:t>DVA on Fair Value Option elected liabilities             364              (60)               47             (13)           351</w:t>
        <w:br/>
        <w:t>Unrecognized Net Actuarial Gains (Losses) on</w:t>
        <w:br/>
        <w:t xml:space="preserve">  Benefit Plans                                        1,387            2,131               (28) ᵃ        2,103          3,490</w:t>
        <w:br/>
        <w:t>Unrecognized Prior Service (Costs) Credits on</w:t>
        <w:br/>
        <w:t xml:space="preserve">  Benefit Plans                                          (43)               –                20 ᵃ            20            (23)</w:t>
        <w:br/>
        <w:t>Total AOCI                                      $        918      $     2,566    $           39      $    2,605    $     3,523</w:t>
        <w:br/>
        <w:br/>
        <w:br/>
        <w:t>120     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I1.2:</w:t>
        <w:br/>
        <w:t>In millions of U.S. dollars</w:t>
        <w:br/>
        <w:t xml:space="preserve">                                                                                              2022</w:t>
        <w:br/>
        <w:t xml:space="preserve">                                                                                            Amounts</w:t>
        <w:br/>
        <w:t xml:space="preserve">                                                        Balance,                           reclassified     Net Changes   Balance, end</w:t>
        <w:br/>
        <w:t xml:space="preserve">                                                      beginning of         Changes           into net        during the    of the fiscal</w:t>
        <w:br/>
        <w:t xml:space="preserve">                                                     the fiscal year       in AOCL           income            period          year</w:t>
        <w:br/>
        <w:br/>
        <w:br/>
        <w:t>Cumulative Translation Adjustments                   $        359      $     (1,149)   $             —      $   (1,149)   $      (790)</w:t>
        <w:br/>
        <w:t>DVA on Fair Value Option elected liabilities                 (218)              564                  18            582            364</w:t>
        <w:br/>
        <w:t>Unrecognized Net Actuarial Gains (Losses) on</w:t>
        <w:br/>
        <w:t xml:space="preserve">  Benefit Plans                                             (1,640)           2,974                  53 ᵃ        3,027          1,387</w:t>
        <w:br/>
        <w:t>Unrecognized Prior Service (Costs) Credits on</w:t>
        <w:br/>
        <w:t xml:space="preserve">  Benefit Plans                                                (66)               –                  23 ᵃ           23            (43)</w:t>
        <w:br/>
        <w:t>Total AOCI                                           $      (1,565)    $      2,389    $             94   $      2,483    $       918</w:t>
        <w:br/>
        <w:br/>
        <w:t>a. See Note K—Pension and Other Post Retirement Benefits.</w:t>
        <w:br/>
        <w:br/>
        <w:br/>
        <w:t>NOTE J— FAIR VALUE DISCLOSURES</w:t>
        <w:br/>
        <w:t>Valuation Methods and Assumptions</w:t>
        <w:br/>
        <w:t>As of June 30, 2024 and June 30, 2023, IBRD had no assets or liabilities measured at fair value on a non-recurring</w:t>
        <w:br/>
        <w:t>basis.</w:t>
        <w:br/>
        <w:t>Due from Banks</w:t>
        <w:br/>
        <w:t>The carrying amount of unrestricted and restricted cash is considered a reasonable estimate of the fair value of these</w:t>
        <w:br/>
        <w:t>positions.</w:t>
        <w:br/>
        <w:t>Loans and Loan commitments</w:t>
        <w:br/>
        <w:t>There were no loans carried at fair value as of June 30, 2024 or June 30, 2023. IBRD’s loans and loan commitments</w:t>
        <w:br/>
        <w:t>would be classified as Level 3 within the fair value hierarchy.</w:t>
        <w:br/>
        <w:t>Summarized below are the techniques applied in determining the fair values of IBRD’s financial instruments.</w:t>
        <w:br/>
        <w:t>Investment securities</w:t>
        <w:br/>
        <w:t>Investment securities are classified based on management’s intention on the date of purchase, their nature, and</w:t>
        <w:br/>
        <w:t>IBRD’s policies governing the level and use of such investments. As of June 30, 2024, all of the financial</w:t>
        <w:br/>
        <w:t>instruments in IBRD’s investment portfolio were classified as trading. These securities are carried and reported at</w:t>
        <w:br/>
        <w:t>fair value, or at face value or NAV, which approximates fair value. Where available, quoted market prices are used</w:t>
        <w:br/>
        <w:t>to determine the fair value of trading securities. Examples include most government and agency securities, mutual</w:t>
        <w:br/>
        <w:t>funds, exchange-traded equity securities and ABS securities.</w:t>
        <w:br/>
        <w:t>For instruments for which market quotations are not available, fair values are determined using model-based</w:t>
        <w:br/>
        <w:t>valuation techniques, whether internally generated or vendor-supplied, that include the standard discounted cash</w:t>
        <w:br/>
        <w:t>flow method using observable market inputs such as yield curves, credit spreads, and conditional prepayment rates.</w:t>
        <w:br/>
        <w:t>Where applicable, unobservable inputs such as conditional prepayment rates, probability of default and loss severity</w:t>
        <w:br/>
        <w:t>are used. Unless quoted prices are available, time deposits are reported at face value, which approximates fair value,</w:t>
        <w:br/>
        <w:t>as they are short term in nature.</w:t>
        <w:br/>
        <w:t>Securities purchased under resale agreements, Securities sold under repurchase agreements, and Securities lent</w:t>
        <w:br/>
        <w:t>under securities lending agreements</w:t>
        <w:br/>
        <w:t>These securities are of a short-term nature and reported at face value, which approximates fair value.</w:t>
        <w:br/>
        <w:br/>
        <w:br/>
        <w:t xml:space="preserve">                                                             IBRD FINANCIAL STATEMENTS: June 30, 2024                               121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Discount notes and vanilla bonds</w:t>
        <w:br/>
        <w:t>Discount notes and vanilla bonds issued by IBRD are valued using the standard discounted cash flow method which</w:t>
        <w:br/>
        <w:t>relies on observable market inputs such as yield curves, foreign exchange rates, basis spreads and funding spreads.</w:t>
        <w:br/>
        <w:t>Where available, quoted market prices are used to determine the fair value of short-term notes, as well as some</w:t>
        <w:br/>
        <w:t>floating rate notes of longer maturity.</w:t>
        <w:br/>
        <w:t>Structured bonds</w:t>
        <w:br/>
        <w:t>Structured bonds issued by IBRD have coupon or repayment terms linked to the level or the performance of interest</w:t>
        <w:br/>
        <w:t>rates, foreign exchange rates, equity indices, catastrophic events, or commodities. The fair value of the structured</w:t>
        <w:br/>
        <w:t>bonds is generally derived using the discounted cash flow method based on estimated future pay-offs determined by</w:t>
        <w:br/>
        <w:t>applicable models and computation of embedded optionality such as caps, floors and calls. A wide range of industry</w:t>
        <w:br/>
        <w:t>standard models such as one factor Hull-White, Generalized Forward Market Model and Black-Scholes are used</w:t>
        <w:br/>
        <w:t>depending on the specific structure. These models incorporate observable market inputs, such as yield curves,</w:t>
        <w:br/>
        <w:t>foreign exchange rates, basis spreads, funding spreads, interest rate volatilities, equity index volatilities and equity</w:t>
        <w:br/>
        <w:t>indices. Where applicable, the models also incorporate significant unobservable inputs such as correlations between</w:t>
        <w:br/>
        <w:t>relevant market data and long-dated interest rate volatilities. Generally, the movements in correlations are</w:t>
        <w:br/>
        <w:t>considered to be independent of movements in long-dated interest rate volatilities.</w:t>
        <w:br/>
        <w:t>Derivative instruments</w:t>
        <w:br/>
        <w:t>Derivative contracts include currency forward contracts, TBA securities, swaptions, options and futures contracts,</w:t>
        <w:br/>
        <w:t>currency swaps and interest rate swaps. Currency swaps and interest rate swaps are either plain vanilla or structured.</w:t>
        <w:br/>
        <w:t>Currency forward contracts and plain vanilla currency and interest rate swaps are valued using the standard</w:t>
        <w:br/>
        <w:t>discounted cash flow methods using observable market inputs such as yield curves, foreign exchange rates, basis</w:t>
        <w:br/>
        <w:t>spreads and funding spreads. For structured currency and interest rate swaps, which primarily consist of callable</w:t>
        <w:br/>
        <w:t>swaps linked to interest rates, foreign exchange rates, and equity indices, valuation models and inputs similar to the</w:t>
        <w:br/>
        <w:t>ones applicable to the valuation of structured bonds are used. Where applicable, the models also incorporate</w:t>
        <w:br/>
        <w:t>significant unobservable inputs such as correlations and long-dated interest rate volatilities.</w:t>
        <w:br/>
        <w:t>Valuation adjustments on fair value option elected liabilities</w:t>
        <w:br/>
        <w:t>The DVA on fair value option elected liabilities is measured by revaluing each liability to determine the changes in</w:t>
        <w:br/>
        <w:t>fair value of that liability arising from changes in IBRD’s funding spread applicable to the relevant reference rate.</w:t>
        <w:br/>
        <w:br/>
        <w:br/>
        <w:t>122   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table below presents IBRD’s estimates of fair value of its financial assets and liabilities along with their</w:t>
        <w:br/>
        <w:t>respective carrying amounts:</w:t>
        <w:br/>
        <w:t>Table J1: Fair value and carrying amount of financial assets and liabilities</w:t>
        <w:br/>
        <w:t>In millions of U.S. dollars</w:t>
        <w:br/>
        <w:t xml:space="preserve">                                                      June 30, 2024                      June 30, 2023</w:t>
        <w:br/>
        <w:t xml:space="preserve">                                             Carrying Value       Fair Value    Carrying Value       Fair Value</w:t>
        <w:br/>
        <w:t>Assets</w:t>
        <w:br/>
        <w:t>Due from banks                               $         490    $           490   $         547    $           547</w:t>
        <w:br/>
        <w:t>Investments-Trading (including Securities</w:t>
        <w:br/>
        <w:t xml:space="preserve">   purchased under resale agreements)               82,807             82,807          79,277             79,277</w:t>
        <w:br/>
        <w:t>Net loans outstanding                              260,236            257,415         241,041            236,521</w:t>
        <w:br/>
        <w:t>Derivative assets, net                                 456                456             271                271</w:t>
        <w:br/>
        <w:t>Miscellaneous assets                                    88                 88              55                 55</w:t>
        <w:br/>
        <w:br/>
        <w:br/>
        <w:t>Liabilities</w:t>
        <w:br/>
        <w:t>Borrowings                                   $     261,790    $       261,790   $     237,265    $       237,265</w:t>
        <w:br/>
        <w:t>Securities sold/lent under repurchase</w:t>
        <w:br/>
        <w:t xml:space="preserve">  agreements/securities lending agreements</w:t>
        <w:br/>
        <w:t xml:space="preserve">  and payable for cash collateral received             256                256               9                     9</w:t>
        <w:br/>
        <w:t>Derivative liabilities, net                         22,728             22,728          26,893             26,893</w:t>
        <w:br/>
        <w:br/>
        <w:br/>
        <w:t>As of June 30, 2024, IBRD’s signed loan commitments were $67 billion ($59 billion—June 30, 2023) and had a fair</w:t>
        <w:br/>
        <w:t>value of $0.3 billion ($0.5 billion—June 30, 2023).</w:t>
        <w:br/>
        <w:br/>
        <w:br/>
        <w:t xml:space="preserve">                                                   IBRD FINANCIAL STATEMENTS: June 30, 2024                   123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following tables present IBRD’s fair value hierarchy for assets and liabilities measured at fair value on a</w:t>
        <w:br/>
        <w:t>recurring basis. The fair value of Other fund investments measured using the NAV as a practical expedient are</w:t>
        <w:br/>
        <w:t>included in the table below but excluded from the fair value hierarchy.</w:t>
        <w:br/>
        <w:t>Table J2: Fair value hierarchy of IBRD’s assets and liabilities</w:t>
        <w:br/>
        <w:t>In millions of U.S. dollars</w:t>
        <w:br/>
        <w:t xml:space="preserve">                                                                                 Fair Value Measurements on a Recurring Basis</w:t>
        <w:br/>
        <w:t xml:space="preserve">                                                                                                June 30, 2024</w:t>
        <w:br/>
        <w:t xml:space="preserve">                                                                                Level 1      Level 2      Level 3       Total</w:t>
        <w:br/>
        <w:t>Assets:</w:t>
        <w:br/>
        <w:t xml:space="preserve">  Investments–Trading</w:t>
        <w:br/>
        <w:t xml:space="preserve">     Government and agency obligations                                      $    12,940     $   19,413   $    —     $    32,353</w:t>
        <w:br/>
        <w:t xml:space="preserve">     Time deposits                                                                3,517         42,474        —          45,991</w:t>
        <w:br/>
        <w:t xml:space="preserve">     ABS                                                                             —           1,880        —           1,880</w:t>
        <w:br/>
        <w:t xml:space="preserve">     Other fund investments a                                                        —              —         —           2,155</w:t>
        <w:br/>
        <w:t xml:space="preserve">     Equity securities                                                              349             —         —             349</w:t>
        <w:br/>
        <w:t xml:space="preserve">  Total Investments–Trading                                                 $    16,806     $   63,767   $    —     $    82,728</w:t>
        <w:br/>
        <w:t xml:space="preserve">  Securities purchased under resale agreements                              $        20     $      59    $    —     $           79</w:t>
        <w:br/>
        <w:t xml:space="preserve">  Derivative assets</w:t>
        <w:br/>
        <w:t xml:space="preserve">    Currency swaps b                                                        $        —      $    3,935   $   122    $     4,057</w:t>
        <w:br/>
        <w:t xml:space="preserve">      Interest rate swaps                                                            —           7,836       141          7,977</w:t>
        <w:br/>
        <w:t xml:space="preserve">      Other c                                                                        1              —         —               1</w:t>
        <w:br/>
        <w:t xml:space="preserve">                                                                            $        1      $   11,771   $   263    $    12,035</w:t>
        <w:br/>
        <w:t xml:space="preserve">  Less:</w:t>
        <w:br/>
        <w:t xml:space="preserve">   Amounts subject to legally enforceable master netting agreements d                                                    11,558</w:t>
        <w:br/>
        <w:t xml:space="preserve">   Cash collateral received                                                                                                  21</w:t>
        <w:br/>
        <w:t xml:space="preserve">  Derivative assets, net                                                                                            $       456</w:t>
        <w:br/>
        <w:t xml:space="preserve">  Miscellaneous assets                                                      $        —      $      88    $    —     $        88</w:t>
        <w:br/>
        <w:br/>
        <w:br/>
        <w:t>Liabilities:</w:t>
        <w:br/>
        <w:t xml:space="preserve">  Borrowings                                                                $        —      $ 257,735    $ 4,055    $   261,790</w:t>
        <w:br/>
        <w:t xml:space="preserve">  Securities sold under repurchase agreements and securities lent under</w:t>
        <w:br/>
        <w:t xml:space="preserve">    securities lending agreements e                                     $            —      $     256    $    —     $      256</w:t>
        <w:br/>
        <w:t xml:space="preserve">  Derivative liabilities</w:t>
        <w:br/>
        <w:t xml:space="preserve">    Currency swaps b                                                    $            —      $    9,816   $    91    $     9,907</w:t>
        <w:br/>
        <w:t xml:space="preserve">    Interest rate swaps                                                              —          24,556       203         24,759</w:t>
        <w:br/>
        <w:t xml:space="preserve">    Other c                                                                          —              —         —              —</w:t>
        <w:br/>
        <w:t xml:space="preserve">                                                                        $            —      $   34,372   $   294    $    34,666</w:t>
        <w:br/>
        <w:t xml:space="preserve">  Less:</w:t>
        <w:br/>
        <w:t xml:space="preserve">  Amounts subject to legally enforceable master netting</w:t>
        <w:br/>
        <w:t xml:space="preserve">    agreements f                                                                                                         11,938</w:t>
        <w:br/>
        <w:t xml:space="preserve">  Derivative liabilities, net                                                                                       $    22,728</w:t>
        <w:br/>
        <w:t xml:space="preserve">  Accounts payable and miscellaneous liabilities                            $        —      $       2    $    —     $         2</w:t>
        <w:br/>
        <w:br/>
        <w:br/>
        <w:t>a. Investments at NAV related to PEBP holdings, not included in the fair value hierarchy.</w:t>
        <w:br/>
        <w:t>b. Includes currency forward contracts.</w:t>
        <w:br/>
        <w:t>c. Includes swaptions, options, and futures contracts.</w:t>
        <w:br/>
        <w:t>d. Includes $29 million CVA.</w:t>
        <w:br/>
        <w:t>e. Excludes payable for cash collateral received.</w:t>
        <w:br/>
        <w:t>f. Includes $409 million DVA.</w:t>
        <w:br/>
        <w:br/>
        <w:br/>
        <w:t>124     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J2.1:</w:t>
        <w:br/>
        <w:t>In millions of U.S. dollars</w:t>
        <w:br/>
        <w:t xml:space="preserve">                                                                                Fair Value Measurements on a Recurring Basis</w:t>
        <w:br/>
        <w:t xml:space="preserve">                                                                                               June 30, 2023</w:t>
        <w:br/>
        <w:t xml:space="preserve">                                                                               Level 1      Level 2      Level 3       Total</w:t>
        <w:br/>
        <w:t>Assets:</w:t>
        <w:br/>
        <w:t xml:space="preserve">  Investments–Trading</w:t>
        <w:br/>
        <w:t xml:space="preserve">     Government and agency obligations                                     $    12,651      $   26,395   $    —    $    39,046</w:t>
        <w:br/>
        <w:t xml:space="preserve">     Time deposits                                                               1,992          34,817        —         36,809</w:t>
        <w:br/>
        <w:t xml:space="preserve">     ABS                                                                            —            1,087        —          1,087</w:t>
        <w:br/>
        <w:t xml:space="preserve">     Other fund investments a                                                       —               —         —          1,982</w:t>
        <w:br/>
        <w:t xml:space="preserve">     Equity securities                                                             275              —         —            275</w:t>
        <w:br/>
        <w:t xml:space="preserve">  Total Investments–Trading                                                $    14,918      $   62,299   $    —    $    79,199</w:t>
        <w:br/>
        <w:t xml:space="preserve">  Securities purchased under resale agreements                             $        18      $       60   $    —    $        78</w:t>
        <w:br/>
        <w:t xml:space="preserve">  Derivative assets</w:t>
        <w:br/>
        <w:t xml:space="preserve">     Currency swaps b                                                      $        —       $    4,475   $   148   $     4,623</w:t>
        <w:br/>
        <w:t xml:space="preserve">     Interest rate swaps                                                            —            8,120        73         8,193</w:t>
        <w:br/>
        <w:t xml:space="preserve">     Other c                                                                        —               —         —             —</w:t>
        <w:br/>
        <w:t xml:space="preserve">                                                                           $        —       $   12,595   $   221   $    12,816</w:t>
        <w:br/>
        <w:t xml:space="preserve">  Less:</w:t>
        <w:br/>
        <w:t xml:space="preserve">   Amounts subject to legally enforceable master netting agreements d                                                   12,405</w:t>
        <w:br/>
        <w:t xml:space="preserve">   Cash collateral received                                                                                                140</w:t>
        <w:br/>
        <w:t xml:space="preserve">  Derivative assets, net                                                                                           $       271</w:t>
        <w:br/>
        <w:t xml:space="preserve">  Miscellaneous assets                                                     $        —       $      55    $    —    $        55</w:t>
        <w:br/>
        <w:br/>
        <w:t>Liabilities:</w:t>
        <w:br/>
        <w:t xml:space="preserve">  Borrowings                                                            $           —       $ 233,658    $ 3,607   $   237,265</w:t>
        <w:br/>
        <w:t xml:space="preserve">  Securities sold under repurchase agreements and securities lent under</w:t>
        <w:br/>
        <w:t xml:space="preserve">   securities lending agreements e                                      $           —       $       9    $    —    $           9</w:t>
        <w:br/>
        <w:t xml:space="preserve">  Derivative liabilities</w:t>
        <w:br/>
        <w:t xml:space="preserve">     Currency swaps b                                                   $           —       $   11,429   $   135   $    11,564</w:t>
        <w:br/>
        <w:t xml:space="preserve">     Interest rate swaps                                                            —           27,965       207        28,172</w:t>
        <w:br/>
        <w:t xml:space="preserve">     Other c                                                                        6               —    $    —    $         6</w:t>
        <w:br/>
        <w:t xml:space="preserve">                                                                        $           6       $   39,394   $   342   $    39,742</w:t>
        <w:br/>
        <w:t xml:space="preserve">  Less:</w:t>
        <w:br/>
        <w:br/>
        <w:t xml:space="preserve">  Amounts subject to legally enforceable master netting agreements f                                                    12,849</w:t>
        <w:br/>
        <w:t xml:space="preserve">  Derivative liabilities, net                                                                                      $    26,893</w:t>
        <w:br/>
        <w:br/>
        <w:t>a. Investments at NAV related to PEBP holdings, not included in the fair value hierarchy.</w:t>
        <w:br/>
        <w:t>b. Includes currency forward contracts.</w:t>
        <w:br/>
        <w:t>c. Includes swaptions, options, and futures contracts.</w:t>
        <w:br/>
        <w:t>d. Includes $27 million CVA.</w:t>
        <w:br/>
        <w:t>e. Excludes payable for cash collateral received.</w:t>
        <w:br/>
        <w:t>f. Includes $471 million DVA.</w:t>
        <w:br/>
        <w:br/>
        <w:t>IBRD’s Level 3 borrowings primarily relate to structured bonds. The fair value of these bonds is estimated using</w:t>
        <w:br/>
        <w:t>discounted cash flow valuation models that incorporate model parameters, observable market inputs, and</w:t>
        <w:br/>
        <w:t>unobservable inputs. The significant unobservable inputs used in the fair value measurement of structured bonds and</w:t>
        <w:br/>
        <w:t>swaps are correlations and long-dated market interest rate volatilities. Generally, the movements in correlations are</w:t>
        <w:br/>
        <w:t>considered to be independent of the movements in long-dated interest rate volatilities.</w:t>
        <w:br/>
        <w:br/>
        <w:br/>
        <w:t xml:space="preserve">                                                           IBRD FINANCIAL STATEMENTS: June 30, 2024                        125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Correlation is the statistical measurement of the relationship between two variables. For contracts where the holder</w:t>
        <w:br/>
        <w:t>benefits from the convergence of the underlying index prices (e.g., market interest rates and foreign exchange rates),</w:t>
        <w:br/>
        <w:t>an increase in correlation would generally result in an increase in the fair value of the instrument. The magnitude</w:t>
        <w:br/>
        <w:t>and direction of the fair value adjustment would depend on whether the holder is short or long the option.</w:t>
        <w:br/>
        <w:t>Interest rate volatility is the extent to which the level of interest rates changes over time. For purchased options, an</w:t>
        <w:br/>
        <w:t>increase in volatility will generally result in an increase in the fair value. In general, the volatility used to price the</w:t>
        <w:br/>
        <w:t>option depends on the maturity of the underlying instrument and the option strike price. During the fiscal year ended</w:t>
        <w:br/>
        <w:t>June 30, 2024, and the fiscal year ended June 30, 2023, the interest rate volatilities for certain currencies were</w:t>
        <w:br/>
        <w:t>extrapolated for certain tenors and, thus, are considered an unobservable input.</w:t>
        <w:br/>
        <w:t>IBRD entered into transactions which have an embedded option associated with an equity index. Valuation inputs of</w:t>
        <w:br/>
        <w:t>such transactions include, among other valuation inputs, volatilities of the equity indices, that are the extent to which</w:t>
        <w:br/>
        <w:t>the level of equity index changes over time. These index volatility levels are consistent with the respective index</w:t>
        <w:br/>
        <w:t>construction methodologies and historical movements. Similar to the impact of the volatility of the other asset</w:t>
        <w:br/>
        <w:t>classes described above, an increase in the equity index volatility will result in an increase in the value of the</w:t>
        <w:br/>
        <w:t>purchase option and vice versa.</w:t>
        <w:br/>
        <w:t>In certain instances, particularly for instruments with coupon or repayment terms linked to catastrophic events,</w:t>
        <w:br/>
        <w:t>management relies on instrument valuations supplied by external pricing vendors.</w:t>
        <w:br/>
        <w:t>The following table provides a summary of the valuation technique applied in determining fair values of these Level</w:t>
        <w:br/>
        <w:t>3 instruments and quantitative information regarding the significant unobservable inputs used. Level 3 instruments</w:t>
        <w:br/>
        <w:t>represent 2% of IBRD’s borrowings.</w:t>
        <w:br/>
        <w:t>Table J3: Level 3 Borrowings and derivatives valuation technique and quantitative information regarding the</w:t>
        <w:br/>
        <w:t>significant unobservable inputs:</w:t>
        <w:br/>
        <w:t>In millions of U.S. dollars</w:t>
        <w:br/>
        <w:t xml:space="preserve">                        Fair Value as   Fair Value as</w:t>
        <w:br/>
        <w:t xml:space="preserve">                                                        Valuation    Unobservable    Range (average),   Range (average),</w:t>
        <w:br/>
        <w:t>Portfolio                of June 30,     of June 30,</w:t>
        <w:br/>
        <w:t xml:space="preserve">                                                        Technique       input         June 30, 2024      June 30, 2023</w:t>
        <w:br/>
        <w:t xml:space="preserve">                             2024            2023</w:t>
        <w:br/>
        <w:t xml:space="preserve">                                                                     Correlations    -11% to 84% (7%)   -16% to 99% (11%)</w:t>
        <w:br/>
        <w:t xml:space="preserve">                                                                     Interest rate</w:t>
        <w:br/>
        <w:t xml:space="preserve">                                                        Discounted                   65% to 77% (73%)   63% to 85% (78%)</w:t>
        <w:br/>
        <w:t>Borrowings              $     4,055     $   3,607                     volatilities</w:t>
        <w:br/>
        <w:t xml:space="preserve">                                                        Cash Flow</w:t>
        <w:br/>
        <w:t xml:space="preserve">                                                                     Equity index</w:t>
        <w:br/>
        <w:t xml:space="preserve">                                                                                      5% to 15% (9%)     5% to 15% (9%)</w:t>
        <w:br/>
        <w:t xml:space="preserve">                                                                      volatilities</w:t>
        <w:br/>
        <w:t xml:space="preserve">                                                                     Correlations    -11% to 84% (7%)   -16% to 99% (11%)</w:t>
        <w:br/>
        <w:t>Derivative                                                           Interest rate</w:t>
        <w:br/>
        <w:t xml:space="preserve">                                                        Discounted                   65% to 77% (73%)   63% to 85% (78%)</w:t>
        <w:br/>
        <w:t>assets/(liabilities),   $      (31)     $    (121)                    volatilities</w:t>
        <w:br/>
        <w:t xml:space="preserve">                                                        Cash Flow</w:t>
        <w:br/>
        <w:t>net                                                                  Equity index</w:t>
        <w:br/>
        <w:t xml:space="preserve">                                                                                      5% to 15% (9%)     5% to 15% (9%)</w:t>
        <w:br/>
        <w:t xml:space="preserve">                                                                      volatilities</w:t>
        <w:br/>
        <w:br/>
        <w:br/>
        <w:t>126      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tables below provide the details of transfers between Level 2 and Level 3 that are due to changes in observable</w:t>
        <w:br/>
        <w:t>inputs.</w:t>
        <w:br/>
        <w:t>Table J4: Borrowings and derivatives inter level transfers</w:t>
        <w:br/>
        <w:t>In millions of U.S. dollars</w:t>
        <w:br/>
        <w:t xml:space="preserve">                                                              2024                                                          2023</w:t>
        <w:br/>
        <w:t xml:space="preserve">                                               Level 2                    Level 3                           Level 2                    Level 3</w:t>
        <w:br/>
        <w:t>Borrowings</w:t>
        <w:br/>
        <w:t xml:space="preserve">   Transfer into (out of)             $              90           $               (90)            $              144          $              (144)</w:t>
        <w:br/>
        <w:t xml:space="preserve">   Transfer (out of) into                           (46)          $                46                           (118)         $               118</w:t>
        <w:br/>
        <w:t xml:space="preserve">                                      $              44           $               (44)            $               26          $               (26)</w:t>
        <w:br/>
        <w:t>Derivative assets, net</w:t>
        <w:br/>
        <w:t xml:space="preserve">   Transfer into (out of)             $              96           $               (96)            $               10          $              (10)</w:t>
        <w:br/>
        <w:t xml:space="preserve">   Transfer (out of) into                            (1)          $                  1                          (124)         $              124</w:t>
        <w:br/>
        <w:t xml:space="preserve">                                                     95           $                (95)                         (114)         $              114</w:t>
        <w:br/>
        <w:t>Derivative liabilities, net</w:t>
        <w:br/>
        <w:t xml:space="preserve">   Transfer (into) out of             $             (63)          $               63              $             (328)         $              328</w:t>
        <w:br/>
        <w:t xml:space="preserve">   Transfer out of (into)             $               7                            (7)            $              325                         (325)</w:t>
        <w:br/>
        <w:t xml:space="preserve">                                                    (56)          $                56                             (3)         $                 3</w:t>
        <w:br/>
        <w:t>Total Derivative Transfers, net       $              39           $               (39)            $             (117)         $               117</w:t>
        <w:br/>
        <w:br/>
        <w:br/>
        <w:t>The following tables provide a summary of changes in the fair value of IBRD’s Level 3 borrowings and derivatives:</w:t>
        <w:br/>
        <w:t>Table J5: Borrowings Level 3 changes</w:t>
        <w:br/>
        <w:t>In millions of U.S. dollars</w:t>
        <w:br/>
        <w:t xml:space="preserve">                                                                              June 30, 2024                                  June 30, 2023</w:t>
        <w:br/>
        <w:t>Beginning of the fiscal year                                          $               3,607                       $                  3,932</w:t>
        <w:br/>
        <w:t>Issuances                                                                             1,054                                            396</w:t>
        <w:br/>
        <w:t>Settlements                                                                            (831)                                        (1,014)</w:t>
        <w:br/>
        <w:t>Total realized/unrealized mark-to-market losses (gains) in:</w:t>
        <w:br/>
        <w:t xml:space="preserve">      Net income                                                                              352                                        294</w:t>
        <w:br/>
        <w:t xml:space="preserve">      Other comprehensive income                                                              (83)                                        25</w:t>
        <w:br/>
        <w:t>Transfers (from) to Level 3, net                                                              (44)                                       (26)</w:t>
        <w:br/>
        <w:t>End of the fiscal year                                                $                     4,055                 $                    3,607</w:t>
        <w:br/>
        <w:br/>
        <w:br/>
        <w:t>Table J6: Derivatives Level 3 changes</w:t>
        <w:br/>
        <w:t>In millions of U.S. dollars</w:t>
        <w:br/>
        <w:t xml:space="preserve">                                                                2024                                                      2023</w:t>
        <w:br/>
        <w:t xml:space="preserve">                                                   Derivatives, Assets/(Liabilities)                         Derivatives, Assets/(Liabilities)</w:t>
        <w:br/>
        <w:t xml:space="preserve">                                               Currency         Interest                                  Currency        Interest</w:t>
        <w:br/>
        <w:t xml:space="preserve">                                                Swaps         Rate Swaps            Total                  Swaps        Rate Swaps            Total</w:t>
        <w:br/>
        <w:br/>
        <w:br/>
        <w:t>Beginning of the fiscal year               $         13       $       (134)   $           (121)       $      (379)      $      (165)     $       (544)</w:t>
        <w:br/>
        <w:t>Issuances                                             —                (78)                (78)                 —               (33)              (33)</w:t>
        <w:br/>
        <w:t>Settlements                                          52                 13                  65                179                24               203</w:t>
        <w:br/>
        <w:t>Total realized/unrealized mark-to-</w:t>
        <w:br/>
        <w:t xml:space="preserve">  market gains (losses) in:</w:t>
        <w:br/>
        <w:t xml:space="preserve">      Net income                                    162                 76                238                 114                46               160</w:t>
        <w:br/>
        <w:t xml:space="preserve">      Other comprehensive income                     (96)                —                (96)                (18)               (6)              (24)</w:t>
        <w:br/>
        <w:t>Transfers (from) to Level 3, net                   (100)                61                (39)                117                —                117</w:t>
        <w:br/>
        <w:t>End of the fiscal year                     $          31      $        (62)   $           (31)        $        13       $      (134)     $       (121)</w:t>
        <w:br/>
        <w:br/>
        <w:br/>
        <w:t xml:space="preserve">                                                              IBRD FINANCIAL STATEMENTS: June 30, 2024                                               127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Information on the unrealized gains or losses included in the Statements of Income and Statements of</w:t>
        <w:br/>
        <w:t>Comprehensive Income relating to IBRD’s Level 3 borrowings and derivatives that are still held at the reporting</w:t>
        <w:br/>
        <w:t>dates, is presented in the following table:</w:t>
        <w:br/>
        <w:t>Table J7: Unrealized gains or losses relating to IBRD’s Level 3 borrowings and derivatives</w:t>
        <w:br/>
        <w:t>In millions of U.S. dollars</w:t>
        <w:br/>
        <w:t xml:space="preserve">                                                                                    2024              2023                2022</w:t>
        <w:br/>
        <w:t>Reported as:</w:t>
        <w:br/>
        <w:t xml:space="preserve">  Borrowings</w:t>
        <w:br/>
        <w:t xml:space="preserve">    Net income a                                                              $       210         $     56         $       220</w:t>
        <w:br/>
        <w:t xml:space="preserve">    Other Comprehensive income (loss) b                                                83              (53)                130</w:t>
        <w:br/>
        <w:t xml:space="preserve">  Derivatives</w:t>
        <w:br/>
        <w:t xml:space="preserve">    Net loss a                                                                $       (107)       $    (54)        $      (214)</w:t>
        <w:br/>
        <w:t xml:space="preserve">    Other Comprehensive (loss) income c                                                (91)              5                 (97)</w:t>
        <w:br/>
        <w:br/>
        <w:t>a. Amounts are included in Unrealized mark-to-market gains (losses) on non-trading portfolios, net on the Statements of Income.</w:t>
        <w:br/>
        <w:t>b. Amounts are included in Currency translation adjustment on functional currency and Net Change in DVA on fair value option</w:t>
        <w:br/>
        <w:t xml:space="preserve">   elected liabilities, in the Statements of Comprehensive Income.</w:t>
        <w:br/>
        <w:t>c. Amounts are included in Currency translation adjustment on functional currency, in the Statements of Comprehensive Income.</w:t>
        <w:br/>
        <w:br/>
        <w:t>Table J8: Borrowings fair value and contractual principal balance</w:t>
        <w:br/>
        <w:t>In millions of U.S. dollars</w:t>
        <w:br/>
        <w:t xml:space="preserve">                                                                                Principal Amount Due</w:t>
        <w:br/>
        <w:t xml:space="preserve">                                                            Fair Value              Upon Maturity                 Difference</w:t>
        <w:br/>
        <w:t>June 30, 2024                                        $        261,790          $         285,322         $           (23,532)</w:t>
        <w:br/>
        <w:t>June 30, 2023                                        $        237,265          $         265,147         $           (27,882)</w:t>
        <w:br/>
        <w:br/>
        <w:br/>
        <w:t>The following tables provide information on the changes in fair value due to the change in IBRD’s own credit risk</w:t>
        <w:br/>
        <w:t>for financial liabilities measured under the fair value option, included in the Statements of Other Comprehensive</w:t>
        <w:br/>
        <w:t>Income:</w:t>
        <w:br/>
        <w:t>Table J9: Changes in fair value due to IBRD’s own credit risk</w:t>
        <w:br/>
        <w:t>In millions of U.S. dollars</w:t>
        <w:br/>
        <w:t>Unrealized mark-to-market gains (losses) due to DVA on fair value option</w:t>
        <w:br/>
        <w:t xml:space="preserve"> elected liabilities                                                                          2024                     2023</w:t>
        <w:br/>
        <w:t>DVA on Fair Value Option Elected Liabilities                                      $             321           $          (60)</w:t>
        <w:br/>
        <w:t>Amounts reclassified to net income upon derecognition of a liability                              1                       47</w:t>
        <w:br/>
        <w:t>Net change in DVA on Fair Value Option Elected Liabilities                        $             322           $          (13)</w:t>
        <w:br/>
        <w:br/>
        <w:br/>
        <w:t>As of June 30, 2024, IBRD’s Balance Sheets included a DVA of $673 million cumulative gain ($351 million</w:t>
        <w:br/>
        <w:t>cumulative gain—June 30, 2023) in Accumulated other comprehensive income, associated with the changes in</w:t>
        <w:br/>
        <w:t>IBRD’s own credit for financial liabilities measured under the fair value option.</w:t>
        <w:br/>
        <w:br/>
        <w:br/>
        <w:t>128     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J10: Unrealized mark-to-market gains or losses on investments-trading, and non-trading portfolios, net</w:t>
        <w:br/>
        <w:t>In millions of U.S. dollars</w:t>
        <w:br/>
        <w:t xml:space="preserve">                                                                                            2024</w:t>
        <w:br/>
        <w:t xml:space="preserve">                                                                                      Unrealized gains</w:t>
        <w:br/>
        <w:t xml:space="preserve">                                                              Realized gains         (losses) excluding        Unrealized gains</w:t>
        <w:br/>
        <w:t xml:space="preserve">                                                                (losses)             realized amounts a            (losses)</w:t>
        <w:br/>
        <w:t>Investments-Trading, net                                  $              113       $                 (22)    $              91</w:t>
        <w:br/>
        <w:t>Non trading portfolios, net</w:t>
        <w:br/>
        <w:t xml:space="preserve">  Loan-related derivatives—Note F                                           —                        (458)                 (458)</w:t>
        <w:br/>
        <w:t xml:space="preserve">  Other assets/liabilities management</w:t>
        <w:br/>
        <w:t xml:space="preserve">   derivatives, net                                                         —                         708                   708</w:t>
        <w:br/>
        <w:t xml:space="preserve">  Borrowings, including derivatives</w:t>
        <w:br/>
        <w:t xml:space="preserve">     —Notes E and F                                                         2                           7                     9ᵇ</w:t>
        <w:br/>
        <w:t xml:space="preserve">  Client operations and other derivatives, net                              —                          30                    30</w:t>
        <w:br/>
        <w:t xml:space="preserve">   Total                                                  $                 2      $                  287    $              289</w:t>
        <w:br/>
        <w:br/>
        <w:br/>
        <w:t>Table J10.1:</w:t>
        <w:br/>
        <w:t>In millions of U.S. dollars</w:t>
        <w:br/>
        <w:t xml:space="preserve">                                                                                            2023</w:t>
        <w:br/>
        <w:t xml:space="preserve">                                                                                      Unrealized gains</w:t>
        <w:br/>
        <w:t xml:space="preserve">                                                              Realized gains         (losses) excluding        Unrealized gains</w:t>
        <w:br/>
        <w:t xml:space="preserve">                                                                (losses)             realized amounts a            (losses)</w:t>
        <w:br/>
        <w:t>Investments-Trading, net                                  $              (42)      $                126      $              84</w:t>
        <w:br/>
        <w:t>Non trading portfolios, net</w:t>
        <w:br/>
        <w:t xml:space="preserve">  Loan-related derivatives—Note F                                           4                      1,673                  1,677</w:t>
        <w:br/>
        <w:t xml:space="preserve">  Other assets/liabilities management</w:t>
        <w:br/>
        <w:t xml:space="preserve">   derivatives, net                                                         —                      (1,642)               (1,642)</w:t>
        <w:br/>
        <w:t xml:space="preserve">  Borrowings, including derivatives</w:t>
        <w:br/>
        <w:t xml:space="preserve">     —Notes E and F                                                         8                       (198)                  (190) ᵇ</w:t>
        <w:br/>
        <w:t xml:space="preserve">  Client operations and other derivatives, net                              —                         –                      –</w:t>
        <w:br/>
        <w:t xml:space="preserve">   Total                                                  $                 12     $                (167)    $             (155)</w:t>
        <w:br/>
        <w:br/>
        <w:br/>
        <w:t>Table J10.2:</w:t>
        <w:br/>
        <w:t>In millions of U.S. dollars</w:t>
        <w:br/>
        <w:t xml:space="preserve">                                                                                            2022</w:t>
        <w:br/>
        <w:t xml:space="preserve">                                                                                      Unrealized gains</w:t>
        <w:br/>
        <w:t xml:space="preserve">                                                              Realized gains         (losses) excluding        Unrealized gains</w:t>
        <w:br/>
        <w:t xml:space="preserve">                                                                (losses)             realized amounts a            (losses)</w:t>
        <w:br/>
        <w:t>Investments-Trading, net                                  $             1,106      $            (1,183)      $              (77)</w:t>
        <w:br/>
        <w:t>Non trading portfolios, net</w:t>
        <w:br/>
        <w:t xml:space="preserve">  Loan-related derivatives—Note F                                            6                     5,988                   5,994</w:t>
        <w:br/>
        <w:t xml:space="preserve">  Other assets/liabilities management</w:t>
        <w:br/>
        <w:t xml:space="preserve">   derivatives, net                                                         —                   (3,392)                   (3,392)</w:t>
        <w:br/>
        <w:t xml:space="preserve">  Borrowings, including derivatives</w:t>
        <w:br/>
        <w:t xml:space="preserve">     —Notes E and F                                                         12                       747                     759 ᵇ</w:t>
        <w:br/>
        <w:t xml:space="preserve">  Client operations and other derivatives, net                              —                         13                      13</w:t>
        <w:br/>
        <w:t xml:space="preserve">   Total                                                  $                 18     $               3,356                   3,374</w:t>
        <w:br/>
        <w:br/>
        <w:br/>
        <w:t>a. Adjusted to exclude amounts reclassified to realized gains (losses).</w:t>
        <w:br/>
        <w:t>b. Includes $4,220 million of unrealized mark-to-market gains related to derivatives associated with borrowings for fiscal year</w:t>
        <w:br/>
        <w:t xml:space="preserve">   ended June 30, 2024 (unrealized mark-to-market losses of $5,851 million—fiscal year ended June 30, 2023 and unrealized</w:t>
        <w:br/>
        <w:t xml:space="preserve">   mark-to-market losses of $20,790 million—fiscal year ended June 30, 2022).</w:t>
        <w:br/>
        <w:br/>
        <w:br/>
        <w:t xml:space="preserve">                                                           IBRD FINANCIAL STATEMENTS: June 30, 2024                               129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NOTE K—PENSION AND OTHER POSTRETIREMENT BENEFITS</w:t>
        <w:br/>
        <w:t>IBRD, IFC and MIGA participate in the defined benefit Staff Retirement Plan (SRP), a Retired Staff Benefits Plan</w:t>
        <w:br/>
        <w:t>(RSBP) and PEBP (collectively "the Pension Plans") that cover substantially all of their staff members.</w:t>
        <w:br/>
        <w:t>The SRP provides pension benefits and includes a cash balance plan. The RSBP provides certain health and life</w:t>
        <w:br/>
        <w:t>insurance benefits to eligible retirees. The PEBP provides certain pension benefits administered outside the SRP.</w:t>
        <w:br/>
        <w:t>IBRD uses a June 30th measurement date for its pension and other postretirement benefit plans.</w:t>
        <w:br/>
        <w:t>All costs, assets and liabilities associated with these plans are allocated between IBRD, IFC, and MIGA based upon</w:t>
        <w:br/>
        <w:t>their employees’ respective participation in the Pension Plans. Costs allocated to IBRD are then shared between</w:t>
        <w:br/>
        <w:t>IBRD and IDA based on an agreed cost-sharing methodology. IDA, IFC and MIGA reimburse IBRD for their</w:t>
        <w:br/>
        <w:t>proportionate share of any contributions made to these plans by IBRD. Contributions to the Pension Plans are</w:t>
        <w:br/>
        <w:t>calculated as a percentage of salary.</w:t>
        <w:br/>
        <w:t>The following table summarizes the benefit costs associated with the SRP, RSBP, and PEBP for IBRD and IDA:</w:t>
        <w:br/>
        <w:t>Table K1: Pension Plan benefit costs</w:t>
        <w:br/>
        <w:t>In millions of U.S. dollars</w:t>
        <w:br/>
        <w:t xml:space="preserve">                                              SRP                                     RSBP                                   PEBP</w:t>
        <w:br/>
        <w:t xml:space="preserve">                                2024          2023          2022          2024        2023        2022        2024           2023             2022</w:t>
        <w:br/>
        <w:t>Service cost                  $    401      $   511       $   664       $   112     $   139     $   178     $    82        $    93        $     114</w:t>
        <w:br/>
        <w:t>Interest cost                    1,011          944           659           162         162         119          99             92               64</w:t>
        <w:br/>
        <w:t>Expected return on plan</w:t>
        <w:br/>
        <w:t xml:space="preserve">  assets                          (1,377)       (1,386)       (1,289)       (243)       (238)       (223)          —              —              —</w:t>
        <w:br/>
        <w:t>Amortization of</w:t>
        <w:br/>
        <w:t xml:space="preserve">  unrecognized prior</w:t>
        <w:br/>
        <w:t xml:space="preserve">  service costs a                      3             3             3           2          14          17               3              3              3</w:t>
        <w:br/>
        <w:t>Amortization of</w:t>
        <w:br/>
        <w:t xml:space="preserve">  unrecognized net</w:t>
        <w:br/>
        <w:t xml:space="preserve">  actuarial (gains)</w:t>
        <w:br/>
        <w:t xml:space="preserve">  losses a                            —             —             —         (67)         (28)         —            —              —              53</w:t>
        <w:br/>
        <w:t>Net periodic pension</w:t>
        <w:br/>
        <w:t>cost                          $       38    $       72    $       37    $   (34)    $     49    $     91    $     184      $     188      $     234</w:t>
        <w:br/>
        <w:t xml:space="preserve">  of which:</w:t>
        <w:br/>
        <w:t xml:space="preserve">     IBRD’s share             $       18    $       34    $       17    $   (16)    $     23    $     44    $      88      $      89      $     110</w:t>
        <w:br/>
        <w:t xml:space="preserve">     IDA’s share                      20            38            20        (18)          26          47           96             99            124</w:t>
        <w:br/>
        <w:br/>
        <w:br/>
        <w:t xml:space="preserve">                                                                                                                2024           2023           2022</w:t>
        <w:br/>
        <w:t>Net periodic pension cost (all three plans combined)</w:t>
        <w:br/>
        <w:t xml:space="preserve">     IBRD’s share                                                                                           $      90      $     146      $     171</w:t>
        <w:br/>
        <w:t xml:space="preserve">     IDA’s share                                                                                                   98            163            191</w:t>
        <w:br/>
        <w:br/>
        <w:br/>
        <w:t>a. Included in Amounts reclassified into net income in Note I—Accumulated Other Comprehensive Income.</w:t>
        <w:br/>
        <w:br/>
        <w:t>IDA’s share of benefit costs is included as a payable to/receivable from IDA in Other liabilities – Accounts payable</w:t>
        <w:br/>
        <w:t>and miscellaneous liabilities on the Balance Sheets (see Note H—Transactions with Affiliated Organizations).</w:t>
        <w:br/>
        <w:t>The components of net periodic pension cost, other than the service cost component, are included in the Non-interest</w:t>
        <w:br/>
        <w:t>expenses – Other line item in the Statements of Income. The service cost component is included in the line item</w:t>
        <w:br/>
        <w:t>Non-interest expenses – Administrative expenses.</w:t>
        <w:br/>
        <w:br/>
        <w:br/>
        <w:t>130     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following table provides the amounts of IBRD’s pension service cost:</w:t>
        <w:br/>
        <w:t>Table K2: Pension service cost</w:t>
        <w:br/>
        <w:t>In millions of U.S. dollars</w:t>
        <w:br/>
        <w:t xml:space="preserve">                                                                                      2024</w:t>
        <w:br/>
        <w:t xml:space="preserve">                                                                SRP            RSBP          PEBP       Total</w:t>
        <w:br/>
        <w:t>Service cost                                                $    401       $    112     $      82   $    595</w:t>
        <w:br/>
        <w:t xml:space="preserve">  Of which:</w:t>
        <w:br/>
        <w:t xml:space="preserve">     IBRD’s share                                           $    191       $     53     $      40   $    284</w:t>
        <w:br/>
        <w:t xml:space="preserve">     IDA’s share                                                 210             59            42        311</w:t>
        <w:br/>
        <w:br/>
        <w:t>In millions of U.S. dollars</w:t>
        <w:br/>
        <w:t xml:space="preserve">                                                                                      2023</w:t>
        <w:br/>
        <w:t xml:space="preserve">                                                                SRP            RSBP          PEBP       Total</w:t>
        <w:br/>
        <w:t>Service cost                                                $    511       $    139     $      93   $    743</w:t>
        <w:br/>
        <w:t xml:space="preserve">  Of which:</w:t>
        <w:br/>
        <w:t xml:space="preserve">     IBRD’s share                                           $    241       $     66     $      44   $    351</w:t>
        <w:br/>
        <w:t xml:space="preserve">     IDA’s share                                                 270             73            49        392</w:t>
        <w:br/>
        <w:br/>
        <w:t>In millions of U.S. dollars</w:t>
        <w:br/>
        <w:t xml:space="preserve">                                                                                      2022</w:t>
        <w:br/>
        <w:t xml:space="preserve">                                                                SRP            RSBP          PEBP       Total</w:t>
        <w:br/>
        <w:t>Service cost                                                $    664       $    178     $     114   $    956</w:t>
        <w:br/>
        <w:t xml:space="preserve">  Of which:</w:t>
        <w:br/>
        <w:t xml:space="preserve">     IBRD’s share                                           $    313       $     84     $      54   $    451</w:t>
        <w:br/>
        <w:t xml:space="preserve">     IDA’s share                                                 351             94            60        505</w:t>
        <w:br/>
        <w:br/>
        <w:br/>
        <w:t xml:space="preserve">                                                  IBRD FINANCIAL STATEMENTS: June 30, 2024                      131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following table summarizes the Projected Benefit Obligations (PBO), fair value of plan assets, and funded status</w:t>
        <w:br/>
        <w:t>associated with the SRP, RSBP, and PEBP for IBRD and IDA. The SRP and RSBP assets are held in separate trusts</w:t>
        <w:br/>
        <w:t>and the PEBP assets are included in IBRD's investment portfolio. The assets of the PEBP are mostly invested in</w:t>
        <w:br/>
        <w:t>fixed income, equity instruments and other fund investments.</w:t>
        <w:br/>
        <w:t>Table K3: PBO, funded status and accumulated benefit obligations</w:t>
        <w:br/>
        <w:t>In millions of U.S. dollars</w:t>
        <w:br/>
        <w:t xml:space="preserve">                                                   SRP                           RSBP                                      PEBP</w:t>
        <w:br/>
        <w:t xml:space="preserve">                                         2024            2023            2024                   2023                2024           2023</w:t>
        <w:br/>
        <w:t>Projected Benefit Obligations</w:t>
        <w:br/>
        <w:t xml:space="preserve">  Beginning of year                 $     21,208     $   21,831      $       3,341      $         3,666     $         2,057    $     2,107</w:t>
        <w:br/>
        <w:t xml:space="preserve">  Service cost                               401             511               112                  139                  82             93</w:t>
        <w:br/>
        <w:t xml:space="preserve">  Interest cost                            1,011             944               162                  162                  99             92</w:t>
        <w:br/>
        <w:t xml:space="preserve">  Participant contributions                  181             172                33                   31                   4              4</w:t>
        <w:br/>
        <w:t xml:space="preserve">  Benefits paid                             (961)           (921)             (117)                (108)                (57)           (49)</w:t>
        <w:br/>
        <w:t xml:space="preserve">  Actuarial loss (gain)                      326          (1,329)             (123)                (549)                (88)          (190)</w:t>
        <w:br/>
        <w:t xml:space="preserve">  End of year                             22,166         21,208              3,408                3,341               2,097          2,057</w:t>
        <w:br/>
        <w:t>Fair value of plan assets</w:t>
        <w:br/>
        <w:t xml:space="preserve">  Beginning of year                       24,565          23,745             4,281                4,061</w:t>
        <w:br/>
        <w:t xml:space="preserve">  Participant contributions                  181             172                33                   31</w:t>
        <w:br/>
        <w:t xml:space="preserve">  Actual return on assets                  1,749           1,429               303                  258</w:t>
        <w:br/>
        <w:t xml:space="preserve">  Employer contributions                     155             140                40                   39</w:t>
        <w:br/>
        <w:t xml:space="preserve">  Benefits paid                             (961)           (921)             (117)                (108)</w:t>
        <w:br/>
        <w:t xml:space="preserve">  End of year                             25,689          24,565             4,540                4,281</w:t>
        <w:br/>
        <w:t>Funded Status a                     $      3,523     $     3,357     $       1,132      $           940     $        (2,097)   $    (2,057)</w:t>
        <w:br/>
        <w:t>Accumulated Benefit</w:t>
        <w:br/>
        <w:t>Obligations                         $     20,968     $    20,098     $       3,408      $         3,341     $        1,931     $    1,908</w:t>
        <w:br/>
        <w:br/>
        <w:br/>
        <w:t>a. Funded status is included in Other Assets – Assets under retirement benefits plans on the Balance Sheets and Other liabilities –</w:t>
        <w:br/>
        <w:t xml:space="preserve">   Liabilities under retirement benefits plans on the Balance Sheets.</w:t>
        <w:br/>
        <w:br/>
        <w:t>As of June 30, 2024, the SRP and RSBP were overfunded by $3,523 million and $1,132 million, respectively. The</w:t>
        <w:br/>
        <w:t>PEBP, after reflecting IBRD and IDA’s share of assets which are included in the IBRD’s investment portfolio</w:t>
        <w:br/>
        <w:t>($2,135 million), was overfunded by $38 million.</w:t>
        <w:br/>
        <w:t>During the fiscal years ended June 30, 2024 and June 30, 2023, there were no amendments made to the retirement</w:t>
        <w:br/>
        <w:t>benefit plans.</w:t>
        <w:br/>
        <w:t>The following tables present the amounts included in Accumulated Other Comprehensive Income/Loss relating to</w:t>
        <w:br/>
        <w:t>Pension and Other Postretirement Benefits:</w:t>
        <w:br/>
        <w:t>Table K4: Amounts included in Accumulated Other Comprehensive Income as of June 30, 2024</w:t>
        <w:br/>
        <w:t>In millions of U.S. dollars</w:t>
        <w:br/>
        <w:t xml:space="preserve">                                                                             SRP                 RSBP               PEBP           Total</w:t>
        <w:br/>
        <w:t>Net actuarial (gains) losses                                             $   (2,222)        $     (1,434)       $      (85)    $   (3,741)</w:t>
        <w:br/>
        <w:t>Prior service cost                                                                3                    9                 3             15</w:t>
        <w:br/>
        <w:t xml:space="preserve">  Net amount recognized in Accumulated Other Comprehensive</w:t>
        <w:br/>
        <w:t xml:space="preserve">  Income                                                                 $    (2,219)       $     (1,425)       $       (82)   $   (3,726)</w:t>
        <w:br/>
        <w:br/>
        <w:br/>
        <w:t>132     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K4.1: Amounts included in Accumulated Other Comprehensive Income as of June 30, 2023</w:t>
        <w:br/>
        <w:t>In millions of U.S. dollars</w:t>
        <w:br/>
        <w:t xml:space="preserve">                                                                        SRP           RSBP           PEBP           Total</w:t>
        <w:br/>
        <w:t>Net actuarial (gains) losses                                        $   (2,175)   $    (1,318)   $          3   $   (3,490)</w:t>
        <w:br/>
        <w:t>Prior service cost                                                           6             11               6           23</w:t>
        <w:br/>
        <w:t xml:space="preserve">  Net amount recognized in Accumulated Other Comprehensive</w:t>
        <w:br/>
        <w:t xml:space="preserve">  Income                                                            $   (2,169)   $   (1,307)    $          9   $   (3,467)</w:t>
        <w:br/>
        <w:br/>
        <w:br/>
        <w:t>Assumptions</w:t>
        <w:br/>
        <w:t>The actuarial assumptions used are based on financial market interest rates, inflation expectations, past experience,</w:t>
        <w:br/>
        <w:t>and Management’s best estimate of future benefit changes and economic conditions. Changes in these assumptions</w:t>
        <w:br/>
        <w:t>will impact future benefit costs and obligations.</w:t>
        <w:br/>
        <w:t>The expected long-term rate of return for the SRP assets is a weighted average of the expected long-term (10 years</w:t>
        <w:br/>
        <w:t>or more) returns for the various asset classes, weighted by the portfolio allocation. Asset class returns are developed</w:t>
        <w:br/>
        <w:t>using a forward-looking building block approach and are not strictly based on historical returns. Equity returns are</w:t>
        <w:br/>
        <w:t>generally developed as the sum of expected inflation, expected real earnings growth and expected long-term</w:t>
        <w:br/>
        <w:t>dividend yield. Bond returns are generally developed as the sum of expected inflation, real bond yield, duration-</w:t>
        <w:br/>
        <w:t>adjusted change in yields and risk premium/spread (as appropriate). Other asset class returns are derived from their</w:t>
        <w:br/>
        <w:t>relationship to equity and bond markets. The expected long-term rate of return for the RSBP is computed using</w:t>
        <w:br/>
        <w:t>procedures similar to those used for the SRP. The discount rate used in determining the benefit obligation is selected</w:t>
        <w:br/>
        <w:t>by reference to the year-end yield of AA corporate bonds.</w:t>
        <w:br/>
        <w:t>Actuarial gains and losses occur when actual results are different from expected results. Amortization of these</w:t>
        <w:br/>
        <w:t>unrecognized gains and losses will be included in income if, at the beginning of the fiscal year, they exceed 10% of</w:t>
        <w:br/>
        <w:t>the greater of the projected benefit obligation or the market-related value of plan assets. If required, the</w:t>
        <w:br/>
        <w:t>unrecognized gains and losses are amortized over the expected average remaining service lives of the employee</w:t>
        <w:br/>
        <w:t>group.</w:t>
        <w:br/>
        <w:t>The following tables present the weighted-average assumptions used in determining the projected benefit obligations</w:t>
        <w:br/>
        <w:t>and the net periodic pension costs:</w:t>
        <w:br/>
        <w:t>Table K5: Weighted average assumptions used to determine projected benefit obligations</w:t>
        <w:br/>
        <w:t>In percent, except years</w:t>
        <w:br/>
        <w:t xml:space="preserve">                                                      SRP                     RSBP                         PEBP</w:t>
        <w:br/>
        <w:t xml:space="preserve">                                              2024          2023         2024      2023               2024      2023</w:t>
        <w:br/>
        <w:t>Discount rate                                  5.30          4.90          5.40     4.90                5.30      4.90</w:t>
        <w:br/>
        <w:t>Rate of compensation increase                  5.20          5.10                                       5.20      5.10</w:t>
        <w:br/>
        <w:t>Health care growth rates</w:t>
        <w:br/>
        <w:t xml:space="preserve">  – at end of fiscal year                                                  5.40        5.40</w:t>
        <w:br/>
        <w:t>Ultimate health care growth rate                                          4.40        4.20</w:t>
        <w:br/>
        <w:t>Year in which ultimate rate is reached                                    2031        2031</w:t>
        <w:br/>
        <w:t>Interest crediting rate                        5.40          5.20           n.a         n.a             5.40          5.20</w:t>
        <w:br/>
        <w:br/>
        <w:br/>
        <w:t xml:space="preserve">                                                       IBRD FINANCIAL STATEMENTS: June 30, 2024                        133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Table K6: Weighted average assumptions used to determine net periodic pension cost</w:t>
        <w:br/>
        <w:t>In percent, except years</w:t>
        <w:br/>
        <w:t xml:space="preserve">                                                  SRP                        RSBP                        PEBP</w:t>
        <w:br/>
        <w:t xml:space="preserve">                                          2024    2023    2022       2024    2023    2022        2024    2023    2022</w:t>
        <w:br/>
        <w:t>Discount rate                             4.90    4.40    2.70       4.90    4.50    2.80        4.90    4.50    2.80</w:t>
        <w:br/>
        <w:t>Expected return on plan assets            5.70    5.90    5.40       5.70    5.90    5.40</w:t>
        <w:br/>
        <w:t>Rate of compensation increase             5.10    5.30    4.80                                   5.10    5.30    4.80</w:t>
        <w:br/>
        <w:t>Health care growth rates</w:t>
        <w:br/>
        <w:t xml:space="preserve">   – at end of fiscal year                                           5.40    5.80    5.40</w:t>
        <w:br/>
        <w:t>Ultimate health care growth rate                                     4.20    4.40    3.90</w:t>
        <w:br/>
        <w:t>Year in which ultimate rate is reached                               2031    2031    2031</w:t>
        <w:br/>
        <w:t>Interest crediting rate                   5.20    5.40    4.90         n.a     n.a     n.a       5.20    5.40    4.90</w:t>
        <w:br/>
        <w:br/>
        <w:t>The medical cost trend rate can significantly affect the reported postretirement benefit income or costs and benefit</w:t>
        <w:br/>
        <w:t>obligations for the RSBP. For the fiscal year ended June 30, 2024, the net actuarial gains were primarily due to an</w:t>
        <w:br/>
        <w:t>increase in the value of the plan assets in excess of expected asset returns which was partially offset by the actuarial</w:t>
        <w:br/>
        <w:t>losses attributable to the increase in inflation assumptions and demographic experience. For the fiscal year ended</w:t>
        <w:br/>
        <w:t>June 30, 2023, the actuarial gains were primarily due to an increase in the discount rates.</w:t>
        <w:br/>
        <w:t>Investment Strategy</w:t>
        <w:br/>
        <w:t>The investment policies establish the framework for investment of the plan assets based on long-term investment</w:t>
        <w:br/>
        <w:t>objectives and the trade-offs inherent in seeking adequate investment returns within acceptable risk parameters. A</w:t>
        <w:br/>
        <w:t>key component of the investment policy is to establish a Strategic Asset Allocation (SAA) representing the policy</w:t>
        <w:br/>
        <w:t>portfolio (i.e., policy mix of assets) around which the SRP and RSBP (the Plans) are invested. The SAA is derived</w:t>
        <w:br/>
        <w:t>using a mix of quantitative analysis that incorporates expected returns and volatilities by asset class as well as</w:t>
        <w:br/>
        <w:t>correlations across the asset classes, and qualitative considerations such as the liquidity needs of the Plans. The SAA</w:t>
        <w:br/>
        <w:t>for the Plans is reviewed in detail and reset about every three to five years, with more frequent reviews and changes</w:t>
        <w:br/>
        <w:t>if and as needed based on market conditions.</w:t>
        <w:br/>
        <w:t>The key long-term objective is to generate asset performance that is reasonable in relation to the growth rate of the</w:t>
        <w:br/>
        <w:t>underlying liabilities and the assumed sponsor contribution rates, without taking undue risks. Given the relatively</w:t>
        <w:br/>
        <w:t>long investment horizons of the SRP and RSBP, and the relatively modest liquidity needs over the short-term to pay</w:t>
        <w:br/>
        <w:t>benefits and meet other cash requirements, the focus of the investment strategy is on generating sustainable long-</w:t>
        <w:br/>
        <w:t>term investment returns through a globally diversified set of strategies including fixed income, public and private</w:t>
        <w:br/>
        <w:t>equity and real assets. The most recent review of the SAA was completed and approved in April 2024 with an</w:t>
        <w:br/>
        <w:t>effective date of July 1, 2024. The new SAA slightly increased the Credit Strategy allocation from 6% to 7% and</w:t>
        <w:br/>
        <w:t>Real Assets from 13% to 15% while marginally reducing the Public Equities allocation from 31% to 29% and</w:t>
        <w:br/>
        <w:t>Market Neutral Hedge Funds from 10% to 9%.</w:t>
        <w:br/>
        <w:br/>
        <w:br/>
        <w:t>134    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following table presents the policy asset allocation and the actual asset allocations by asset category for the SRP</w:t>
        <w:br/>
        <w:t>and RSBP, effective July 1, 2024:</w:t>
        <w:br/>
        <w:t>Table K7: Policy and actual asset allocations</w:t>
        <w:br/>
        <w:t xml:space="preserve">                                                     SRP                                                RSBP</w:t>
        <w:br/>
        <w:t xml:space="preserve">                                   Policy allocation  Actual Allocation (%)           Policy allocation    Actual Allocation (%)</w:t>
        <w:br/>
        <w:t>Asset class                           2024 (%)         2024         2023                 2024 (%)           2024         2023</w:t>
        <w:br/>
        <w:t>Fixed income and Cash                     20             19           16                     20               19           16</w:t>
        <w:br/>
        <w:t>Credit Strategy                             7             8            8                       7               8            8</w:t>
        <w:br/>
        <w:t>Public equity                             29             22           22                     29               23           22</w:t>
        <w:br/>
        <w:t>Private equity                            20             27           28                     20               26           27</w:t>
        <w:br/>
        <w:t>Market neutral hedge funds                  9             9           11                       9               8           11</w:t>
        <w:br/>
        <w:t>Real assets a                             15             14           14                     15               15           15</w:t>
        <w:br/>
        <w:t>Other b                                   —               1            1                     —                 1            1</w:t>
        <w:br/>
        <w:t>Total                                    100            100          100                    100              100          100</w:t>
        <w:br/>
        <w:br/>
        <w:br/>
        <w:t>a. Includes public and private real estate, infrastructure and timber.</w:t>
        <w:br/>
        <w:t>b. Includes authorized investments that are outside the policy allocations primarily in hedge funds.</w:t>
        <w:br/>
        <w:br/>
        <w:t>Significant Concentrations of Risk in Plan Assets</w:t>
        <w:br/>
        <w:t>The assets of the SRP and RSBP are diversified across a variety of asset classes. Investments in these asset classes</w:t>
        <w:br/>
        <w:t>are further diversified across funds, managers, strategies, geographies and sectors, to limit the impact of any</w:t>
        <w:br/>
        <w:t>individual investment. In spite of such level of diversification, equity market risk remains the primary source of the</w:t>
        <w:br/>
        <w:t>overall return volatility of the Plans. As of June 30, 2024, the largest exposure to a single counterparty was 10% and</w:t>
        <w:br/>
        <w:t>12% of the plan assets in SRP and RSBP, respectively (9% and 11%, respectively—June 30, 2023).</w:t>
        <w:br/>
        <w:t>Risk Management Practices</w:t>
        <w:br/>
        <w:t>Managing investment risk is an integral part of managing the assets of the Plans. Asset diversification is central to</w:t>
        <w:br/>
        <w:t>the overall investment strategy and risk management approach for the Plans. Absolute risk indicators such as the</w:t>
        <w:br/>
        <w:t>overall return volatility and drawdown of the Plans are the primary measures used to define the risk tolerance level</w:t>
        <w:br/>
        <w:t>and establish the overall level of investment risk. In addition, the level of active risk (defined as the annualized</w:t>
        <w:br/>
        <w:t>standard deviation of portfolio returns relative to those of the policy portfolio) is closely monitored and managed on</w:t>
        <w:br/>
        <w:t>an ongoing basis.</w:t>
        <w:br/>
        <w:t>Market risk is regularly monitored at the absolute level, as well as at the relative levels with respect to the</w:t>
        <w:br/>
        <w:t>investment policy, manager benchmarks, and liabilities of the Plans. Stress tests are performed periodically using</w:t>
        <w:br/>
        <w:t>relevant market scenarios to assess the impact of extreme market events.</w:t>
        <w:br/>
        <w:t>Monitoring of performance (at both manager and asset class levels) against benchmarks, and compliance with</w:t>
        <w:br/>
        <w:t>investment guidelines, are carried out on a regular basis which provides helpful information for assessing the impact</w:t>
        <w:br/>
        <w:t>on the portfolios caused by market risk factors. Risk management for different asset classes is tailored to their</w:t>
        <w:br/>
        <w:t>specific characteristics and is an integral part of the external managers’ due diligence and monitoring processes.</w:t>
        <w:br/>
        <w:t>Credit risk is monitored on a regular basis and assessed for possible credit event impacts. The liquidity position of</w:t>
        <w:br/>
        <w:t>the Plans is analyzed at regular intervals and periodically tested using various stress scenarios to ensure that the</w:t>
        <w:br/>
        <w:t>Plans have sufficient liquidity to meet all cash flow requirements. In addition, the long-term cash flow needs of the</w:t>
        <w:br/>
        <w:t>Plans are considered during the SAA exercise and are one of the main drivers in determining maximum allocation to</w:t>
        <w:br/>
        <w:t>the illiquid investment vehicles.</w:t>
        <w:br/>
        <w:br/>
        <w:br/>
        <w:t xml:space="preserve">                                                             IBRD FINANCIAL STATEMENTS: June 30, 2024                         135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Fair Value Measurements and Disclosures</w:t>
        <w:br/>
        <w:t>All plan assets are measured at fair value on a recurring basis. The following tables present the fair value hierarchy</w:t>
        <w:br/>
        <w:t>of major categories of plan assets:</w:t>
        <w:br/>
        <w:t>Table K8: Plan assets fair value hierarchy</w:t>
        <w:br/>
        <w:t>In millions of U.S. dollars</w:t>
        <w:br/>
        <w:t xml:space="preserve">                                                                                                June 30, 2024</w:t>
        <w:br/>
        <w:t xml:space="preserve">                                                                          SRP                                                    RSBP</w:t>
        <w:br/>
        <w:t xml:space="preserve">                                                  Level 1       Level 2         Level 3       Total        Level 1        Level 2    Level 3       Total</w:t>
        <w:br/>
        <w:t>Debt securities</w:t>
        <w:br/>
        <w:t xml:space="preserve">   Short-term investments                     $        11   $        37     $        —    $      48    $          5   $        8   $      —    $       13</w:t>
        <w:br/>
        <w:t xml:space="preserve">   Securities purchased under resale</w:t>
        <w:br/>
        <w:t xml:space="preserve">    agreements                                       218             —               —          218              37            —          —            37</w:t>
        <w:br/>
        <w:t xml:space="preserve">   Government and agency securities                 2,515           273              —        2,788             540           48          —          588</w:t>
        <w:br/>
        <w:t xml:space="preserve">   Corporate and convertible bonds                     —            366              —          366              —            71          —           71</w:t>
        <w:br/>
        <w:t xml:space="preserve">   ABS                                                 —            165              —          165              —            35          —           35</w:t>
        <w:br/>
        <w:t xml:space="preserve">   MBS                                                 —            410              —          410              —            78          —           78</w:t>
        <w:br/>
        <w:t>Total debt securities                               2,744         1,251              —        3,995             582          240          —          822</w:t>
        <w:br/>
        <w:t>Equity securities</w:t>
        <w:br/>
        <w:t xml:space="preserve">   Stocks                                           2,680            —               —        2,680             423            —          —          423</w:t>
        <w:br/>
        <w:t xml:space="preserve">   Mutual funds                                        —             —               —           —               —             —          —           —</w:t>
        <w:br/>
        <w:t xml:space="preserve">   Real estate investment trusts (REITs)              176            —               —          176              26            —          —           26</w:t>
        <w:br/>
        <w:t>Total equity securities                             2,856            —               —        2,856             449            —          —          449</w:t>
        <w:br/>
        <w:t>Other funds at NAV a</w:t>
        <w:br/>
        <w:t xml:space="preserve">   Commingled funds                                    —             —               —        3,729              —             —          —           651</w:t>
        <w:br/>
        <w:t xml:space="preserve">   Private equity funds                                —             —               —        6,935              —             —          —         1,160</w:t>
        <w:br/>
        <w:t xml:space="preserve">   Private credit funds                                —             —               —        2,118              —             —          —           354</w:t>
        <w:br/>
        <w:t xml:space="preserve">   Real asset funds (including real estate,</w:t>
        <w:br/>
        <w:t xml:space="preserve">    infrastructure and timber)                         —             —               —        3,423              —             —          —          653</w:t>
        <w:br/>
        <w:t xml:space="preserve">   Hedge funds                                         —             —               —       2,539              —             —           —           431</w:t>
        <w:br/>
        <w:t>Total other funds                                      —             —               —      18,744              —             —           —         3,249</w:t>
        <w:br/>
        <w:t>Derivative assets/liabilities                           9             2              —          11               1            —           —            1</w:t>
        <w:br/>
        <w:t>Other assets/liabilities, net b                        —             —               —          83              —             —           —            19</w:t>
        <w:br/>
        <w:t>Total assets                                  $     5,609   $     1,253     $        —    $ 25,689     $     1,032    $      240   $      —    $    4,540</w:t>
        <w:br/>
        <w:br/>
        <w:t>a. Investments measured at fair value using NAV as a practical expedient have not been included under the fair value hierarchy.</w:t>
        <w:br/>
        <w:t>b. Includes receivables and payables carried at amounts that approximate fair value.</w:t>
        <w:br/>
        <w:br/>
        <w:br/>
        <w:t>136      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K8.1</w:t>
        <w:br/>
        <w:t>In millions of U.S. dollars</w:t>
        <w:br/>
        <w:t xml:space="preserve">                                                                                                 June 30, 2023</w:t>
        <w:br/>
        <w:t xml:space="preserve">                                                                           SRP                                                   RSBP</w:t>
        <w:br/>
        <w:t xml:space="preserve">                                                  Level 1        Level 2         Level 3       Total         Level 1       Level 2        Level 3       Total</w:t>
        <w:br/>
        <w:t>Debt securities</w:t>
        <w:br/>
        <w:t xml:space="preserve">   Short-term investments                     $         4    $        23     $        —    $       27    $         3   $         7    $        —    $       10</w:t>
        <w:br/>
        <w:t xml:space="preserve">   Securities purchased under resale</w:t>
        <w:br/>
        <w:t xml:space="preserve">    agreements                                         30             —               —            30             15            —              —            15</w:t>
        <w:br/>
        <w:t xml:space="preserve">   Government and agency securities                 2,387            337              —         2,724            500            80             —           580</w:t>
        <w:br/>
        <w:t xml:space="preserve">   Corporate and convertible bonds                     —             306              —           306             —             60             —            60</w:t>
        <w:br/>
        <w:t xml:space="preserve">   ABS                                                 —             188              —           188             —             37             —            37</w:t>
        <w:br/>
        <w:t xml:space="preserve">   MBS                                                 —             299              —           299             —             58             —            58</w:t>
        <w:br/>
        <w:t>Total debt securities                               2,421          1,153              —         3,574            518           242             —           760</w:t>
        <w:br/>
        <w:t>Equity securities</w:t>
        <w:br/>
        <w:t xml:space="preserve">   Stocks                                           1,818             —               —         1,818            321            —              —           321</w:t>
        <w:br/>
        <w:t xml:space="preserve">   Mutual funds                                        —              —               —            —              —             —              —            —</w:t>
        <w:br/>
        <w:t xml:space="preserve">   Real estate investment trusts (REITs)              131             —               —           131             20            —              —            20</w:t>
        <w:br/>
        <w:t>Total equity securities                             1,949             —               —         1,949            341            —              —           341</w:t>
        <w:br/>
        <w:t>Other funds at NAV a</w:t>
        <w:br/>
        <w:t xml:space="preserve">   Commingled funds                                    —              —               —         3,526             —             —              —           553</w:t>
        <w:br/>
        <w:t xml:space="preserve">   Private equity funds                                —              —               —         6,848             —             —              —         1,163</w:t>
        <w:br/>
        <w:t xml:space="preserve">   Private credit funds                                —              —               —         2,055             —             —              —           340</w:t>
        <w:br/>
        <w:t xml:space="preserve">   Real asset funds (including real estate,</w:t>
        <w:br/>
        <w:t xml:space="preserve">     infrastructure and timber)                        —              —               —         3,329             —             —              —           620</w:t>
        <w:br/>
        <w:t xml:space="preserve">   Hedge funds                                         —              —               —         2,941             —             —              —           475</w:t>
        <w:br/>
        <w:t>Total other funds                                      —              —               —        18,699             —             —              —         3,151</w:t>
        <w:br/>
        <w:t>Derivative assets/liabilities                          (8)            (5)             —           (13)            —             (1)            —            (1)</w:t>
        <w:br/>
        <w:t>Other assets/liabilities, net b                        —              —               —           356             —             —              —            30</w:t>
        <w:br/>
        <w:t>Total assets                                  $     4,362    $     1,148     $        —    $ 24,565      $       859   $       241    $        —    $    4,281</w:t>
        <w:br/>
        <w:br/>
        <w:br/>
        <w:t>a. Investments measured at fair value using NAV as a practical expedient have not been included under the fair value hierarchy.</w:t>
        <w:br/>
        <w:t>b. Includes receivables and payables carried at amounts that approximate fair value.</w:t>
        <w:br/>
        <w:br/>
        <w:br/>
        <w:t>Valuation Methods and Assumptions</w:t>
        <w:br/>
        <w:t>The following are general descriptions of asset categories, as well as the valuation methodologies and inputs used to</w:t>
        <w:br/>
        <w:t>determine the fair value of each major category of Plan assets. Investment amounts in the asset categories shown in</w:t>
        <w:br/>
        <w:t>the table above may be different from the asset category allocation shown in the Investment Strategy section of the</w:t>
        <w:br/>
        <w:t>note. Asset classes in the table above are grouped by the characteristics of the investments held. The asset class</w:t>
        <w:br/>
        <w:t>break-down in the Investment Strategy section is based on Management’s view of the economic exposures after</w:t>
        <w:br/>
        <w:t>considering the impact of derivatives and certain trading strategies.</w:t>
        <w:br/>
        <w:t>Debt securities</w:t>
        <w:br/>
        <w:t>Debt securities include discount notes, securities purchased under resale agreements, U.S. treasuries and agencies,</w:t>
        <w:br/>
        <w:t>debt obligations of foreign governments, sub-sovereigns and debt obligations in corporations of domestic and</w:t>
        <w:br/>
        <w:t>foreign issuers. Debt securities also include investments in ABS such as collateralized mortgage obligations and</w:t>
        <w:br/>
        <w:t>MBS. These securities are valued by independent pricing vendors at quoted market prices for the same or similar</w:t>
        <w:br/>
        <w:t>securities, where available. If quoted market prices are not available, fair values are based on discounted cash flow</w:t>
        <w:br/>
        <w:t>models using market-based parameters such as yield curves, interest rates, volatilities, foreign exchange rates and</w:t>
        <w:br/>
        <w:t>credit curves. Some debt securities are valued using techniques which require significant unobservable inputs. The</w:t>
        <w:br/>
        <w:t>selection of these inputs may involve some judgment. Management believes its estimates of fair value are reasonable</w:t>
        <w:br/>
        <w:t>given its processes for obtaining securities prices from multiple independent third-party vendors, ensuring that</w:t>
        <w:br/>
        <w:t>valuation models are reviewed and validated, and applying its approach consistently from period to period. Unless</w:t>
        <w:br/>
        <w:t>quoted prices are available, money market instruments and securities purchased under resale agreements are reported</w:t>
        <w:br/>
        <w:t>at face value which approximates fair value.</w:t>
        <w:br/>
        <w:br/>
        <w:br/>
        <w:t xml:space="preserve">                                                                       IBRD FINANCIAL STATEMENTS: June 30, 2024                                           137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Equity securities</w:t>
        <w:br/>
        <w:t>Equity securities (including REITs) represent investments in entities in various industries and countries. Investments</w:t>
        <w:br/>
        <w:t>in public equity listed on securities exchanges are valued at the last reported sale price on the last business day of the</w:t>
        <w:br/>
        <w:t>fiscal year.</w:t>
        <w:br/>
        <w:t>Commingled funds</w:t>
        <w:br/>
        <w:t>Commingled funds are typically collective investment vehicles, such as trusts that are reported at NAV as provided</w:t>
        <w:br/>
        <w:t>by the investment manager or sponsor of the fund based on the valuation of underlying investments.</w:t>
        <w:br/>
        <w:t>Private equity funds</w:t>
        <w:br/>
        <w:t>Private equity funds include investments primarily in leveraged buyouts, growth capital, distressed investments and</w:t>
        <w:br/>
        <w:t>venture capital funds across North America, Europe and Asia in a variety of sectors. Many of these funds are in the</w:t>
        <w:br/>
        <w:t>investment phase of their life cycle. Private Equity investments do not have a readily determinable fair market value</w:t>
        <w:br/>
        <w:t>and are reported at NAV provided by the fund managers, taking into consideration the latest audited financial</w:t>
        <w:br/>
        <w:t>statements of the funds.</w:t>
        <w:br/>
        <w:t>Private credit funds</w:t>
        <w:br/>
        <w:t>Private credit funds include investments primarily in direct lending and opportunistic credit funds. Direct lending</w:t>
        <w:br/>
        <w:t>funds provide private financing to performing medium-size companies primarily owned by private equity sponsors.</w:t>
        <w:br/>
        <w:t>Opportunistic credit strategies (including distressed debt and multi-strategy funds) have flexible mandates to invest</w:t>
        <w:br/>
        <w:t>across both public and private markets globally. Private credit investments do not have a readily determinable fair</w:t>
        <w:br/>
        <w:t>value and are reported at NAV provided by the fund managers, taking into consideration the latest audited financial</w:t>
        <w:br/>
        <w:t>statements of the funds.</w:t>
        <w:br/>
        <w:t>Real asset funds (including real estate,infrastructure and timber)</w:t>
        <w:br/>
        <w:t>Real asset funds include investments in core real estate, non-core real estate investments (such as debt, value add,</w:t>
        <w:br/>
        <w:t>and opportunistic equity investments) and infrastructure. Real asset investments do not have a readily determinable</w:t>
        <w:br/>
        <w:t>fair market value and are reported at NAV provided by the fund managers, taking into consideration the latest</w:t>
        <w:br/>
        <w:t>audited financial statements of the funds.</w:t>
        <w:br/>
        <w:t>Hedge funds</w:t>
        <w:br/>
        <w:t>Hedge fund investments include those seeking to maximize absolute returns using a broad range of strategies to</w:t>
        <w:br/>
        <w:t>enhance returns and provide additional diversification. Hedge Funds include investments in equity, event driven,</w:t>
        <w:br/>
        <w:t>fixed income, multi strategy and macro relative value strategies. These investments do not have a readily</w:t>
        <w:br/>
        <w:t>determinable fair market value and are reported at NAV provided by external managers or fund administrators</w:t>
        <w:br/>
        <w:t>(based on the valuations of underlying investments) monthly, taking into consideration the latest audited financial</w:t>
        <w:br/>
        <w:t>statements of the funds.</w:t>
        <w:br/>
        <w:t>Investments in hedge funds and commingled funds can typically be redeemed at NAV within the near term while</w:t>
        <w:br/>
        <w:t>investments in private equity and most real estate are inherently long term and illiquid in nature with a quarter lag in</w:t>
        <w:br/>
        <w:t>reporting by the fund managers. Since the reporting of those asset classes is done with a lag, management estimates</w:t>
        <w:br/>
        <w:t>are based on the latest available information considering underlying market fundamentals and significant events</w:t>
        <w:br/>
        <w:t>through the balance sheet date.</w:t>
        <w:br/>
        <w:t>Investment in derivatives</w:t>
        <w:br/>
        <w:t>Investment in derivatives such as equity or bond futures, swaps, options and currency forwards are used to achieve a</w:t>
        <w:br/>
        <w:t>variety of objectives that include hedging interest rates and currency risks, gaining desired market exposure of a</w:t>
        <w:br/>
        <w:t>security, an index or currency exposure and rebalancing the portfolio. Over-the-counter derivatives are reported</w:t>
        <w:br/>
        <w:t>using valuations based on discounted cash flow methods incorporating observable market inputs.</w:t>
        <w:br/>
        <w:br/>
        <w:br/>
        <w:t>138        IBRD FINANCIAL STATEMENTS: June 30, 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Estimated Future Benefit Payments</w:t>
        <w:br/>
        <w:t>The following table shows the benefit payments expected to be paid in each of the next five years and subsequent</w:t>
        <w:br/>
        <w:t>five years. The expected benefit payments are based on the same assumptions used to measure the benefit</w:t>
        <w:br/>
        <w:t>obligation:</w:t>
        <w:br/>
        <w:t>Table K9: Expected benefit payments</w:t>
        <w:br/>
        <w:t>In millions of U.S. dollars</w:t>
        <w:br/>
        <w:t xml:space="preserve">                                                               SRP                RSBP                     PEBP</w:t>
        <w:br/>
        <w:t>July 1, 2024 - June 30, 2025                            $     1,106        $       102            $          79</w:t>
        <w:br/>
        <w:t>July 1, 2025 - June 30, 2026                                  1,147                110                       84</w:t>
        <w:br/>
        <w:t>July 1, 2026 - June 30, 2027                                  1,194                117                       91</w:t>
        <w:br/>
        <w:t>July 1, 2027 - June 30, 2028                                  1,239                125                       97</w:t>
        <w:br/>
        <w:t>July 1, 2028 - June 30, 2029                                  1,288                133                      104</w:t>
        <w:br/>
        <w:t>July 1, 2029 - June 30, 2034                                  7,175                798                      627</w:t>
        <w:br/>
        <w:br/>
        <w:br/>
        <w:t>Expected Contributions</w:t>
        <w:br/>
        <w:t>IBRD’s contribution to the SRP and RSBP varies from year to year, as determined by the PFC, which bases its</w:t>
        <w:br/>
        <w:t>judgment on the results of annual actuarial valuations of the assets and liabilities of the SRP and RSBP. The best</w:t>
        <w:br/>
        <w:t>estimate of the amount of contributions expected to be paid to the SRP and RSBP by IBRD and IDA during the</w:t>
        <w:br/>
        <w:t>fiscal year beginning July 1, 2024 is $131 million and $33 million, respectively.</w:t>
        <w:br/>
        <w:br/>
        <w:t>NOTE L—TRUST FUNDS ADMINISTRATION AND OTHER SERVICES</w:t>
        <w:br/>
        <w:t>Trust Funds</w:t>
        <w:br/>
        <w:t>IBRD, alone or jointly with one or more of its affiliated organizations, administers on behalf of donors, including</w:t>
        <w:br/>
        <w:t>members, their agencies and other entities, funds restricted for specific uses in accordance with administration</w:t>
        <w:br/>
        <w:t>agreements with donors. Specified uses could include co-financing of IBRD lending projects, debt reduction</w:t>
        <w:br/>
        <w:t>operations, technical assistance including feasibility studies and project preparation, global and regional programs,</w:t>
        <w:br/>
        <w:t>and research and training programs. These funds are held in trust with IBRD and/or IDA, and are held in a separate</w:t>
        <w:br/>
        <w:t>investment portfolio which is not commingled with IBRD and/or IDA funds.</w:t>
        <w:br/>
        <w:t>Trust fund execution may be carried out in one of two ways: recipient-executed or Bank-executed activities.</w:t>
        <w:br/>
        <w:t>Recipient-executed activities for trust funds involve activities carried out by a recipient third-party executing agency.</w:t>
        <w:br/>
        <w:t>IBRD enters into agreements with and disburses funds to those recipients, who then exercise spending authority to</w:t>
        <w:br/>
        <w:t>meet the objectives and comply with terms stipulated in the agreements.</w:t>
        <w:br/>
        <w:t>Bank-executed activities for trust funds involve IBRD execution of activities as described in relevant administration</w:t>
        <w:br/>
        <w:t>agreements with donors, which define the terms and conditions for use of the funds. Spending authority is exercised</w:t>
        <w:br/>
        <w:t>by IBRD, under the terms of the administration agreements. The executing agency services provided by IBRD vary</w:t>
        <w:br/>
        <w:t>and include for example, activity preparation, analytical and advisory activities and project-related activities,</w:t>
        <w:br/>
        <w:t>including procurement of goods and services.</w:t>
        <w:br/>
        <w:t>The following table summarizes the expenses pertaining to Bank-executed activities for trust funds:</w:t>
        <w:br/>
        <w:t>Table L1: Expenses for Bank-executed activities for trust funds</w:t>
        <w:br/>
        <w:t>In millions of U.S. dollars</w:t>
        <w:br/>
        <w:t xml:space="preserve">                                                                          2024            2023               2022</w:t>
        <w:br/>
        <w:t>Expenses for Bank-executed activities for trust funds                 $    612      $      570         $      494</w:t>
        <w:br/>
        <w:br/>
        <w:br/>
        <w:t>These amounts are included in Administrative expenses and the corresponding revenue is included in Revenue from</w:t>
        <w:br/>
        <w:t>externally funded activities in the Statements of Income. Administrative expenses primarily relate to staff costs,</w:t>
        <w:br/>
        <w:t>travel and consultant fees.</w:t>
        <w:br/>
        <w:br/>
        <w:br/>
        <w:t xml:space="preserve">                                                            IBRD FINANCIAL STATEMENTS: June 30, 2024                139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following table summarizes all undisbursed contributions made by third party donors to Bank-executed</w:t>
        <w:br/>
        <w:t>activities for trust funds, recognized on the Balance Sheets:</w:t>
        <w:br/>
        <w:t>Table L2: Undisbursed contributions by third party donors to Bank-executed activities for trust funds</w:t>
        <w:br/>
        <w:t>In millions of U.S. dollars</w:t>
        <w:br/>
        <w:t xml:space="preserve">                                                                               2024                    2023</w:t>
        <w:br/>
        <w:t>Bank-executed activities for trust funds                               $        637           $         588</w:t>
        <w:br/>
        <w:br/>
        <w:br/>
        <w:t>These amounts are included in Other assets - Miscellaneous and the corresponding liabilities are included in Other</w:t>
        <w:br/>
        <w:t>liabilities – Accounts payable and miscellaneous liabilities on the Balance Sheets.</w:t>
        <w:br/>
        <w:t>Revenues</w:t>
        <w:br/>
        <w:t>IBRD’s revenues for the administration of trust fund operations were as follows:</w:t>
        <w:br/>
        <w:t>Table L3: Trust fund administration revenues</w:t>
        <w:br/>
        <w:t>In millions of U.S. dollars</w:t>
        <w:br/>
        <w:t xml:space="preserve">                                                                     2024              2023               2022</w:t>
        <w:br/>
        <w:t>Revenues                                                       $      99           $    62        $        50</w:t>
        <w:br/>
        <w:br/>
        <w:br/>
        <w:t>These amounts are included in Revenue from externally funded activities in the Statements of Income.</w:t>
        <w:br/>
        <w:t>Revenue collected from donor contributions for trust fund administration fees, but not yet earned by IBRD totaling</w:t>
        <w:br/>
        <w:t>$101 million as of June 30, 2024 ($94 million—June 30, 2023) is included in Other assets - Miscellaneous and in</w:t>
        <w:br/>
        <w:t>Other liabilities – Accounts payable and miscellaneous liabilities, respectively on the Balance Sheets.</w:t>
        <w:br/>
        <w:t>Investment Management Services</w:t>
        <w:br/>
        <w:t>IBRD offers treasury and investment management services to affiliated and non-affiliated organizations.</w:t>
        <w:br/>
        <w:t>In addition, IBRD offers asset management and technical advisory services to central banks of member countries,</w:t>
        <w:br/>
        <w:t>under the Reserves Advisory and Management Program, for capacity building and other development purposes, and</w:t>
        <w:br/>
        <w:t>receives a fee for these services.</w:t>
        <w:br/>
        <w:t>During the fiscal year ended June 30, 2024, IBRD's fee revenue from investment management activities totaled $17</w:t>
        <w:br/>
        <w:t>million ($16 million –June 30, 2023 and $18 million – June 30, 2022) and is included in Revenue from externally</w:t>
        <w:br/>
        <w:t>funded activities in the Statements of Income.</w:t>
        <w:br/>
        <w:br/>
        <w:t>NOTE M—CONTINGENCIES</w:t>
        <w:br/>
        <w:t>From time to time, IBRD may be named as a defendant or co-defendant in legal actions on different grounds in</w:t>
        <w:br/>
        <w:t>various jurisdictions. The outcome of any existing legal action, in which IBRD has been named as a defendant or co-</w:t>
        <w:br/>
        <w:t>defendant, as of and for the fiscal year ended June 30, 2024, is not expected to have a material adverse effect on</w:t>
        <w:br/>
        <w:t>IBRD's financial position, results of operations or cash flows.</w:t>
        <w:br/>
        <w:br/>
        <w:br/>
        <w:t>140         IBRD FINANCIAL STATEMENTS: June 30, 2024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