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tabs>
          <w:tab w:pos="3388" w:val="left"/>
        </w:tabs>
        <w:autoSpaceDE w:val="0"/>
        <w:widowControl/>
        <w:spacing w:line="552" w:lineRule="exact" w:before="0" w:after="0"/>
        <w:ind w:left="628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International Bank for Reconstruction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Development</w:t>
      </w:r>
    </w:p>
    <w:p>
      <w:pPr>
        <w:autoSpaceDN w:val="0"/>
        <w:autoSpaceDE w:val="0"/>
        <w:widowControl/>
        <w:spacing w:line="240" w:lineRule="auto" w:before="9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656" w:after="0"/>
        <w:ind w:left="864" w:right="864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Financial Statements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June 30, 2025</w:t>
      </w:r>
    </w:p>
    <w:p>
      <w:pPr>
        <w:sectPr>
          <w:pgSz w:w="12240" w:h="15840"/>
          <w:pgMar w:top="852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00"/>
      </w:tblGrid>
      <w:tr>
        <w:trPr>
          <w:trHeight w:hRule="exact" w:val="254"/>
        </w:trPr>
        <w:tc>
          <w:tcPr>
            <w:tcW w:type="dxa" w:w="938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10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33"/>
        <w:gridCol w:w="3133"/>
        <w:gridCol w:w="3133"/>
      </w:tblGrid>
      <w:tr>
        <w:trPr>
          <w:trHeight w:hRule="exact" w:val="256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I: Overview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Introduction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32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II: Executive Summary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Financial Business Model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Basis of Reporting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2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Summary Financial Results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6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III: Financial Results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Portfolio Performance and Financial Results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42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IV: Lending Activities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 Allocation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Lending Commitments and Gross Disbursements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3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V: Other Development Activities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Lending Categories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Currently Available Lending Products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7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3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VI: Investment Activities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Making Facilities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8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Externally-Funded Activities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78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 Portfolio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90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VII: Borrowing Activities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Investments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70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40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VIII: Capital Activities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Short-Term Borrowings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8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Borrowings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7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Capital Structure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9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IX: Risk Management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Equity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Risk Governance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2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9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X: Contractual Obligations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Risk Oversight and Coverage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2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 of IBRD’s Risks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Capital Adequacy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2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Credit Risk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Risk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Operational Risk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</w:t>
            </w:r>
          </w:p>
        </w:tc>
      </w:tr>
      <w:tr>
        <w:trPr>
          <w:trHeight w:hRule="exact" w:val="330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Contractual Obligations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30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Section XI: Pension and Other Post-Retirement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Governance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</w:t>
            </w:r>
          </w:p>
        </w:tc>
      </w:tr>
      <w:tr>
        <w:trPr>
          <w:trHeight w:hRule="exact" w:val="24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Funding and Investment Policies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</w:t>
            </w:r>
          </w:p>
        </w:tc>
      </w:tr>
      <w:tr>
        <w:trPr>
          <w:trHeight w:hRule="exact" w:val="28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Section XII: Critical Accounting Policies and the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Projected Benefit Obligations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</w:t>
            </w:r>
          </w:p>
        </w:tc>
      </w:tr>
      <w:tr>
        <w:trPr>
          <w:trHeight w:hRule="exact" w:val="27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Fair Value of Financial Instruments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</w:t>
            </w:r>
          </w:p>
        </w:tc>
      </w:tr>
      <w:tr>
        <w:trPr>
          <w:trHeight w:hRule="exact" w:val="22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Use of Estimates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</w:t>
            </w:r>
          </w:p>
        </w:tc>
      </w:tr>
      <w:tr>
        <w:trPr>
          <w:trHeight w:hRule="exact" w:val="300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Section XIII: Governance and Controls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Post-Retirement Benefits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</w:t>
            </w:r>
          </w:p>
        </w:tc>
      </w:tr>
      <w:tr>
        <w:trPr>
          <w:trHeight w:hRule="exact" w:val="280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Business Conduct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</w:t>
            </w:r>
          </w:p>
        </w:tc>
      </w:tr>
      <w:tr>
        <w:trPr>
          <w:trHeight w:hRule="exact" w:val="230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Section XIV: Reconciliations of Components of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Governance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Executive Directors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</w:t>
            </w:r>
          </w:p>
        </w:tc>
      </w:tr>
      <w:tr>
        <w:trPr>
          <w:trHeight w:hRule="exact" w:val="22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Audit Committee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66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Auditor Independence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</w:t>
            </w:r>
          </w:p>
        </w:tc>
      </w:tr>
      <w:tr>
        <w:trPr>
          <w:trHeight w:hRule="exact" w:val="22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External Auditors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</w:t>
            </w:r>
          </w:p>
        </w:tc>
      </w:tr>
      <w:tr>
        <w:trPr>
          <w:trHeight w:hRule="exact" w:val="226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Senior Management Changes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</w:t>
            </w:r>
          </w:p>
        </w:tc>
      </w:tr>
      <w:tr>
        <w:trPr>
          <w:trHeight w:hRule="exact" w:val="284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Internal Control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</w:t>
            </w:r>
          </w:p>
        </w:tc>
      </w:tr>
      <w:tr>
        <w:trPr>
          <w:trHeight w:hRule="exact" w:val="270"/>
        </w:trPr>
        <w:tc>
          <w:tcPr>
            <w:tcW w:type="dxa" w:w="3133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Statements of Income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78" w:lineRule="exact" w:before="6" w:after="11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Allocable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33"/>
        <w:gridCol w:w="3133"/>
        <w:gridCol w:w="3133"/>
      </w:tblGrid>
      <w:tr>
        <w:trPr>
          <w:trHeight w:hRule="exact" w:val="256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Appendix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7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Glossary of Terms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</w:t>
            </w:r>
          </w:p>
        </w:tc>
      </w:tr>
      <w:tr>
        <w:trPr>
          <w:trHeight w:hRule="exact" w:val="220"/>
        </w:trPr>
        <w:tc>
          <w:tcPr>
            <w:tcW w:type="dxa" w:w="3133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0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Abbreviations and Acronyms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</w:t>
            </w:r>
          </w:p>
        </w:tc>
      </w:tr>
      <w:tr>
        <w:trPr>
          <w:trHeight w:hRule="exact" w:val="780"/>
        </w:trPr>
        <w:tc>
          <w:tcPr>
            <w:tcW w:type="dxa" w:w="3133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Eligible Borrowing Member Countries by Region as of June 30, 2025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</w:t>
            </w:r>
          </w:p>
        </w:tc>
      </w:tr>
      <w:tr>
        <w:trPr>
          <w:trHeight w:hRule="exact" w:val="784"/>
        </w:trPr>
        <w:tc>
          <w:tcPr>
            <w:tcW w:type="dxa" w:w="3133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0" w:after="0"/>
              <w:ind w:left="12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00"/>
      </w:tblGrid>
      <w:tr>
        <w:trPr>
          <w:trHeight w:hRule="exact" w:val="254"/>
        </w:trPr>
        <w:tc>
          <w:tcPr>
            <w:tcW w:type="dxa" w:w="938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List of Tables, Figures and Boxes</w:t>
      </w:r>
    </w:p>
    <w:p>
      <w:pPr>
        <w:autoSpaceDN w:val="0"/>
        <w:autoSpaceDE w:val="0"/>
        <w:widowControl/>
        <w:spacing w:line="224" w:lineRule="exact" w:before="15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Tables</w:t>
      </w:r>
    </w:p>
    <w:p>
      <w:pPr>
        <w:autoSpaceDN w:val="0"/>
        <w:tabs>
          <w:tab w:pos="9244" w:val="left"/>
        </w:tabs>
        <w:autoSpaceDE w:val="0"/>
        <w:widowControl/>
        <w:spacing w:line="186" w:lineRule="exact" w:before="1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1: Selected Financial Data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166" w:val="left"/>
        </w:tabs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2: Condensed Balance Sheets </w:t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3: Condensed Statements of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4: Rate and Volume Analysis of Changes in Interest Revenue and Borrowing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5: Statement of Allocable Income (non-GAAP Measures)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6: Net Non-Interest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7: Budget Anchor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8: Unrealized Mark-to-Market Gains (Losses) on Non-trading Portfolios,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9: Allocable Income and Recommended Allocations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3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10: Board of Governors-approved Transfers and Allocations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11: Retained Earnings Composition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12: Net Commitments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13: Gross Disbursements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14: Net Commitments by Maturity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15: Country Pricing Group and Maturity Premium (in Basis Points)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16: Loan Terms Available During Financial Year Ended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17: Loans Outstanding by Interest Rate Structure, Excluding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18: Undisbursed Balances by Loan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3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19: Exposure Exchange Agreements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20: Guarantees Exposure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21: Credit Enhancements Received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30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22: RAMP - Assets and Revenues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23: Funds Held in Trust by IBRD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24: Liquid Asset Portfolio by Asset Class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25: Net Carrying Value of Other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26: Effect of Derivatives on Currency Composition of the Borrowing Portfolio –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27: Short-Term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28: Funding Operations Indicators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29: Maturity Profile of Medium Long-Term Debt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30: Medium and Long-Term Borrowings Raised by Currency during the year, Excluding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31: Breakdown of IBRD Subscribed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32: Usable Paid-in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33: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46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34: Usable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35: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54" w:val="left"/>
        </w:tabs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36: Non-Commercial Counterparty Credit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37: Effect of Credit on IBRD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38: Effect of Interest Rates on IBRD's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39: Liquidity Levels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40: Contractual Obligations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60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41: Funded Status of the Plans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42: Fair Value Level 3 Summary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63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43: Interest Revenue, Net of Borrowings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9154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44: Total Revenue on Interest Earning Assets,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307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00"/>
      </w:tblGrid>
      <w:tr>
        <w:trPr>
          <w:trHeight w:hRule="exact" w:val="254"/>
        </w:trPr>
        <w:tc>
          <w:tcPr>
            <w:tcW w:type="dxa" w:w="938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224" w:lineRule="exact" w:before="59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Figures</w:t>
      </w:r>
    </w:p>
    <w:p>
      <w:pPr>
        <w:autoSpaceDN w:val="0"/>
        <w:tabs>
          <w:tab w:pos="9228" w:val="left"/>
        </w:tabs>
        <w:autoSpaceDE w:val="0"/>
        <w:widowControl/>
        <w:spacing w:line="186" w:lineRule="exact" w:before="1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1: Sources and Uses of Revenue </w:t>
      </w:r>
      <w:r>
        <w:rPr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2: Loan Interest Revenue and Funding Cost (Including Related Derivatives)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3: Loan Interest Revenue, Net of Funding Costs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4: Change in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5: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6: Investments - Trading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7: Investment Revenue,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8: Borrowings (Original Maturities)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9: Net Non-Interest Expenses (Reported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10: Percentage Share of Lending Categories for Annual Net Commitments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11: Voting Power of Top Six Members as of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12: Management Risk Committee Structure for Financial and Operational Risks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13: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46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14: Country Exposures as of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49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15: Sensitivity to Interest Rates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16: Use of Derivatives for Loans and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17: Use of Derivatives for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18: Use of Derivatives for Other ALM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19: Governance Structure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65</w:t>
      </w:r>
    </w:p>
    <w:p>
      <w:pPr>
        <w:autoSpaceDN w:val="0"/>
        <w:autoSpaceDE w:val="0"/>
        <w:widowControl/>
        <w:spacing w:line="224" w:lineRule="exact" w:before="21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Boxes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1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1: Components of Loan spread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2: Loans with Other Financial Terms as of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3: Types of Guarantees Provided by IBRD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4: Financing Instruments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5: Summary of IBRD's Specific Risk Categories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6: Treatment of Overdue Payments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140" w:val="left"/>
        </w:tabs>
        <w:autoSpaceDE w:val="0"/>
        <w:widowControl/>
        <w:spacing w:line="186" w:lineRule="exact" w:before="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7: Eligibility Criteria for IBRD's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661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I: Overview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Introduction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Bank for Reconstruction and Development (IBRD), an international organization owned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its 189 member countries, is one of the five institutions of the World Bank Group (WBG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Each institution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legally and financially independent, with separate assets and liabilities. IBRD is not liable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obligations of the other institutions.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a Multilateral Development Bank (MDB) that combines knowledge services and financing 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reach. IBRD’s value is derived from its ability to help eligible borrowing members address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challenges and meet their rising demand for innovative products. IBRD provides loans,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guarantees, and other financial products for development-focused projects and programs primarily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middle-income and creditworthy lower-income countries to support sustainable development.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across a full range of country clients, IBRD maintains a depth of development knowledge, uses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convening power to promote development, and coordinates responses to regional and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challenges.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 use IBRD’s technical advice and analysis and convening power to develop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implement better policies, programs, and reforms that help sustain development over the long term.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 delivered range from development data, to reports on key social economic and social issues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local, country, regional and global levels. The products also include knowledge-sharing workshops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focused on local issues, flagship events and fora to address the most pressing global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challenges.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IBRD's mission is to end extreme poverty and boost shared prosperity on a livable planet by providing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countries with loans, guarantees, advisory services, analytical support and other products.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and its affiliated institutions seek to help countries in reducing poverty and inequality, and achieve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progress toward development objectives, including economic growth, job creation, governance, human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capital, infrastructure, and debt transparency. To meet its development goals, the WBG supports client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countries' efforts to implement programs to improve growth and development outcomes with a vision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create a world free of poverty on a livable planet. Further, new and ongoing factors continue to influence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global outlook, including: global market uncertainties, migration surges, youth unemployment, energy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access, climate adaptation and mitigation, and growing fragility. IBRD continues to work with partners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and country levels and its borrowing countries to maximize the impact for development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efficiently channeling resources into projects that create jobs, drive growth, reduce poverty, and improve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living standards. To further support these efforts, the Boards of Directors and management have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reforming the WBG and are working to better address the scale of development needs. This process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initiatives to increase impact, expand financing capacity, support projects that address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challenges with cross-border externalities, and modernize the approach to delivery.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Financial Business Model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IBRD’s objective is not to maximize profits, but to earn adequate income to ensure that it has the long-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financial capacity necessary to support its development activities. IBRD seeks to generate sufficient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to finance its operations as well as to be able to grow reserves to strengthen its financial position.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also seeks to provide support to IDA and certain trust funds through income transfers for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developmental purposes.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strength rests on the support it receives from its shareholders, and on its array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policies and practices. Shareholder support for IBRD is reflected in the capital backing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continues to receive from its members and in the record of its borrowing member countries in meeting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debt service obligations to IBRD. Sound financial and risk management policies and practices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enabled IBRD to maintain adequate capital, diversify its funding sources, hold a portfolio of liquid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to meet its financial commitments, and limit its risks, including credit and market risks. </w:t>
      </w:r>
    </w:p>
    <w:p>
      <w:pPr>
        <w:autoSpaceDN w:val="0"/>
        <w:autoSpaceDE w:val="0"/>
        <w:widowControl/>
        <w:spacing w:line="168" w:lineRule="exact" w:before="226" w:after="0"/>
        <w:ind w:left="12" w:right="32" w:hanging="2"/>
        <w:jc w:val="both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1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The other WBG institutions are the International Development Association (IDA), the International Finance Corporation (IFC), the Multilateral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Investment Guarantee Agency (MIGA), and the International Centre for Settlement of Investment Disputes (ICSID). The World Bank consists of IBRD </w:t>
      </w:r>
      <w:r>
        <w:rPr>
          <w:rFonts w:ascii="Arial" w:hAnsi="Arial" w:eastAsia="Arial"/>
          <w:b w:val="0"/>
          <w:i/>
          <w:color w:val="000000"/>
          <w:sz w:val="14"/>
        </w:rPr>
        <w:t>and IDA.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3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its borrowers, in middle-income and creditworthy low-income countries, loans with maturities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 to 35 years. For some projects, the maximum loan maturity can be extended to up to 50 years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16). Borrowers may customize their repayment terms to meet their debt management or project needs,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multiple currencies. Borrowers have generally preferred loans denominated in U.S dollars and euros.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also supports its borrowers by providing access to risk management products such as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instruments, including currency and interest rate swaps, catastrophe derivatives, and interest rate caps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collars.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meet its development goals, IBRD intermediates funds for lending from the international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markets. IBRD’s loans are largely financed through its equity and from borrowings raised in the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markets and from shareholders. IBRD is rated triple-A by the major rating agencies and its bonds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viewed as high-quality securities by investors. IBRD’s funding strategy is aimed at achieving the best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long-term value on a sustainable basis for its borrowing members. This strategy has enabled IBRD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 at favorable market terms and pass the savings on to its borrowing members. IBRD’s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funding volumes vary from year to year, and funds raised are used to finance development projects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programs in member countries. Funds not deployed for lending are maintained in IBRD’s investment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to supply liquidity for its operations.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derivatives to manage its exposure to various market risks from the above activities.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used to align the interest and currency composition of its assets (loan and investment portfolios)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of its liabilities (borrowing portfolio), and to stabilize earnings on the portion of the loan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funded by equity. See Section IX: Risk Management for additional details on how IBRD uses derivatives.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believes that these risk management strategies, taken together, effectively manage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in IBRD’s operations from an economic perspective. However, these strategies entail the 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derivatives, which introduce volatility in net income through unrealized mark-to-market gains and losses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(particularly given the long-term nature of some of IBRD’s assets and liabilities). Accordingly,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makes decisions on income allocation without reference to unrealized mark-to-market gains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losses on risk management instruments in the non-trading portfolios – see Basis of Reporting –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Sources and Uses of Revenue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primary sources of revenue are from loans and investments, both net of funding costs (Figure 1).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revenues cover administrative expenses, provisions for losses on loans and other exposures 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(LLP), as well as transfers to Reserves, Surplus, and for other development purposes, including transfers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IDA.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other development activities generate non-interest revenue that is classified as Revenue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externally funded activities. These external funds include trust fund fees, reimbursable funds,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revenues from fee-based services to member countries. Non-interest revenue from externally funded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activities provides additional capacity to support the development needs of client countries.</w:t>
      </w:r>
    </w:p>
    <w:p>
      <w:pPr>
        <w:autoSpaceDN w:val="0"/>
        <w:tabs>
          <w:tab w:pos="190" w:val="left"/>
        </w:tabs>
        <w:autoSpaceDE w:val="0"/>
        <w:widowControl/>
        <w:spacing w:line="210" w:lineRule="exact" w:before="386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Other exposures include deferred drawdown options (DDO), irrevocable commitments, exposures to member countries’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derivatives and guarantees.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32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889000</wp:posOffset>
            </wp:positionV>
            <wp:extent cx="5918200" cy="3403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03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224" w:lineRule="exact" w:before="358" w:after="23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1: Sources and Uses of Revenue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520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3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0"/>
              </w:rPr>
              <w:t>Simplified Balance Sheet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Revenue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Sources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36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Net Interest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2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Uses</w:t>
            </w:r>
          </w:p>
        </w:tc>
      </w:tr>
      <w:tr>
        <w:trPr>
          <w:trHeight w:hRule="exact" w:val="448"/>
        </w:trPr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Funding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8" w:after="124"/>
        <w:ind w:left="0" w:right="28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7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 xml:space="preserve">Liquid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22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Debt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Return on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9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-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Cost of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Admin </w:t>
            </w:r>
          </w:p>
        </w:tc>
      </w:tr>
      <w:tr>
        <w:trPr>
          <w:trHeight w:hRule="exact" w:val="100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Investments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2100"/>
            <w:gridSpan w:val="2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Expenses</w:t>
            </w:r>
          </w:p>
        </w:tc>
      </w:tr>
      <w:tr>
        <w:trPr>
          <w:trHeight w:hRule="exact" w:val="440"/>
        </w:trPr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Investments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borrowings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Revenue, net</w:t>
            </w:r>
          </w:p>
        </w:tc>
        <w:tc>
          <w:tcPr>
            <w:tcW w:type="dxa" w:w="1050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70" w:after="0"/>
              <w:ind w:left="4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Revenue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2" w:after="0"/>
              <w:ind w:left="0" w:right="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-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7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Cost of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7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Loan Interest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LLP</w:t>
            </w:r>
          </w:p>
        </w:tc>
      </w:tr>
      <w:tr>
        <w:trPr>
          <w:trHeight w:hRule="exact" w:val="300"/>
        </w:trPr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Reserves</w:t>
            </w:r>
          </w:p>
        </w:tc>
      </w:tr>
      <w:tr>
        <w:trPr>
          <w:trHeight w:hRule="exact" w:val="264"/>
        </w:trPr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borrowings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Revenue, net</w:t>
            </w:r>
          </w:p>
        </w:tc>
        <w:tc>
          <w:tcPr>
            <w:tcW w:type="dxa" w:w="10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6" w:after="0"/>
        <w:ind w:left="526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>Loans</w:t>
      </w:r>
    </w:p>
    <w:p>
      <w:pPr>
        <w:autoSpaceDN w:val="0"/>
        <w:autoSpaceDE w:val="0"/>
        <w:widowControl/>
        <w:spacing w:line="224" w:lineRule="exact" w:before="362" w:after="8"/>
        <w:ind w:left="0" w:right="332" w:firstLine="0"/>
        <w:jc w:val="right"/>
      </w:pP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IDA,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4723"/>
        <w:gridCol w:w="4723"/>
      </w:tblGrid>
      <w:tr>
        <w:trPr>
          <w:trHeight w:hRule="exact" w:val="53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8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Equity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88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transfers &amp;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Surplus</w:t>
            </w:r>
          </w:p>
        </w:tc>
      </w:tr>
    </w:tbl>
    <w:p>
      <w:pPr>
        <w:autoSpaceDN w:val="0"/>
        <w:autoSpaceDE w:val="0"/>
        <w:widowControl/>
        <w:spacing w:line="312" w:lineRule="exact" w:before="10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Basis of Reporting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Reported Basis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statements are prepared in accordance with accounting principles generally accepted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of America (U.S. GAAP) and are independently audited on an annual basis. Generally,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- Trading, Borrowings, and Derivatives are reported at fair value in the Balance Sheets,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fair value reported in the Statements of Income. Changes in IBRD’s own credit are reflected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Comprehensive Income. Hybrid capital and IBRD’s loans are reported at amortized cost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Sheets.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variability in IBRD’s reported net income is inherently driven by the unrealized mark-to-market gains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losses on the financial instruments in IBRD’s non-trading portfolios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not all financial instruments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reported on the same measurement basis. IBRD’s risk management strategy entails the 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 to manage market risk. These derivatives are primarily used to align the interest rate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bases of its assets and liabilities. IBRD has elected not to designate any hedging relationships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accounting purposes. Rather, all derivative instruments are reported at fair value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Sheets, with changes in fair values accounted for through the Statements of Income.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Non-GAAP Measures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uses certain non-GAAP financial measures to evaluate the underlying operations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performance of IBRD. A non-GAAP financial measure is a measure that is adjusted to exclude,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include, or reclassify certain items or components from the most directly comparable measure calculated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accordance with U.S. GAAP and reported in the audited financial statements. 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Allocable Income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Articles of Agreement (the Articles) require that the Board of Governors determine the allocation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at the end of every fiscal year. Allocable income is a non-GAAP measure that reflects 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for allocation. IBRD defines allocable income as net income after certain adjustments.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adjustments primarily relate to unrealized mark-to-market gains and losses associated with the non-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64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trading portfolios, as well as Board of Governors-approved transfers, which primarily relate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of the prior year’s net income.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line with its financial risk management policies, for the non-trading portfolios, unrealized mark-to-market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and losses from instruments reported at fair value (borrowing portfolio, and derivatives in the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other Asset/Liability Management (ALM) portfolios) are excluded from allocable income.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trading portfolio (investment portfolio), allocable income generally includes both realized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mark-to-market gains and losses. In some cases, the unrealized mark-to-market gains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on certain trades are excluded from allocable income when the underlying item is an asset held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amortized cost.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Section III: Financial Results and Table 9, for details of the adjustments to reported net income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calculate allocable income.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Equity-to-Loans Ratio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IBRD's capital adequacy model mandates that IBRD hold capital for credit risk, market risk,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 covering all activities and assets on its books. The Equity-to-Loans ratio is a key indicator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IBRD's capital adequacy representing IBRD's usable equity as a percentage of its total loans,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and other exposures.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Section IX: Risk Management and Table 33 for more details on the Equity-to-Loans ratio.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Budget Anchor Ratio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Anchor is an efficiency metric to monitor the coverage of IBRD's net administrative expenses </w:t>
      </w:r>
      <w:r>
        <w:rPr>
          <w:rFonts w:ascii="ArialMT" w:hAnsi="ArialMT" w:eastAsia="ArialMT"/>
          <w:b w:val="0"/>
          <w:i w:val="0"/>
          <w:color w:val="000000"/>
          <w:sz w:val="20"/>
        </w:rPr>
        <w:t>by its loan spread revenue.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Section III: Financial Results and Table 7 for more details of the Budget Anchor components.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784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II: Executive Summary</w:t>
      </w:r>
    </w:p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Management’s Discussion and Analysis (MD&amp;A) discusses the financial results of the International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 for Reconstruction and Development (IBRD) for the fiscal year ended June 30, 2025 (FY25).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undertakes no obligation to update any forward-looking statements. Certain reclassifications of prior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years’ information have been made to conform with the current year’s presentation. For discussion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results for the year ended June 30, 2024, as compared to the year ended June 30, 2023,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Section III: Financial Results in IBRD’s MD&amp;A and Financial Statements for the fiscal year 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2024 (FY24).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1: Selected Financial Data</w:t>
      </w:r>
    </w:p>
    <w:p>
      <w:pPr>
        <w:autoSpaceDN w:val="0"/>
        <w:tabs>
          <w:tab w:pos="5186" w:val="left"/>
        </w:tabs>
        <w:autoSpaceDE w:val="0"/>
        <w:widowControl/>
        <w:spacing w:line="216" w:lineRule="exact" w:before="48" w:after="22"/>
        <w:ind w:left="10" w:right="100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dollars, except ratios which are in percentages </w:t>
      </w:r>
      <w:r>
        <w:br/>
      </w:r>
      <w:r>
        <w:tab/>
      </w:r>
      <w:r>
        <w:rPr>
          <w:rFonts w:ascii="Arial" w:hAnsi="Arial" w:eastAsia="Arial"/>
          <w:b w:val="0"/>
          <w:i/>
          <w:color w:val="808080"/>
          <w:sz w:val="16"/>
        </w:rPr>
        <w:t>As of and for the fiscal years ended June 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1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178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8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69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1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(Section IV)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Loans and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40,885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37,568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38,572 </w:t>
            </w:r>
          </w:p>
        </w:tc>
      </w:tr>
      <w:tr>
        <w:trPr>
          <w:trHeight w:hRule="exact" w:val="24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30,779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33,450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25,504 </w:t>
            </w:r>
          </w:p>
        </w:tc>
      </w:tr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14,794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20,115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12,736 </w:t>
            </w:r>
          </w:p>
        </w:tc>
      </w:tr>
    </w:tbl>
    <w:p>
      <w:pPr>
        <w:autoSpaceDN w:val="0"/>
        <w:autoSpaceDE w:val="0"/>
        <w:widowControl/>
        <w:spacing w:line="180" w:lineRule="exact" w:before="44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Income Statement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>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8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transfers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(221) </w:t>
            </w:r>
          </w:p>
        </w:tc>
      </w:tr>
      <w:tr>
        <w:trPr>
          <w:trHeight w:hRule="exact" w:val="316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178" w:lineRule="exact" w:before="2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399,511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332,641 </w:t>
            </w:r>
          </w:p>
        </w:tc>
      </w:tr>
      <w:tr>
        <w:trPr>
          <w:trHeight w:hRule="exact" w:val="24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Investments-Trading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102,674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79,199 </w:t>
            </w:r>
          </w:p>
        </w:tc>
      </w:tr>
      <w:tr>
        <w:trPr>
          <w:trHeight w:hRule="exact" w:val="24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280,043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241,041 </w:t>
            </w:r>
          </w:p>
        </w:tc>
      </w:tr>
      <w:tr>
        <w:trPr>
          <w:trHeight w:hRule="exact" w:val="24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306,161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</w:tr>
      <w:tr>
        <w:trPr>
          <w:trHeight w:hRule="exact" w:val="32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72,012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60,382 </w:t>
            </w:r>
          </w:p>
        </w:tc>
      </w:tr>
    </w:tbl>
    <w:p>
      <w:pPr>
        <w:autoSpaceDN w:val="0"/>
        <w:autoSpaceDE w:val="0"/>
        <w:widowControl/>
        <w:spacing w:line="180" w:lineRule="exact" w:before="22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Measures:</w:t>
      </w:r>
    </w:p>
    <w:p>
      <w:pPr>
        <w:autoSpaceDN w:val="0"/>
        <w:autoSpaceDE w:val="0"/>
        <w:widowControl/>
        <w:spacing w:line="200" w:lineRule="exact" w:before="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Allocable Income </w:t>
      </w:r>
      <w:r>
        <w:rPr>
          <w:rFonts w:ascii="ArialMT" w:hAnsi="ArialMT" w:eastAsia="ArialMT"/>
          <w:b w:val="0"/>
          <w:i w:val="0"/>
          <w:color w:val="000000"/>
          <w:sz w:val="16"/>
        </w:rPr>
        <w:t>(Section III)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2,384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1,849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1,312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30"/>
        <w:ind w:left="5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Allocated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8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</w:p>
        </w:tc>
        <w:tc>
          <w:tcPr>
            <w:tcW w:type="dxa" w:w="94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</w:p>
        </w:tc>
        <w:tc>
          <w:tcPr>
            <w:tcW w:type="dxa" w:w="5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834 </w:t>
            </w:r>
          </w:p>
        </w:tc>
        <w:tc>
          <w:tcPr>
            <w:tcW w:type="dxa" w:w="62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 </w:t>
            </w:r>
          </w:p>
        </w:tc>
      </w:tr>
      <w:tr>
        <w:trPr>
          <w:trHeight w:hRule="exact" w:val="24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International Development Association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782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</w:tr>
      <w:tr>
        <w:trPr>
          <w:trHeight w:hRule="exact" w:val="24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46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Usable Equity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(Section VIII)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57,878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53,105 </w:t>
            </w:r>
          </w:p>
        </w:tc>
      </w:tr>
      <w:tr>
        <w:trPr>
          <w:trHeight w:hRule="exact" w:val="910"/>
        </w:trPr>
        <w:tc>
          <w:tcPr>
            <w:tcW w:type="dxa" w:w="37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Equity-to-Loans ratio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(Section IX)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6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21.6 %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21.5 %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22.0 %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that have been approved by the Executive Directors (referred to as “the Board” in this document), and are net of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full terminations and cancellations relating to commitments approved in the same fiscal year.</w:t>
      </w:r>
    </w:p>
    <w:p>
      <w:pPr>
        <w:autoSpaceDN w:val="0"/>
        <w:autoSpaceDE w:val="0"/>
        <w:widowControl/>
        <w:spacing w:line="180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See Notes to the Financial Statements: Note C - Investments, Note E - Borrowings.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Refer to Table 9: Allocable Income and Recommended Allocations for a reconciliation to net income as per reported basis.</w:t>
      </w:r>
    </w:p>
    <w:p>
      <w:pPr>
        <w:autoSpaceDN w:val="0"/>
        <w:tabs>
          <w:tab w:pos="196" w:val="left"/>
        </w:tabs>
        <w:autoSpaceDE w:val="0"/>
        <w:widowControl/>
        <w:spacing w:line="192" w:lineRule="exact" w:before="5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Excludes amounts associated with unrealized mark-to-market gains/losses on non-trading portfolios, net and related cumulative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translation adjustments.</w:t>
      </w:r>
    </w:p>
    <w:p>
      <w:pPr>
        <w:autoSpaceDN w:val="0"/>
        <w:autoSpaceDE w:val="0"/>
        <w:widowControl/>
        <w:spacing w:line="220" w:lineRule="exact" w:before="5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Usable Equity includes the impact of the transfer to the General Reserve from FY25 net income, which was approved by the </w:t>
      </w:r>
    </w:p>
    <w:p>
      <w:pPr>
        <w:autoSpaceDN w:val="0"/>
        <w:autoSpaceDE w:val="0"/>
        <w:widowControl/>
        <w:spacing w:line="180" w:lineRule="exact" w:before="52" w:after="0"/>
        <w:ind w:left="2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Board on August 7, 2025. See Usable Equity components in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Table 33: Equity-to-Loans Ratio and reconciliation of IBRD's Total </w:t>
      </w:r>
    </w:p>
    <w:p>
      <w:pPr>
        <w:autoSpaceDN w:val="0"/>
        <w:autoSpaceDE w:val="0"/>
        <w:widowControl/>
        <w:spacing w:line="180" w:lineRule="exact" w:before="60" w:after="0"/>
        <w:ind w:left="2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equity to Usable equity in Table 34: Usable Equity.</w:t>
      </w:r>
    </w:p>
    <w:p>
      <w:pPr>
        <w:autoSpaceDN w:val="0"/>
        <w:autoSpaceDE w:val="0"/>
        <w:widowControl/>
        <w:spacing w:line="180" w:lineRule="exact" w:before="11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See components in Table 33: Equity-to-Loans Ratio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3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314" w:lineRule="exact" w:before="4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Summary Financial Results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Income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recorded net income of $2,100 million for the fiscal year ended June 30, 2025, a decrease of $42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million, compared with net income of $2,142 million for the fiscal year ended June 30, 2024.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 in FY25 was primarily due to higher Board of Governors-approved transfers by $444 million.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was partially offset by an increase in interest revenue net of borrowing expenses and lower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 for losses on loans and other exposures.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Allocable Income</w:t>
      </w:r>
    </w:p>
    <w:p>
      <w:pPr>
        <w:autoSpaceDN w:val="0"/>
        <w:autoSpaceDE w:val="0"/>
        <w:widowControl/>
        <w:spacing w:line="240" w:lineRule="exact" w:before="11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 is a non-GAAP measure IBRD uses for making net income allocation decisions. Given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intention to maintain its non-trading portfolio positions to maturity, unrealized mark-to-market gains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losses for these portfolios are not included in IBRD’s allocable income. In addition,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Governors-approved transfers are also excluded from IBRD's allocable income since these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relate to allocations out of prior year allocable income, surplus, or restricted retained earnings.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fiscal year ended June 30, 2025, allocable income was $2,384 million, compared with $1,849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for the fiscal year ended June 30, 2024. The increase was primarily due to the increase in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>revenue on interest earning assets in FY25, compared to FY24 (Section III).</w:t>
      </w:r>
    </w:p>
    <w:p>
      <w:pPr>
        <w:autoSpaceDN w:val="0"/>
        <w:autoSpaceDE w:val="0"/>
        <w:widowControl/>
        <w:spacing w:line="180" w:lineRule="exact" w:before="14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240" w:lineRule="exact" w:before="228" w:after="16"/>
        <w:ind w:left="2814" w:right="2306" w:firstLine="0"/>
        <w:jc w:val="both"/>
      </w:pPr>
      <w:r>
        <w:rPr>
          <w:rFonts w:ascii="ArialMT" w:hAnsi="ArialMT" w:eastAsia="ArialMT"/>
          <w:b w:val="0"/>
          <w:i w:val="0"/>
          <w:color w:val="494949"/>
          <w:sz w:val="20"/>
        </w:rPr>
        <w:t xml:space="preserve">Allocable income </w:t>
      </w:r>
      <w:r>
        <w:br/>
      </w:r>
      <w:r>
        <w:rPr>
          <w:rFonts w:ascii="ArialMT" w:hAnsi="ArialMT" w:eastAsia="ArialMT"/>
          <w:b w:val="0"/>
          <w:i w:val="0"/>
          <w:color w:val="494949"/>
          <w:sz w:val="20"/>
        </w:rPr>
        <w:t xml:space="preserve">Net Income/Loss </w:t>
      </w:r>
      <w:r>
        <w:br/>
      </w:r>
      <w:r>
        <w:rPr>
          <w:rFonts w:ascii="ArialMT" w:hAnsi="ArialMT" w:eastAsia="ArialMT"/>
          <w:b w:val="0"/>
          <w:i w:val="0"/>
          <w:color w:val="494949"/>
          <w:sz w:val="20"/>
        </w:rPr>
        <w:t>Unrealized gains/losses on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4723"/>
        <w:gridCol w:w="4723"/>
      </w:tblGrid>
      <w:tr>
        <w:trPr>
          <w:trHeight w:hRule="exact" w:val="112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44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 xml:space="preserve">4,000 </w:t>
            </w: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 xml:space="preserve">2,000 </w:t>
            </w: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0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8900" cy="584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2" w:lineRule="exact" w:before="138" w:after="10"/>
        <w:ind w:left="208" w:right="0" w:firstLine="0"/>
        <w:jc w:val="left"/>
      </w:pPr>
      <w:r>
        <w:rPr>
          <w:rFonts w:ascii="ArialMT" w:hAnsi="ArialMT" w:eastAsia="ArialMT"/>
          <w:b w:val="0"/>
          <w:i w:val="0"/>
          <w:color w:val="494949"/>
          <w:sz w:val="20"/>
        </w:rPr>
        <w:t>-2,000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9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FY21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FY22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FY23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FY24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20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68" w:lineRule="exact" w:before="2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Lending Operations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lending operations during the fiscal year ended June 30, 2025 provided $40.9 billion of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commitments (Table 12) and $30.8 billion of gross loan disbursements (Table 13). Net disbursements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$14.8 billion were the key driver of the increase in net loans outstanding from $260.2 billion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2024 to $280.0 billion as of June 30, 2025.</w:t>
      </w:r>
    </w:p>
    <w:p>
      <w:pPr>
        <w:autoSpaceDN w:val="0"/>
        <w:autoSpaceDE w:val="0"/>
        <w:widowControl/>
        <w:spacing w:line="180" w:lineRule="exact" w:before="144" w:after="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450"/>
        </w:trPr>
        <w:tc>
          <w:tcPr>
            <w:tcW w:type="dxa" w:w="528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Commitments</w:t>
            </w:r>
          </w:p>
        </w:tc>
        <w:tc>
          <w:tcPr>
            <w:tcW w:type="dxa" w:w="892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4"/>
            <w:gridSpan w:val="5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Disbursements</w:t>
            </w:r>
          </w:p>
        </w:tc>
        <w:tc>
          <w:tcPr>
            <w:tcW w:type="dxa" w:w="722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300</w:t>
            </w:r>
          </w:p>
        </w:tc>
        <w:tc>
          <w:tcPr>
            <w:tcW w:type="dxa" w:w="2228"/>
            <w:tcBorders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Loans outstanding</w:t>
            </w:r>
          </w:p>
        </w:tc>
      </w:tr>
      <w:tr>
        <w:trPr>
          <w:trHeight w:hRule="exact" w:val="90"/>
        </w:trPr>
        <w:tc>
          <w:tcPr>
            <w:tcW w:type="dxa" w:w="528"/>
            <w:vMerge w:val="restart"/>
            <w:tcBorders>
              <w:top w:sz="6.013933658599853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45</w:t>
            </w:r>
          </w:p>
        </w:tc>
        <w:tc>
          <w:tcPr>
            <w:tcW w:type="dxa" w:w="2174"/>
            <w:vMerge w:val="restart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241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"/>
            <w:tcBorders>
              <w:top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45</w:t>
            </w:r>
          </w:p>
        </w:tc>
        <w:tc>
          <w:tcPr>
            <w:tcW w:type="dxa" w:w="2364"/>
            <w:gridSpan w:val="5"/>
            <w:vMerge w:val="restart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8600" cy="2413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2"/>
            <w:tcBorders>
              <w:top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8"/>
            <w:vMerge w:val="restart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97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4"/>
        </w:trPr>
        <w:tc>
          <w:tcPr>
            <w:tcW w:type="dxa" w:w="945"/>
            <w:vMerge/>
            <w:tcBorders>
              <w:top w:sz="6.0139336585998535" w:val="single" w:color="#E5E6E5"/>
            </w:tcBorders>
          </w:tcPr>
          <w:p/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892"/>
            <w:vMerge w:val="restart"/>
            <w:tcBorders>
              <w:bottom w:sz="6.02419948577880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36</w:t>
            </w:r>
          </w:p>
        </w:tc>
        <w:tc>
          <w:tcPr>
            <w:tcW w:type="dxa" w:w="4725"/>
            <w:gridSpan w:val="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</w:tr>
      <w:tr>
        <w:trPr>
          <w:trHeight w:hRule="exact" w:val="176"/>
        </w:trPr>
        <w:tc>
          <w:tcPr>
            <w:tcW w:type="dxa" w:w="528"/>
            <w:vMerge w:val="restart"/>
            <w:tcBorders>
              <w:bottom w:sz="6.02419948577880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36</w:t>
            </w:r>
          </w:p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945"/>
            <w:vMerge/>
            <w:tcBorders>
              <w:bottom w:sz="6.024199485778809" w:val="single" w:color="#E5E6E5"/>
            </w:tcBorders>
          </w:tcPr>
          <w:p/>
        </w:tc>
        <w:tc>
          <w:tcPr>
            <w:tcW w:type="dxa" w:w="4725"/>
            <w:gridSpan w:val="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</w:tr>
      <w:tr>
        <w:trPr>
          <w:trHeight w:hRule="exact" w:val="130"/>
        </w:trPr>
        <w:tc>
          <w:tcPr>
            <w:tcW w:type="dxa" w:w="945"/>
            <w:vMerge/>
            <w:tcBorders>
              <w:bottom w:sz="6.024199485778809" w:val="single" w:color="#E5E6E5"/>
            </w:tcBorders>
          </w:tcPr>
          <w:p/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945"/>
            <w:vMerge/>
            <w:tcBorders>
              <w:bottom w:sz="6.024199485778809" w:val="single" w:color="#E5E6E5"/>
            </w:tcBorders>
          </w:tcPr>
          <w:p/>
        </w:tc>
        <w:tc>
          <w:tcPr>
            <w:tcW w:type="dxa" w:w="4725"/>
            <w:gridSpan w:val="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722"/>
            <w:tcBorders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</w:tr>
      <w:tr>
        <w:trPr>
          <w:trHeight w:hRule="exact" w:val="138"/>
        </w:trPr>
        <w:tc>
          <w:tcPr>
            <w:tcW w:type="dxa" w:w="528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27</w:t>
            </w:r>
          </w:p>
        </w:tc>
        <w:tc>
          <w:tcPr>
            <w:tcW w:type="dxa" w:w="4725"/>
            <w:gridSpan w:val="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722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200</w:t>
            </w:r>
          </w:p>
        </w:tc>
        <w:tc>
          <w:tcPr>
            <w:tcW w:type="dxa" w:w="2228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528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27</w:t>
            </w:r>
          </w:p>
        </w:tc>
        <w:tc>
          <w:tcPr>
            <w:tcW w:type="dxa" w:w="2174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5"/>
            <w:gridSpan w:val="5"/>
            <w:vMerge/>
            <w:tcBorders>
              <w:top w:sz="6.0139336585998535" w:val="single" w:color="#E5E6E5"/>
              <w:bottom w:sz="6.024199485778809" w:val="single" w:color="#E5E6E5"/>
            </w:tcBorders>
          </w:tcPr>
          <w:p/>
        </w:tc>
        <w:tc>
          <w:tcPr>
            <w:tcW w:type="dxa" w:w="722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8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528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</w:t>
            </w:r>
          </w:p>
        </w:tc>
        <w:tc>
          <w:tcPr>
            <w:tcW w:type="dxa" w:w="2364"/>
            <w:gridSpan w:val="5"/>
            <w:vMerge w:val="restart"/>
            <w:tcBorders>
              <w:top w:sz="6.024199485778809" w:val="single" w:color="#E5E6E5"/>
              <w:bottom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86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2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2228"/>
            <w:tcBorders>
              <w:top w:sz="6.024199485778809" w:val="single" w:color="#E5E6E5"/>
              <w:bottom w:sz="6.0139336585998535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"/>
        </w:trPr>
        <w:tc>
          <w:tcPr>
            <w:tcW w:type="dxa" w:w="528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5"/>
            <w:gridSpan w:val="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  <w:tc>
          <w:tcPr>
            <w:tcW w:type="dxa" w:w="722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8"/>
            <w:tcBorders>
              <w:top w:sz="6.0139336585998535" w:val="single" w:color="#E5E6E5"/>
              <w:bottom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"/>
        </w:trPr>
        <w:tc>
          <w:tcPr>
            <w:tcW w:type="dxa" w:w="528"/>
            <w:tcBorders>
              <w:top w:sz="6.02419948577880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vMerge w:val="restart"/>
            <w:tcBorders>
              <w:top w:sz="6.024199485778809" w:val="single" w:color="#E5E6E5"/>
              <w:bottom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vMerge w:val="restart"/>
            <w:tcBorders>
              <w:top w:sz="6.024199485778809" w:val="single" w:color="#E5E6E5"/>
              <w:bottom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725"/>
            <w:gridSpan w:val="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  <w:tc>
          <w:tcPr>
            <w:tcW w:type="dxa" w:w="722"/>
            <w:tcBorders>
              <w:top w:sz="6.024199485778809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100</w:t>
            </w:r>
          </w:p>
        </w:tc>
        <w:tc>
          <w:tcPr>
            <w:tcW w:type="dxa" w:w="2228"/>
            <w:vMerge w:val="restart"/>
            <w:tcBorders>
              <w:top w:sz="6.024199485778809" w:val="single" w:color="#E5E6E5"/>
              <w:bottom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"/>
        </w:trPr>
        <w:tc>
          <w:tcPr>
            <w:tcW w:type="dxa" w:w="528"/>
            <w:tcBorders>
              <w:bottom w:sz="6.02289104461669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  <w:tc>
          <w:tcPr>
            <w:tcW w:type="dxa" w:w="94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  <w:tc>
          <w:tcPr>
            <w:tcW w:type="dxa" w:w="4725"/>
            <w:gridSpan w:val="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  <w:tc>
          <w:tcPr>
            <w:tcW w:type="dxa" w:w="722"/>
            <w:tcBorders>
              <w:bottom w:sz="6.022891044616699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5"/>
            <w:vMerge/>
            <w:tcBorders>
              <w:top w:sz="6.024199485778809" w:val="single" w:color="#E5E6E5"/>
              <w:bottom w:sz="6.022891044616699" w:val="single" w:color="#E5E6E5"/>
            </w:tcBorders>
          </w:tcPr>
          <w:p/>
        </w:tc>
      </w:tr>
      <w:tr>
        <w:trPr>
          <w:trHeight w:hRule="exact" w:val="124"/>
        </w:trPr>
        <w:tc>
          <w:tcPr>
            <w:tcW w:type="dxa" w:w="528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</w:t>
            </w:r>
          </w:p>
        </w:tc>
        <w:tc>
          <w:tcPr>
            <w:tcW w:type="dxa" w:w="2174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 FY22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892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</w:t>
            </w:r>
          </w:p>
        </w:tc>
        <w:tc>
          <w:tcPr>
            <w:tcW w:type="dxa" w:w="446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80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20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520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98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722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2228"/>
            <w:vMerge w:val="restart"/>
            <w:tcBorders>
              <w:top w:sz="6.022891044616699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21 Jun 22 Jun 23 Jun 24 Jun 25</w:t>
            </w:r>
          </w:p>
        </w:tc>
      </w:tr>
      <w:tr>
        <w:trPr>
          <w:trHeight w:hRule="exact" w:val="560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</w:tr>
      <w:tr>
        <w:trPr>
          <w:trHeight w:hRule="exact" w:val="348"/>
        </w:trPr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13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2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Gross</w:t>
            </w:r>
          </w:p>
        </w:tc>
        <w:tc>
          <w:tcPr>
            <w:tcW w:type="dxa" w:w="10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>
              <w:top w:sz="6.022891044616699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118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commitments were $3.3 billion higher compared with FY24 (Table 12). The regions with the largest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 of commitments during FY25 were Latin America and the Caribbean with 30%, and Europe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Central Asia with 26%. Gross disbursements were $2.7 billion lower compared to FY24 (Table 13).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regions with the largest share of gross disbursements were Europe and Central Asia with 26%, and Latin </w:t>
      </w:r>
      <w:r>
        <w:rPr>
          <w:rFonts w:ascii="ArialMT" w:hAnsi="ArialMT" w:eastAsia="ArialMT"/>
          <w:b w:val="0"/>
          <w:i w:val="0"/>
          <w:color w:val="000000"/>
          <w:sz w:val="20"/>
        </w:rPr>
        <w:t>America and the Caribbean with 26%.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39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0"/>
        <w:gridCol w:w="4700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802" w:after="14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Investments - Trading</w:t>
      </w: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0" w:right="3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Investments - Trading increased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$20.0 billion, from $82.7 billion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 to $102.7 billion as of June 30, 2025. The 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 w:num="2" w:equalWidth="0">
            <w:col w:w="4718" w:space="0"/>
            <w:col w:w="468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184"/>
        <w:ind w:left="332" w:right="216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Investments - Trading</w:t>
      </w:r>
    </w:p>
    <w:p>
      <w:pPr>
        <w:sectPr>
          <w:type w:val="nextColumn"/>
          <w:pgSz w:w="12240" w:h="15840"/>
          <w:pgMar w:top="216" w:right="1410" w:bottom="288" w:left="1430" w:header="720" w:footer="720" w:gutter="0"/>
          <w:cols w:num="2" w:equalWidth="0">
            <w:col w:w="4718" w:space="0"/>
            <w:col w:w="46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33"/>
        <w:gridCol w:w="3133"/>
        <w:gridCol w:w="3133"/>
      </w:tblGrid>
      <w:tr>
        <w:trPr>
          <w:trHeight w:hRule="exact" w:val="23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increase was primarily due to net new debt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  <w:tc>
          <w:tcPr>
            <w:tcW w:type="dxa" w:w="3016"/>
            <w:vMerge w:val="restart"/>
            <w:tcBorders>
              <w:bottom w:sz="6.00461006164550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17700" cy="2413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3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issuances that were higher than net loan </w:t>
            </w:r>
          </w:p>
        </w:tc>
        <w:tc>
          <w:tcPr>
            <w:tcW w:type="dxa" w:w="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90</w:t>
            </w:r>
          </w:p>
        </w:tc>
        <w:tc>
          <w:tcPr>
            <w:tcW w:type="dxa" w:w="3133"/>
            <w:vMerge/>
            <w:tcBorders>
              <w:bottom w:sz="6.004610061645508" w:val="single" w:color="#E5E6E5"/>
            </w:tcBorders>
          </w:tcPr>
          <w:p/>
        </w:tc>
      </w:tr>
      <w:tr>
        <w:trPr>
          <w:trHeight w:hRule="exact" w:val="22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disbursements during the year, and is consistent </w:t>
            </w:r>
          </w:p>
        </w:tc>
        <w:tc>
          <w:tcPr>
            <w:tcW w:type="dxa" w:w="3133"/>
            <w:vMerge/>
            <w:tcBorders/>
          </w:tcPr>
          <w:p/>
        </w:tc>
        <w:tc>
          <w:tcPr>
            <w:tcW w:type="dxa" w:w="3133"/>
            <w:vMerge/>
            <w:tcBorders>
              <w:bottom w:sz="6.004610061645508" w:val="single" w:color="#E5E6E5"/>
            </w:tcBorders>
          </w:tcPr>
          <w:p/>
        </w:tc>
      </w:tr>
      <w:tr>
        <w:trPr>
          <w:trHeight w:hRule="exact" w:val="25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with the higher target liquidity level in FY25 </w:t>
            </w:r>
          </w:p>
        </w:tc>
        <w:tc>
          <w:tcPr>
            <w:tcW w:type="dxa" w:w="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60</w:t>
            </w:r>
          </w:p>
        </w:tc>
        <w:tc>
          <w:tcPr>
            <w:tcW w:type="dxa" w:w="3133"/>
            <w:vMerge/>
            <w:tcBorders>
              <w:bottom w:sz="6.004610061645508" w:val="single" w:color="#E5E6E5"/>
            </w:tcBorders>
          </w:tcPr>
          <w:p/>
        </w:tc>
      </w:tr>
      <w:tr>
        <w:trPr>
          <w:trHeight w:hRule="exact" w:val="22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compared to FY24 (Section III and Section VI). </w:t>
            </w:r>
          </w:p>
        </w:tc>
        <w:tc>
          <w:tcPr>
            <w:tcW w:type="dxa" w:w="3133"/>
            <w:vMerge/>
            <w:tcBorders/>
          </w:tcPr>
          <w:p/>
        </w:tc>
        <w:tc>
          <w:tcPr>
            <w:tcW w:type="dxa" w:w="3133"/>
            <w:vMerge/>
            <w:tcBorders>
              <w:bottom w:sz="6.004610061645508" w:val="single" w:color="#E5E6E5"/>
            </w:tcBorders>
          </w:tcPr>
          <w:p/>
        </w:tc>
      </w:tr>
      <w:tr>
        <w:trPr>
          <w:trHeight w:hRule="exact" w:val="274"/>
        </w:trPr>
        <w:tc>
          <w:tcPr>
            <w:tcW w:type="dxa" w:w="4820"/>
            <w:tcBorders>
              <w:bottom w:sz="6.00461006164550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of June 30, 2025, 77% of the investments are </w:t>
            </w:r>
          </w:p>
        </w:tc>
        <w:tc>
          <w:tcPr>
            <w:tcW w:type="dxa" w:w="938"/>
            <w:tcBorders>
              <w:bottom w:sz="6.00461006164550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3"/>
            <w:vMerge/>
            <w:tcBorders>
              <w:bottom w:sz="6.004610061645508" w:val="single" w:color="#E5E6E5"/>
            </w:tcBorders>
          </w:tcPr>
          <w:p/>
        </w:tc>
      </w:tr>
      <w:tr>
        <w:trPr>
          <w:trHeight w:hRule="exact" w:val="272"/>
        </w:trPr>
        <w:tc>
          <w:tcPr>
            <w:tcW w:type="dxa" w:w="4820"/>
            <w:tcBorders>
              <w:top w:sz="6.00461006164550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rated AA or above (Table 35).</w:t>
            </w:r>
          </w:p>
        </w:tc>
        <w:tc>
          <w:tcPr>
            <w:tcW w:type="dxa" w:w="938"/>
            <w:tcBorders>
              <w:top w:sz="6.00461006164550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</w:t>
            </w:r>
          </w:p>
        </w:tc>
        <w:tc>
          <w:tcPr>
            <w:tcW w:type="dxa" w:w="3016"/>
            <w:tcBorders>
              <w:top w:sz="6.004610061645508" w:val="single" w:color="#E5E6E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68" w:after="18"/>
        <w:ind w:left="0" w:right="3884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rPr>
          <w:trHeight w:hRule="exact" w:val="770"/>
        </w:trPr>
        <w:tc>
          <w:tcPr>
            <w:tcW w:type="dxa" w:w="4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6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Borrowings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20" w:right="32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Borrowings reported at fair value: As of June 30,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2025, the borrowings reported at fair value were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$305.7 billion, $43.9 billion higher than June 30,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2024. The increase was mainly due to net new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debt issuances that financed the growing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25</w:t>
            </w:r>
          </w:p>
        </w:tc>
      </w:tr>
      <w:tr>
        <w:trPr>
          <w:trHeight w:hRule="exact" w:val="1260"/>
        </w:trPr>
        <w:tc>
          <w:tcPr>
            <w:tcW w:type="dxa" w:w="4275"/>
            <w:gridSpan w:val="5"/>
            <w:vMerge/>
            <w:tcBorders/>
          </w:tcPr>
          <w:p/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30" w:after="0"/>
              <w:ind w:left="340" w:right="230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billions of U.S. dollars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Borrowings</w:t>
            </w:r>
          </w:p>
        </w:tc>
      </w:tr>
      <w:tr>
        <w:trPr>
          <w:trHeight w:hRule="exact" w:val="740"/>
        </w:trPr>
        <w:tc>
          <w:tcPr>
            <w:tcW w:type="dxa" w:w="4275"/>
            <w:gridSpan w:val="5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432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320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3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7700" cy="266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lending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operations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432" w:right="3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160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80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1058"/>
        </w:trPr>
        <w:tc>
          <w:tcPr>
            <w:tcW w:type="dxa" w:w="4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satisfied liquidity requirements.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20" w:right="32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Borrowings reported at amortized cost: As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June 30, 2025, the borrowings reported 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amortized cost were $482 million, all related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IBRD's issuances of hybrid capital (Section III </w:t>
            </w:r>
          </w:p>
        </w:tc>
        <w:tc>
          <w:tcPr>
            <w:tcW w:type="dxa" w:w="5130"/>
            <w:gridSpan w:val="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4275"/>
            <w:gridSpan w:val="5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24" w:lineRule="exact" w:before="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and Section IX).</w:t>
      </w:r>
    </w:p>
    <w:p>
      <w:pPr>
        <w:autoSpaceDN w:val="0"/>
        <w:autoSpaceDE w:val="0"/>
        <w:widowControl/>
        <w:spacing w:line="268" w:lineRule="exact" w:before="370" w:after="14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Equity-to-Loans Ratio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Equity-to-Loans ratio marginally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21.5% as of June 30, 2024 to 21.6% as of 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 w:num="2" w:equalWidth="0">
            <w:col w:w="4718" w:space="0"/>
            <w:col w:w="468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40"/>
        <w:ind w:left="332" w:right="216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Ratio in percentages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Equity-to-Loans Ratio</w:t>
      </w:r>
    </w:p>
    <w:p>
      <w:pPr>
        <w:sectPr>
          <w:type w:val="nextColumn"/>
          <w:pgSz w:w="12240" w:h="15840"/>
          <w:pgMar w:top="216" w:right="1410" w:bottom="288" w:left="1430" w:header="720" w:footer="720" w:gutter="0"/>
          <w:cols w:num="2" w:equalWidth="0">
            <w:col w:w="4718" w:space="0"/>
            <w:col w:w="46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700"/>
        <w:gridCol w:w="4700"/>
      </w:tblGrid>
      <w:tr>
        <w:trPr>
          <w:trHeight w:hRule="exact" w:val="47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June 30, 2025, primarily due to the increase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usable equity outpacing the increase in loan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36" w:lineRule="exact" w:before="0" w:after="8"/>
        <w:ind w:left="10" w:right="48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exposures, and remained above the policy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minimum of 18%. In line with IBRD’s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3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approach,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rate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20%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88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movements during the year did not have an 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9600" cy="15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0"/>
        </w:trPr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impact on IBRD’s Equity-to-Loans ratio (Section 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8" w:after="136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VIII and Section IX).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8"/>
        <w:ind w:left="10" w:right="43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IBRD received $0.5 billion of paid-in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subscribed under the 2018 General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Selective Capital Increases (GCI and SCI),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bringing the cumulative amounts received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$6.5 billion, representing 86% of the total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24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subscription.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 period for the GCI and SCI ends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>October 1, 2025.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 w:num="2" w:equalWidth="0">
            <w:col w:w="4822" w:space="0"/>
            <w:col w:w="457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16"/>
        <w:ind w:left="43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7.99999999999955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26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25</w:t>
            </w:r>
          </w:p>
        </w:tc>
      </w:tr>
      <w:tr>
        <w:trPr>
          <w:trHeight w:hRule="exact" w:val="208"/>
        </w:trPr>
        <w:tc>
          <w:tcPr>
            <w:tcW w:type="dxa" w:w="2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2" w:after="0"/>
              <w:ind w:left="5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Equity-to-Loans Ratio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2" w:after="0"/>
              <w:ind w:left="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Policy Minimum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52"/>
        <w:ind w:left="0" w:right="0"/>
      </w:pPr>
    </w:p>
    <w:p>
      <w:pPr>
        <w:sectPr>
          <w:type w:val="nextColumn"/>
          <w:pgSz w:w="12240" w:h="15840"/>
          <w:pgMar w:top="216" w:right="1410" w:bottom="288" w:left="1430" w:header="720" w:footer="720" w:gutter="0"/>
          <w:cols w:num="2" w:equalWidth="0">
            <w:col w:w="4822" w:space="0"/>
            <w:col w:w="4578" w:space="0"/>
          </w:cols>
          <w:docGrid w:linePitch="360"/>
        </w:sectPr>
      </w:pPr>
    </w:p>
    <w:p>
      <w:pPr>
        <w:autoSpaceDN w:val="0"/>
        <w:tabs>
          <w:tab w:pos="662" w:val="left"/>
        </w:tabs>
        <w:autoSpaceDE w:val="0"/>
        <w:widowControl/>
        <w:spacing w:line="224" w:lineRule="exact" w:before="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type w:val="continuous"/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III: Financial Results 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Portfolio Performance and Financial Results</w:t>
      </w:r>
    </w:p>
    <w:p>
      <w:pPr>
        <w:autoSpaceDN w:val="0"/>
        <w:autoSpaceDE w:val="0"/>
        <w:widowControl/>
        <w:spacing w:line="222" w:lineRule="exact" w:before="15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shows IBRD’s Condensed Balance Sheets for FY25 and FY24 and the key factors </w:t>
      </w:r>
    </w:p>
    <w:p>
      <w:pPr>
        <w:autoSpaceDN w:val="0"/>
        <w:autoSpaceDE w:val="0"/>
        <w:widowControl/>
        <w:spacing w:line="222" w:lineRule="exact" w:before="1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driving these financial results.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2: Condensed Balance Sheets</w:t>
      </w:r>
    </w:p>
    <w:p>
      <w:pPr>
        <w:autoSpaceDN w:val="0"/>
        <w:autoSpaceDE w:val="0"/>
        <w:widowControl/>
        <w:spacing w:line="178" w:lineRule="exact" w:before="74" w:after="2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26"/>
        </w:trPr>
        <w:tc>
          <w:tcPr>
            <w:tcW w:type="dxa" w:w="37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As of June 30,</w:t>
            </w:r>
          </w:p>
        </w:tc>
        <w:tc>
          <w:tcPr>
            <w:tcW w:type="dxa" w:w="3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2025</w:t>
            </w:r>
          </w:p>
        </w:tc>
        <w:tc>
          <w:tcPr>
            <w:tcW w:type="dxa" w:w="85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1052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Decrease</w:t>
            </w:r>
          </w:p>
        </w:tc>
        <w:tc>
          <w:tcPr>
            <w:tcW w:type="dxa" w:w="2068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Increase</w:t>
            </w:r>
          </w:p>
        </w:tc>
      </w:tr>
      <w:tr>
        <w:trPr>
          <w:trHeight w:hRule="exact" w:val="226"/>
        </w:trPr>
        <w:tc>
          <w:tcPr>
            <w:tcW w:type="dxa" w:w="37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and due from banks</w:t>
            </w:r>
          </w:p>
        </w:tc>
        <w:tc>
          <w:tcPr>
            <w:tcW w:type="dxa" w:w="3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103,173 $ </w:t>
            </w:r>
          </w:p>
        </w:tc>
        <w:tc>
          <w:tcPr>
            <w:tcW w:type="dxa" w:w="85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83,297 </w:t>
            </w:r>
          </w:p>
        </w:tc>
        <w:tc>
          <w:tcPr>
            <w:tcW w:type="dxa" w:w="1052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19,876</w:t>
            </w:r>
          </w:p>
        </w:tc>
      </w:tr>
      <w:tr>
        <w:trPr>
          <w:trHeight w:hRule="exact" w:val="232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loans outstanding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280,043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9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6"/>
              </w:rPr>
              <w:t>19,807</w:t>
            </w:r>
          </w:p>
        </w:tc>
      </w:tr>
      <w:tr>
        <w:trPr>
          <w:trHeight w:hRule="exact" w:val="222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666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0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210</w:t>
            </w:r>
          </w:p>
        </w:tc>
      </w:tr>
      <w:tr>
        <w:trPr>
          <w:trHeight w:hRule="exact" w:val="266"/>
        </w:trPr>
        <w:tc>
          <w:tcPr>
            <w:tcW w:type="dxa" w:w="3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15,629 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12,623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2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3,006</w:t>
            </w:r>
          </w:p>
        </w:tc>
      </w:tr>
      <w:tr>
        <w:trPr>
          <w:trHeight w:hRule="exact" w:val="210"/>
        </w:trPr>
        <w:tc>
          <w:tcPr>
            <w:tcW w:type="dxa" w:w="376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364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399,511 $ </w:t>
            </w:r>
          </w:p>
        </w:tc>
        <w:tc>
          <w:tcPr>
            <w:tcW w:type="dxa" w:w="85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1052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8"/>
            </w:tblGrid>
            <w:tr>
              <w:trPr>
                <w:trHeight w:hRule="exact" w:val="174"/>
              </w:trPr>
              <w:tc>
                <w:tcPr>
                  <w:tcW w:type="dxa" w:w="1352"/>
                  <w:tcBorders/>
                  <w:shd w:fill="4b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0" w:right="8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42,899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6"/>
        </w:trPr>
        <w:tc>
          <w:tcPr>
            <w:tcW w:type="dxa" w:w="3766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64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306,161 </w:t>
            </w:r>
          </w:p>
        </w:tc>
        <w:tc>
          <w:tcPr>
            <w:tcW w:type="dxa" w:w="856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105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8"/>
            </w:tblGrid>
            <w:tr>
              <w:trPr>
                <w:trHeight w:hRule="exact" w:val="176"/>
              </w:trPr>
              <w:tc>
                <w:tcPr>
                  <w:tcW w:type="dxa" w:w="1396"/>
                  <w:tcBorders/>
                  <w:shd w:fill="4b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0" w:right="8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44,371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2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12,454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(10,274)</w:t>
            </w:r>
          </w:p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8,884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8,610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274</w:t>
            </w:r>
          </w:p>
        </w:tc>
      </w:tr>
      <w:tr>
        <w:trPr>
          <w:trHeight w:hRule="exact" w:val="190"/>
        </w:trPr>
        <w:tc>
          <w:tcPr>
            <w:tcW w:type="dxa" w:w="3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72,012 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105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8,528</w:t>
            </w:r>
          </w:p>
        </w:tc>
      </w:tr>
      <w:tr>
        <w:trPr>
          <w:trHeight w:hRule="exact" w:val="240"/>
        </w:trPr>
        <w:tc>
          <w:tcPr>
            <w:tcW w:type="dxa" w:w="376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364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399,511 $ </w:t>
            </w:r>
          </w:p>
        </w:tc>
        <w:tc>
          <w:tcPr>
            <w:tcW w:type="dxa" w:w="85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1052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8"/>
            </w:tblGrid>
            <w:tr>
              <w:trPr>
                <w:trHeight w:hRule="exact" w:val="174"/>
              </w:trPr>
              <w:tc>
                <w:tcPr>
                  <w:tcW w:type="dxa" w:w="1352"/>
                  <w:tcBorders/>
                  <w:shd w:fill="4b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0" w:right="8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42,899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6"/>
        </w:trPr>
        <w:tc>
          <w:tcPr>
            <w:tcW w:type="dxa" w:w="3766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2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fair value of IBRD’s loans was $278,883 million as of June 30, 2025 ($257,415  million – June 30, 2024).</w:t>
      </w:r>
    </w:p>
    <w:p>
      <w:pPr>
        <w:autoSpaceDN w:val="0"/>
        <w:autoSpaceDE w:val="0"/>
        <w:widowControl/>
        <w:spacing w:line="224" w:lineRule="exact" w:before="21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main drivers of the change in the Balance Sheet items are below: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investments and due from banks primarily due to net new debt issuances exceeding </w:t>
      </w:r>
    </w:p>
    <w:p>
      <w:pPr>
        <w:autoSpaceDN w:val="0"/>
        <w:autoSpaceDE w:val="0"/>
        <w:widowControl/>
        <w:spacing w:line="224" w:lineRule="exact" w:before="1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net loan disbursements;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Increase in net loans outstanding primarily from net loan disbursements of $14.8 billion;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other assets mainly from the increase in the overfunded status of the Staff Retirement </w:t>
      </w:r>
    </w:p>
    <w:p>
      <w:pPr>
        <w:autoSpaceDN w:val="0"/>
        <w:autoSpaceDE w:val="0"/>
        <w:widowControl/>
        <w:spacing w:line="224" w:lineRule="exact" w:before="1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 (SRP) and Retired Staff Benefits Plan (RSBP);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Increase in borrowings primarily due to net new issuances;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 in derivative liabilities, net due to the gains on borrowing-related derivatives as a result </w:t>
      </w:r>
    </w:p>
    <w:p>
      <w:pPr>
        <w:autoSpaceDN w:val="0"/>
        <w:autoSpaceDE w:val="0"/>
        <w:widowControl/>
        <w:spacing w:line="224" w:lineRule="exact" w:before="1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decrease in relevant interest rates; and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total equity, primarily due to the increase in accumulated other comprehensive income </w:t>
      </w:r>
    </w:p>
    <w:p>
      <w:pPr>
        <w:autoSpaceDN w:val="0"/>
        <w:autoSpaceDE w:val="0"/>
        <w:widowControl/>
        <w:spacing w:line="224" w:lineRule="exact" w:before="1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(AOCI) due to the net actuarial gains on benefit plans and the net income during the year.</w:t>
      </w:r>
    </w:p>
    <w:p>
      <w:pPr>
        <w:autoSpaceDN w:val="0"/>
        <w:tabs>
          <w:tab w:pos="9110" w:val="left"/>
        </w:tabs>
        <w:autoSpaceDE w:val="0"/>
        <w:widowControl/>
        <w:spacing w:line="224" w:lineRule="exact" w:before="5256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Income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net income was $2,100 million in FY25, compared with net income of $2,142 million in FY24.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 was primarily due to higher Board of Governors-approved transfers of $444 million. This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partially offset by an increase in interest revenue net of borrowing expenses, and lower provision expense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losses on loans and other exposures. The $815 million of Board of Governors-approved transfers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expensed as grants upon approval by the Board of Governors in FY25, and were funded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IBRD's prior years' allocable income.</w:t>
      </w:r>
    </w:p>
    <w:p>
      <w:pPr>
        <w:autoSpaceDN w:val="0"/>
        <w:autoSpaceDE w:val="0"/>
        <w:widowControl/>
        <w:spacing w:line="224" w:lineRule="exact" w:before="136" w:after="14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3: Condensed Statements of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64"/>
        </w:trPr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21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8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5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Impact on income</w:t>
            </w:r>
          </w:p>
        </w:tc>
      </w:tr>
      <w:tr>
        <w:trPr>
          <w:trHeight w:hRule="exact" w:val="248"/>
        </w:trPr>
        <w:tc>
          <w:tcPr>
            <w:tcW w:type="dxa" w:w="40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 ended June 30,</w:t>
            </w:r>
          </w:p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Decrease</w:t>
            </w:r>
          </w:p>
        </w:tc>
        <w:tc>
          <w:tcPr>
            <w:tcW w:type="dxa" w:w="12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4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96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Loans, net (Table 43)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$ 15,301 $ 15,831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1.9999999999993" w:type="dxa"/>
            </w:tblPr>
            <w:tblGrid>
              <w:gridCol w:w="1364"/>
            </w:tblGrid>
            <w:tr>
              <w:trPr>
                <w:trHeight w:hRule="exact" w:val="176"/>
              </w:trPr>
              <w:tc>
                <w:tcPr>
                  <w:tcW w:type="dxa" w:w="108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(530)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 / liability management derivatives, net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(1,293)  (1,726)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870"/>
            </w:tblGrid>
            <w:tr>
              <w:trPr>
                <w:trHeight w:hRule="exact" w:val="174"/>
              </w:trPr>
              <w:tc>
                <w:tcPr>
                  <w:tcW w:type="dxa" w:w="512"/>
                  <w:tcBorders/>
                  <w:shd w:fill="4b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8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433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2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Investments-Trading, net (Table 43)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4,444 </w:t>
            </w:r>
          </w:p>
        </w:tc>
        <w:tc>
          <w:tcPr>
            <w:tcW w:type="dxa" w:w="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4,337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107</w:t>
            </w:r>
          </w:p>
        </w:tc>
      </w:tr>
      <w:tr>
        <w:trPr>
          <w:trHeight w:hRule="exact" w:val="286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Other, net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—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5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expenses, net (Table 43)</w:t>
            </w:r>
          </w:p>
        </w:tc>
        <w:tc>
          <w:tcPr>
            <w:tcW w:type="dxa" w:w="14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(14,920)  (15,215) 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bottom w:sz="8.0" w:val="single" w:color="#000000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295</w:t>
            </w:r>
          </w:p>
        </w:tc>
      </w:tr>
      <w:tr>
        <w:trPr>
          <w:trHeight w:hRule="exact" w:val="240"/>
        </w:trPr>
        <w:tc>
          <w:tcPr>
            <w:tcW w:type="dxa" w:w="5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revenue, net of borrowing expenses (Table 44)</w:t>
            </w:r>
          </w:p>
        </w:tc>
        <w:tc>
          <w:tcPr>
            <w:tcW w:type="dxa" w:w="14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$ 3,534 $ 3,229 </w:t>
            </w:r>
          </w:p>
        </w:tc>
        <w:tc>
          <w:tcPr>
            <w:tcW w:type="dxa" w:w="1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305</w:t>
            </w:r>
          </w:p>
        </w:tc>
      </w:tr>
      <w:tr>
        <w:trPr>
          <w:trHeight w:hRule="exact" w:val="471"/>
        </w:trPr>
        <w:tc>
          <w:tcPr>
            <w:tcW w:type="dxa" w:w="5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Provision for losses on loans and other exposures, release (charge)</w:t>
            </w:r>
          </w:p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169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5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08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from externally funded activities (Table 6)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960 </w:t>
            </w:r>
          </w:p>
        </w:tc>
        <w:tc>
          <w:tcPr>
            <w:tcW w:type="dxa" w:w="884"/>
            <w:vMerge w:val="restart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(13)</w:t>
            </w:r>
          </w:p>
        </w:tc>
        <w:tc>
          <w:tcPr>
            <w:tcW w:type="dxa" w:w="272"/>
            <w:vMerge w:val="restart"/>
            <w:tcBorders>
              <w:start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</w:t>
            </w:r>
          </w:p>
        </w:tc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 (Table 5)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574"/>
            <w:vMerge/>
            <w:tcBorders>
              <w:end w:sz="12.0" w:val="single" w:color="#4B809C"/>
            </w:tcBorders>
          </w:tcPr>
          <w:p/>
        </w:tc>
        <w:tc>
          <w:tcPr>
            <w:tcW w:type="dxa" w:w="1574"/>
            <w:vMerge/>
            <w:tcBorders>
              <w:start w:sz="12.0" w:val="single" w:color="#4B809C"/>
            </w:tcBorders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Other, net (Table 5)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884"/>
            <w:tcBorders>
              <w:end w:sz="12.0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"/>
            <w:tcBorders>
              <w:start w:sz="12.0" w:val="single" w:color="#4B809C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128</w:t>
            </w:r>
          </w:p>
        </w:tc>
      </w:tr>
    </w:tbl>
    <w:p>
      <w:pPr>
        <w:autoSpaceDN w:val="0"/>
        <w:autoSpaceDE w:val="0"/>
        <w:widowControl/>
        <w:spacing w:line="178" w:lineRule="exact" w:before="284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(Table 6)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(2,522)  (2,379)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(143)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 (Table 6)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13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(20)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—</w:t>
            </w:r>
          </w:p>
        </w:tc>
        <w:tc>
          <w:tcPr>
            <w:tcW w:type="dxa" w:w="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4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transfers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1.9999999999993" w:type="dxa"/>
            </w:tblPr>
            <w:tblGrid>
              <w:gridCol w:w="1364"/>
            </w:tblGrid>
            <w:tr>
              <w:trPr>
                <w:trHeight w:hRule="exact" w:val="176"/>
              </w:trPr>
              <w:tc>
                <w:tcPr>
                  <w:tcW w:type="dxa" w:w="90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(444)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remeasurement (losses) gains, net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(117)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Unrealized mark-to-market gains on Investments-Trading portfolio, net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123</w:t>
            </w:r>
          </w:p>
        </w:tc>
      </w:tr>
      <w:tr>
        <w:trPr>
          <w:trHeight w:hRule="exact" w:val="246"/>
        </w:trPr>
        <w:tc>
          <w:tcPr>
            <w:tcW w:type="dxa" w:w="5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Unrealized mark-to-market gains on non-trading portfolios, net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289 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(33)</w:t>
            </w:r>
          </w:p>
        </w:tc>
        <w:tc>
          <w:tcPr>
            <w:tcW w:type="dxa" w:w="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1460"/>
            <w:gridSpan w:val="2"/>
            <w:vMerge w:val="restart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$ 2,100 $ 2,142 </w:t>
            </w:r>
          </w:p>
        </w:tc>
        <w:tc>
          <w:tcPr>
            <w:tcW w:type="dxa" w:w="1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(42)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538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8"/>
            <w:gridSpan w:val="2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1364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pension service cost of $287 million for the year ended June 30, 2025 ($284 million – June 30, 2024). See Table 6.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income from net pension cost, other than service cost of $175 million for the year ended June 30, 2025 ($194 million –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June 30, 2024) (Table 6).</w:t>
      </w:r>
    </w:p>
    <w:p>
      <w:pPr>
        <w:autoSpaceDN w:val="0"/>
        <w:autoSpaceDE w:val="0"/>
        <w:widowControl/>
        <w:spacing w:line="240" w:lineRule="exact" w:before="1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 below provides an interest rate and volume analysis of IBRD's interest revenue and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expenses. The variance reflects the year-over-year change in interest income on loans, investments-</w:t>
      </w:r>
      <w:r>
        <w:rPr>
          <w:rFonts w:ascii="ArialMT" w:hAnsi="ArialMT" w:eastAsia="ArialMT"/>
          <w:b w:val="0"/>
          <w:i w:val="0"/>
          <w:color w:val="000000"/>
          <w:sz w:val="20"/>
        </w:rPr>
        <w:t>trading, and borrowing expenses between FY24 and FY25.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4: Rate and Volume Analysis of Changes in Interest Revenue and Borrowing Expenses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2" w:after="0"/>
        <w:ind w:left="0" w:right="12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FY 2025 versus FY 2024</w:t>
      </w:r>
    </w:p>
    <w:p>
      <w:pPr>
        <w:autoSpaceDN w:val="0"/>
        <w:autoSpaceDE w:val="0"/>
        <w:widowControl/>
        <w:spacing w:line="178" w:lineRule="exact" w:before="62" w:after="20"/>
        <w:ind w:left="0" w:right="47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Variance due to changes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6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 Variance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Volume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Increase (decrease) in Interest revenue related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(530) $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1,150 $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(1,680) </w:t>
            </w:r>
          </w:p>
        </w:tc>
      </w:tr>
      <w:tr>
        <w:trPr>
          <w:trHeight w:hRule="exact" w:val="27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Investments-Trading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(493)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(Increase) decrease in Interest expense related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344"/>
        </w:trPr>
        <w:tc>
          <w:tcPr>
            <w:tcW w:type="dxa" w:w="30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295 $ </w:t>
            </w:r>
          </w:p>
        </w:tc>
        <w:tc>
          <w:tcPr>
            <w:tcW w:type="dxa" w:w="1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(1,688) $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1,983 </w:t>
            </w:r>
          </w:p>
        </w:tc>
      </w:tr>
      <w:tr>
        <w:trPr>
          <w:trHeight w:hRule="exact" w:val="910"/>
        </w:trPr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9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1"/>
        <w:gridCol w:w="4761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30" w:lineRule="exact" w:before="352" w:after="0"/>
        <w:ind w:left="10" w:right="9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illustrated in Figure 1, investments are funded by borrowings, and loans are funded by borrowings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equity. Under IBRD’s pricing policy, the lending rates for IBRD’s loans are based on the underlying cost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borrowings funding these loans, therefore, interest revenue, net of funding costs provides an overall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view of IBRD’s net income generation. Table 5 below shows revenue on interest earning assets net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interest expenses from borrowings funding these assets and the other components of allocable income.</w:t>
      </w:r>
    </w:p>
    <w:p>
      <w:pPr>
        <w:autoSpaceDN w:val="0"/>
        <w:autoSpaceDE w:val="0"/>
        <w:widowControl/>
        <w:spacing w:line="224" w:lineRule="exact" w:before="126" w:after="8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5: Statement of Allocable Income (non-GAAP Measures)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262"/>
        </w:trPr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21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4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Impact on income</w:t>
            </w:r>
          </w:p>
        </w:tc>
      </w:tr>
      <w:tr>
        <w:trPr>
          <w:trHeight w:hRule="exact" w:val="250"/>
        </w:trPr>
        <w:tc>
          <w:tcPr>
            <w:tcW w:type="dxa" w:w="40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 ended June 30,</w:t>
            </w:r>
          </w:p>
        </w:tc>
        <w:tc>
          <w:tcPr>
            <w:tcW w:type="dxa" w:w="1904"/>
            <w:vMerge/>
            <w:tcBorders>
              <w:bottom w:sz="8.0" w:val="single" w:color="#6C6C6C"/>
            </w:tcBorders>
          </w:tcPr>
          <w:p/>
        </w:tc>
        <w:tc>
          <w:tcPr>
            <w:tcW w:type="dxa" w:w="1904"/>
            <w:vMerge/>
            <w:tcBorders>
              <w:bottom w:sz="8.0" w:val="single" w:color="#6C6C6C"/>
            </w:tcBorders>
          </w:tcPr>
          <w:p/>
        </w:tc>
        <w:tc>
          <w:tcPr>
            <w:tcW w:type="dxa" w:w="12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Decrease</w:t>
            </w:r>
          </w:p>
        </w:tc>
        <w:tc>
          <w:tcPr>
            <w:tcW w:type="dxa" w:w="13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68" w:lineRule="exact" w:before="34" w:after="5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5"/>
        </w:rPr>
        <w:t>Revenue on interest earning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rHeight w:hRule="exact" w:val="210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Loan interest margin </w:t>
            </w:r>
            <w:r>
              <w:rPr>
                <w:w w:val="97.5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$ 2,327 $ 2,119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/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5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Loan interest revenue from loans funded by equity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2,494 </w:t>
            </w:r>
          </w:p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2,755 </w:t>
            </w:r>
          </w:p>
        </w:tc>
        <w:tc>
          <w:tcPr>
            <w:tcW w:type="dxa" w:w="1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(261)</w:t>
            </w:r>
          </w:p>
        </w:tc>
        <w:tc>
          <w:tcPr>
            <w:tcW w:type="dxa" w:w="2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Loan interest revenue, net of funding costs (Table 43)</w:t>
            </w:r>
          </w:p>
        </w:tc>
        <w:tc>
          <w:tcPr>
            <w:tcW w:type="dxa" w:w="14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$ 4,821 $ 4,874 </w:t>
            </w:r>
          </w:p>
        </w:tc>
        <w:tc>
          <w:tcPr>
            <w:tcW w:type="dxa" w:w="1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(53)</w:t>
            </w:r>
          </w:p>
        </w:tc>
        <w:tc>
          <w:tcPr>
            <w:tcW w:type="dxa" w:w="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"/>
        </w:trPr>
        <w:tc>
          <w:tcPr>
            <w:tcW w:type="dxa" w:w="53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Other asset / liability management (ALM) derivatives, net (Table 3)</w:t>
            </w:r>
          </w:p>
        </w:tc>
        <w:tc>
          <w:tcPr>
            <w:tcW w:type="dxa" w:w="14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(1,293)  (1,726) </w:t>
            </w:r>
          </w:p>
        </w:tc>
        <w:tc>
          <w:tcPr>
            <w:tcW w:type="dxa" w:w="1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top w:sz="8.0" w:val="single" w:color="#000000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433</w:t>
            </w:r>
          </w:p>
        </w:tc>
      </w:tr>
      <w:tr>
        <w:trPr>
          <w:trHeight w:hRule="exact" w:val="246"/>
        </w:trPr>
        <w:tc>
          <w:tcPr>
            <w:tcW w:type="dxa" w:w="5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Investment revenue, net of funding costs (Table 43)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1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Total revenue on interest earning assets, net (Table 44)</w:t>
            </w:r>
          </w:p>
        </w:tc>
        <w:tc>
          <w:tcPr>
            <w:tcW w:type="dxa" w:w="14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$ 3,593 $ 3,209 </w:t>
            </w:r>
          </w:p>
        </w:tc>
        <w:tc>
          <w:tcPr>
            <w:tcW w:type="dxa" w:w="1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top w:sz="8.0" w:val="single" w:color="#000000"/>
              <w:bottom w:sz="8.0" w:val="single" w:color="#000000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384</w:t>
            </w:r>
          </w:p>
        </w:tc>
      </w:tr>
      <w:tr>
        <w:trPr>
          <w:trHeight w:hRule="exact" w:val="486"/>
        </w:trPr>
        <w:tc>
          <w:tcPr>
            <w:tcW w:type="dxa" w:w="53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Provision for losses on loans and other exposures, release (charge) (Table 3)</w:t>
            </w:r>
          </w:p>
        </w:tc>
        <w:tc>
          <w:tcPr>
            <w:tcW w:type="dxa" w:w="8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1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169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Net non-interest expenses (Table 6)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(1,582)  (1,434)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(148)</w:t>
            </w:r>
          </w:p>
        </w:tc>
        <w:tc>
          <w:tcPr>
            <w:tcW w:type="dxa" w:w="2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Commitment charges (Table 3)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Non-interest revenue - Other, net (Table 3)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/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5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Non-interest expenses - Other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1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(1)</w:t>
            </w:r>
          </w:p>
        </w:tc>
        <w:tc>
          <w:tcPr>
            <w:tcW w:type="dxa" w:w="2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Allocable Income</w:t>
            </w:r>
          </w:p>
        </w:tc>
        <w:tc>
          <w:tcPr>
            <w:tcW w:type="dxa" w:w="1460"/>
            <w:gridSpan w:val="2"/>
            <w:vMerge w:val="restart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$ 2,384 $ 1,849 </w:t>
            </w:r>
          </w:p>
        </w:tc>
        <w:tc>
          <w:tcPr>
            <w:tcW w:type="dxa" w:w="1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535</w:t>
            </w:r>
          </w:p>
        </w:tc>
      </w:tr>
      <w:tr>
        <w:trPr>
          <w:trHeight w:hRule="exact" w:val="220"/>
        </w:trPr>
        <w:tc>
          <w:tcPr>
            <w:tcW w:type="dxa" w:w="538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gridSpan w:val="2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1114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Represents the margin between loan returns and associated debt cost.</w:t>
      </w:r>
    </w:p>
    <w:p>
      <w:pPr>
        <w:autoSpaceDN w:val="0"/>
        <w:autoSpaceDE w:val="0"/>
        <w:widowControl/>
        <w:spacing w:line="240" w:lineRule="exact" w:before="2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Section XIV: Reconciliations of Components of Allocable Income and Table 9 for a reconciliation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components of Table 3 and Table 5.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Results from Lending Activities</w:t>
      </w:r>
    </w:p>
    <w:p>
      <w:pPr>
        <w:autoSpaceDN w:val="0"/>
        <w:autoSpaceDE w:val="0"/>
        <w:widowControl/>
        <w:spacing w:line="246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 Interest Revenue</w:t>
      </w:r>
    </w:p>
    <w:p>
      <w:pPr>
        <w:autoSpaceDN w:val="0"/>
        <w:autoSpaceDE w:val="0"/>
        <w:widowControl/>
        <w:spacing w:line="240" w:lineRule="exact" w:before="126" w:after="136"/>
        <w:ind w:left="10" w:right="9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pricing policy, the lending rates for all loans are based on the underlying cost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funding these loans. After the effect of related derivatives, the loan and borrowing portfolios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based on variable interest rates (Figure 2). The portion of loans funded by equity is sensitive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changes in short-term interest rates.</w:t>
      </w:r>
    </w:p>
    <w:p>
      <w:pPr>
        <w:sectPr>
          <w:pgSz w:w="12240" w:h="15840"/>
          <w:pgMar w:top="216" w:right="128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2: Loan Interest Revenue and Funding </w:t>
      </w:r>
      <w:r>
        <w:rPr>
          <w:rFonts w:ascii="Arial" w:hAnsi="Arial" w:eastAsia="Arial"/>
          <w:b/>
          <w:i w:val="0"/>
          <w:color w:val="000000"/>
          <w:sz w:val="20"/>
        </w:rPr>
        <w:t>Cost (Including Related Derivatives)</w:t>
      </w:r>
    </w:p>
    <w:p>
      <w:pPr>
        <w:sectPr>
          <w:type w:val="continuous"/>
          <w:pgSz w:w="12240" w:h="15840"/>
          <w:pgMar w:top="216" w:right="1288" w:bottom="288" w:left="1430" w:header="720" w:footer="720" w:gutter="0"/>
          <w:cols w:num="2" w:equalWidth="0">
            <w:col w:w="4706" w:space="0"/>
            <w:col w:w="4816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84"/>
        <w:ind w:left="344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3: Loan Interest Revenue, Net of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Funding Costs </w:t>
      </w:r>
      <w:r>
        <w:rPr>
          <w:rFonts w:ascii="Arial" w:hAnsi="Arial" w:eastAsia="Arial"/>
          <w:b/>
          <w:i w:val="0"/>
          <w:color w:val="000000"/>
          <w:sz w:val="13"/>
        </w:rPr>
        <w:t>a</w:t>
      </w:r>
    </w:p>
    <w:p>
      <w:pPr>
        <w:sectPr>
          <w:type w:val="nextColumn"/>
          <w:pgSz w:w="12240" w:h="15840"/>
          <w:pgMar w:top="216" w:right="1288" w:bottom="288" w:left="1430" w:header="720" w:footer="720" w:gutter="0"/>
          <w:cols w:num="2" w:equalWidth="0">
            <w:col w:w="4706" w:space="0"/>
            <w:col w:w="48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rHeight w:hRule="exact" w:val="754"/>
        </w:trPr>
        <w:tc>
          <w:tcPr>
            <w:tcW w:type="dxa" w:w="4680"/>
            <w:gridSpan w:val="6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  <w:tab w:pos="770" w:val="left"/>
              </w:tabs>
              <w:autoSpaceDE w:val="0"/>
              <w:widowControl/>
              <w:spacing w:line="216" w:lineRule="exact" w:before="0" w:after="0"/>
              <w:ind w:left="20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millions of U.S. dollars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interest revenue (including related derivatives)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funding cost (including related derivatives)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20,000</w:t>
            </w:r>
          </w:p>
        </w:tc>
        <w:tc>
          <w:tcPr>
            <w:tcW w:type="dxa" w:w="4740"/>
            <w:gridSpan w:val="7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280" w:right="288" w:hanging="90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millions of U.S. dollars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revenue, net of funding costs ᵃ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interest revenue, net of funding costs ᵃ and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Other ALM derivatives, net combined</w:t>
            </w:r>
          </w:p>
        </w:tc>
      </w:tr>
      <w:tr>
        <w:trPr>
          <w:trHeight w:hRule="exact" w:val="134"/>
        </w:trPr>
        <w:tc>
          <w:tcPr>
            <w:tcW w:type="dxa" w:w="4392"/>
            <w:gridSpan w:val="6"/>
            <w:vMerge/>
            <w:tcBorders>
              <w:bottom w:sz="6.0" w:val="single" w:color="#E5E6E5"/>
            </w:tcBorders>
          </w:tcPr>
          <w:p/>
        </w:tc>
        <w:tc>
          <w:tcPr>
            <w:tcW w:type="dxa" w:w="4740"/>
            <w:gridSpan w:val="7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6,000</w:t>
            </w:r>
          </w:p>
        </w:tc>
      </w:tr>
      <w:tr>
        <w:trPr>
          <w:trHeight w:hRule="exact" w:val="198"/>
        </w:trPr>
        <w:tc>
          <w:tcPr>
            <w:tcW w:type="dxa" w:w="8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15,000</w:t>
            </w:r>
          </w:p>
          <w:p>
            <w:pPr>
              <w:autoSpaceDN w:val="0"/>
              <w:autoSpaceDE w:val="0"/>
              <w:widowControl/>
              <w:spacing w:line="178" w:lineRule="exact" w:before="316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10,000</w:t>
            </w:r>
          </w:p>
          <w:p>
            <w:pPr>
              <w:autoSpaceDN w:val="0"/>
              <w:autoSpaceDE w:val="0"/>
              <w:widowControl/>
              <w:spacing w:line="178" w:lineRule="exact" w:before="30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5,000</w:t>
            </w:r>
          </w:p>
          <w:p>
            <w:pPr>
              <w:autoSpaceDN w:val="0"/>
              <w:autoSpaceDE w:val="0"/>
              <w:widowControl/>
              <w:spacing w:line="178" w:lineRule="exact" w:before="30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860"/>
            <w:gridSpan w:val="5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33600" cy="10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4"/>
            <w:gridSpan w:val="7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1320"/>
        </w:trPr>
        <w:tc>
          <w:tcPr>
            <w:tcW w:type="dxa" w:w="732"/>
            <w:vMerge/>
            <w:tcBorders>
              <w:top w:sz="6.0" w:val="single" w:color="#E5E6E5"/>
            </w:tcBorders>
          </w:tcPr>
          <w:p/>
        </w:tc>
        <w:tc>
          <w:tcPr>
            <w:tcW w:type="dxa" w:w="3660"/>
            <w:gridSpan w:val="5"/>
            <w:vMerge/>
            <w:tcBorders>
              <w:top w:sz="6.0" w:val="single" w:color="#E5E6E5"/>
            </w:tcBorders>
          </w:tcPr>
          <w:p/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  <w:p>
            <w:pPr>
              <w:autoSpaceDN w:val="0"/>
              <w:autoSpaceDE w:val="0"/>
              <w:widowControl/>
              <w:spacing w:line="178" w:lineRule="exact" w:before="4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84400" cy="635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732"/>
            <w:vMerge/>
            <w:tcBorders>
              <w:top w:sz="6.0" w:val="single" w:color="#E5E6E5"/>
            </w:tcBorders>
          </w:tcPr>
          <w:p/>
        </w:tc>
        <w:tc>
          <w:tcPr>
            <w:tcW w:type="dxa" w:w="3660"/>
            <w:gridSpan w:val="5"/>
            <w:vMerge/>
            <w:tcBorders>
              <w:top w:sz="6.0" w:val="single" w:color="#E5E6E5"/>
            </w:tcBorders>
          </w:tcPr>
          <w:p/>
        </w:tc>
        <w:tc>
          <w:tcPr>
            <w:tcW w:type="dxa" w:w="4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8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200"/>
        </w:trPr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  <w:tr>
        <w:trPr>
          <w:trHeight w:hRule="exact" w:val="268"/>
        </w:trPr>
        <w:tc>
          <w:tcPr>
            <w:tcW w:type="dxa" w:w="1464"/>
            <w:gridSpan w:val="2"/>
            <w:vMerge/>
            <w:tcBorders/>
          </w:tcPr>
          <w:p/>
        </w:tc>
        <w:tc>
          <w:tcPr>
            <w:tcW w:type="dxa" w:w="732"/>
            <w:vMerge/>
            <w:tcBorders/>
          </w:tcPr>
          <w:p/>
        </w:tc>
        <w:tc>
          <w:tcPr>
            <w:tcW w:type="dxa" w:w="732"/>
            <w:vMerge/>
            <w:tcBorders/>
          </w:tcPr>
          <w:p/>
        </w:tc>
        <w:tc>
          <w:tcPr>
            <w:tcW w:type="dxa" w:w="732"/>
            <w:vMerge/>
            <w:tcBorders/>
          </w:tcPr>
          <w:p/>
        </w:tc>
        <w:tc>
          <w:tcPr>
            <w:tcW w:type="dxa" w:w="73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Includes related derivatives.</w:t>
            </w:r>
          </w:p>
        </w:tc>
      </w:tr>
    </w:tbl>
    <w:p>
      <w:pPr>
        <w:autoSpaceDN w:val="0"/>
        <w:autoSpaceDE w:val="0"/>
        <w:widowControl/>
        <w:spacing w:line="240" w:lineRule="exact" w:before="114" w:after="0"/>
        <w:ind w:left="10" w:right="9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FY25 loan interest revenue, net of funding costs was $4,821 million, a decrease of $53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compared with $4,874 million in FY24 (Figure 3), primarily driven by the decrease in average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 on the portion of the loan portfolio which is sensitive to interest rate movements (Table 5). This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partially offset by the higher lending volume during the year. Other ALM derivatives moderate the impact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51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sectPr>
          <w:type w:val="continuous"/>
          <w:pgSz w:w="12240" w:h="15840"/>
          <w:pgMar w:top="216" w:right="128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interest rate changes on the portion of loans that is sensitive to interest rate movements, thereby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partially stabilizing the net interest revenue earned from these loans (as illustrated in Figure 3).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ALM derivatives comprise interest rate swaps, which are used to convert the variable rate cash flows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loans to fixed rate cash flows. The combined effect of the decrease in loan interest revenue, net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funding costs of $53 million and the decrease in interest expense from Other ALM derivatives, net of $433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from FY24 to FY25, resulted in a total increase in net loan interest revenue of $380 million.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2024, as a part of the package of measures to deliver on WBG's new vision and mission,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approved adjustments to IBRD's loan pricing, which include: 1) establishing a grace period, during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no commitment fees are charged for the first four years for Investment Project Financing (IPF)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Program-for Results Financing (PforRs); 2) removal of the prepayment premium; 3) introduction of a 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Short Maturity Loan (SML) with a maturity discount applied to the contractual spread; and 4)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expansion of the lowest pricing group to include all Climate Resilient Debt Clause (CRDC)-eligible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borrowers under current eligibility requirements. See Section IV: Lending Activities for additional details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>CRDC.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6" w:after="76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IBRD recorded income from the release of provision for losses on loans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of $75 million compared to a $94 million expense in FY24. As the majority of IBRD’s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carry variable interest rates, changes in forward interest rates impact the expected losses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recorded through the provision for losses on loans and other exposures in the Statements of income.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Accordingly, the provision release in FY25 was primarily driven by the decrease in the loss given default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(severity) due to the decrease in the relevant implied forward interest rates in FY25. The severity reflects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expected losses from delays in receiving interest payments since IBRD does not charge interest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portion related to overdue interest.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612"/>
        </w:trPr>
        <w:tc>
          <w:tcPr>
            <w:tcW w:type="dxa" w:w="53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2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4: Change in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15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5: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66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300</w:t>
            </w:r>
          </w:p>
        </w:tc>
        <w:tc>
          <w:tcPr>
            <w:tcW w:type="dxa" w:w="496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4960"/>
            </w:tblGrid>
            <w:tr>
              <w:trPr>
                <w:trHeight w:hRule="exact" w:val="974"/>
              </w:trPr>
              <w:tc>
                <w:tcPr>
                  <w:tcW w:type="dxa" w:w="4674"/>
                  <w:tcBorders>
                    <w:start w:sz="6.012442588806152" w:val="single" w:color="#898A89"/>
                    <w:bottom w:sz="6.012442588806152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6" w:after="60"/>
                    <w:ind w:left="100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30.8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97.9999999999998" w:type="dxa"/>
                  </w:tblPr>
                  <w:tblGrid>
                    <w:gridCol w:w="2337"/>
                    <w:gridCol w:w="2337"/>
                  </w:tblGrid>
                  <w:tr>
                    <w:trPr>
                      <w:trHeight w:hRule="exact" w:val="512"/>
                    </w:trPr>
                    <w:tc>
                      <w:tcPr>
                        <w:tcW w:type="dxa" w:w="29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02" w:after="0"/>
                          <w:ind w:left="0" w:right="21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5.0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02" w:after="0"/>
                          <w:ind w:left="0" w:right="9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280.0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32" w:after="0"/>
                    <w:ind w:left="0" w:right="19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*</w:t>
                  </w:r>
                </w:p>
                <w:p>
                  <w:pPr>
                    <w:autoSpaceDN w:val="0"/>
                    <w:autoSpaceDE w:val="0"/>
                    <w:widowControl/>
                    <w:spacing w:line="180" w:lineRule="exact" w:before="152" w:after="0"/>
                    <w:ind w:left="0" w:right="252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(16.0)</w:t>
                  </w:r>
                </w:p>
                <w:p>
                  <w:pPr>
                    <w:autoSpaceDN w:val="0"/>
                    <w:autoSpaceDE w:val="0"/>
                    <w:widowControl/>
                    <w:spacing w:line="180" w:lineRule="exact" w:before="226" w:after="0"/>
                    <w:ind w:left="18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260.2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34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.99999999999955" w:type="dxa"/>
            </w:tblPr>
            <w:tblGrid>
              <w:gridCol w:w="577"/>
              <w:gridCol w:w="577"/>
              <w:gridCol w:w="577"/>
              <w:gridCol w:w="577"/>
              <w:gridCol w:w="577"/>
              <w:gridCol w:w="577"/>
            </w:tblGrid>
            <w:tr>
              <w:trPr>
                <w:trHeight w:hRule="exact" w:val="490"/>
              </w:trPr>
              <w:tc>
                <w:tcPr>
                  <w:tcW w:type="dxa" w:w="3272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16" w:val="left"/>
                    </w:tabs>
                    <w:autoSpaceDE w:val="0"/>
                    <w:widowControl/>
                    <w:spacing w:line="186" w:lineRule="exact" w:before="0" w:after="2"/>
                    <w:ind w:left="2072" w:right="144" w:firstLine="0"/>
                    <w:jc w:val="left"/>
                  </w:pP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280.0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260.2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091"/>
                    <w:gridCol w:w="1091"/>
                    <w:gridCol w:w="1091"/>
                  </w:tblGrid>
                  <w:tr>
                    <w:trPr>
                      <w:trHeight w:hRule="exact" w:val="444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218.8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227.1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132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77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7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7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7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7"/>
                  <w:tcBorders>
                    <w:start w:sz="6.004856586456299" w:val="single" w:color="#898A89"/>
                    <w:bottom w:sz="6.004856586456299" w:val="single" w:color="#6D6D6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6"/>
        </w:trPr>
        <w:tc>
          <w:tcPr>
            <w:tcW w:type="dxa" w:w="556"/>
            <w:vMerge/>
            <w:tcBorders/>
          </w:tcPr>
          <w:p/>
        </w:tc>
        <w:tc>
          <w:tcPr>
            <w:tcW w:type="dxa" w:w="5560"/>
            <w:gridSpan w:val="10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2780"/>
            <w:gridSpan w:val="5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  <w:p>
            <w:pPr>
              <w:autoSpaceDN w:val="0"/>
              <w:autoSpaceDE w:val="0"/>
              <w:widowControl/>
              <w:spacing w:line="180" w:lineRule="exact" w:before="8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260</w:t>
            </w:r>
          </w:p>
          <w:p>
            <w:pPr>
              <w:autoSpaceDN w:val="0"/>
              <w:autoSpaceDE w:val="0"/>
              <w:widowControl/>
              <w:spacing w:line="178" w:lineRule="exact" w:before="7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5560"/>
            <w:gridSpan w:val="10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2780"/>
            <w:gridSpan w:val="5"/>
            <w:vMerge/>
            <w:tcBorders/>
          </w:tcPr>
          <w:p/>
        </w:tc>
      </w:tr>
      <w:tr>
        <w:trPr>
          <w:trHeight w:hRule="exact" w:val="976"/>
        </w:trPr>
        <w:tc>
          <w:tcPr>
            <w:tcW w:type="dxa" w:w="556"/>
            <w:vMerge/>
            <w:tcBorders/>
          </w:tcPr>
          <w:p/>
        </w:tc>
        <w:tc>
          <w:tcPr>
            <w:tcW w:type="dxa" w:w="5560"/>
            <w:gridSpan w:val="1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  <w:p>
            <w:pPr>
              <w:autoSpaceDN w:val="0"/>
              <w:autoSpaceDE w:val="0"/>
              <w:widowControl/>
              <w:spacing w:line="180" w:lineRule="exact" w:before="31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2780"/>
            <w:gridSpan w:val="5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556"/>
            <w:vMerge/>
            <w:tcBorders/>
          </w:tcPr>
          <w:p/>
        </w:tc>
        <w:tc>
          <w:tcPr>
            <w:tcW w:type="dxa" w:w="5560"/>
            <w:gridSpan w:val="10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  <w:p>
            <w:pPr>
              <w:autoSpaceDN w:val="0"/>
              <w:autoSpaceDE w:val="0"/>
              <w:widowControl/>
              <w:spacing w:line="180" w:lineRule="exact" w:before="31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  <w:p>
            <w:pPr>
              <w:autoSpaceDN w:val="0"/>
              <w:autoSpaceDE w:val="0"/>
              <w:widowControl/>
              <w:spacing w:line="178" w:lineRule="exact" w:before="30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780"/>
            <w:gridSpan w:val="5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2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Net Loans </w:t>
            </w:r>
          </w:p>
        </w:tc>
        <w:tc>
          <w:tcPr>
            <w:tcW w:type="dxa" w:w="8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Gross loan </w:t>
            </w:r>
          </w:p>
        </w:tc>
        <w:tc>
          <w:tcPr>
            <w:tcW w:type="dxa" w:w="77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Repayments </w:t>
            </w:r>
          </w:p>
        </w:tc>
        <w:tc>
          <w:tcPr>
            <w:tcW w:type="dxa" w:w="8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Accumulated </w:t>
            </w:r>
          </w:p>
        </w:tc>
        <w:tc>
          <w:tcPr>
            <w:tcW w:type="dxa" w:w="8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Translation </w:t>
            </w:r>
          </w:p>
        </w:tc>
        <w:tc>
          <w:tcPr>
            <w:tcW w:type="dxa" w:w="8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Net Loans </w:t>
            </w:r>
          </w:p>
        </w:tc>
        <w:tc>
          <w:tcPr>
            <w:tcW w:type="dxa" w:w="556"/>
            <w:vMerge/>
            <w:tcBorders/>
          </w:tcPr>
          <w:p/>
        </w:tc>
        <w:tc>
          <w:tcPr>
            <w:tcW w:type="dxa" w:w="2780"/>
            <w:gridSpan w:val="5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12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  <w:tr>
        <w:trPr>
          <w:trHeight w:hRule="exact" w:val="140"/>
        </w:trPr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outstanding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disbursements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and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provision for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adjustments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outstanding </w:t>
            </w:r>
          </w:p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as of June </w:t>
            </w:r>
          </w:p>
        </w:tc>
        <w:tc>
          <w:tcPr>
            <w:tcW w:type="dxa" w:w="1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prepayments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loan losses</w:t>
            </w:r>
          </w:p>
        </w:tc>
        <w:tc>
          <w:tcPr>
            <w:tcW w:type="dxa" w:w="9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and others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as of June </w:t>
            </w:r>
          </w:p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30, 2024</w:t>
            </w:r>
          </w:p>
        </w:tc>
        <w:tc>
          <w:tcPr>
            <w:tcW w:type="dxa" w:w="415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30, 2025</w:t>
            </w:r>
          </w:p>
        </w:tc>
        <w:tc>
          <w:tcPr>
            <w:tcW w:type="dxa" w:w="1112"/>
            <w:gridSpan w:val="2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  <w:tc>
          <w:tcPr>
            <w:tcW w:type="dxa" w:w="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4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</w:t>
      </w:r>
      <w:r>
        <w:rPr>
          <w:shd w:val="clear" w:color="auto" w:fill="4b809c"/>
          <w:rFonts w:ascii="Arial" w:hAnsi="Arial" w:eastAsia="Arial"/>
          <w:b w:val="0"/>
          <w:i/>
          <w:color w:val="000000"/>
          <w:sz w:val="16"/>
        </w:rPr>
        <w:t>s amou</w:t>
      </w:r>
      <w:r>
        <w:rPr>
          <w:rFonts w:ascii="Arial" w:hAnsi="Arial" w:eastAsia="Arial"/>
          <w:b w:val="0"/>
          <w:i/>
          <w:color w:val="000000"/>
          <w:sz w:val="16"/>
        </w:rPr>
        <w:t>nt less than $0.1 billion.</w:t>
      </w:r>
    </w:p>
    <w:p>
      <w:pPr>
        <w:autoSpaceDN w:val="0"/>
        <w:autoSpaceDE w:val="0"/>
        <w:widowControl/>
        <w:spacing w:line="240" w:lineRule="exact" w:before="2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As of June 30, 2025, IBRD’s net loans outstanding</w:t>
      </w:r>
      <w:r>
        <w:rPr>
          <w:shd w:val="clear" w:color="auto" w:fill="4b809c"/>
          <w:rFonts w:ascii="ArialMT" w:hAnsi="ArialMT" w:eastAsia="ArialMT"/>
          <w:b w:val="0"/>
          <w:i w:val="0"/>
          <w:color w:val="000000"/>
          <w:sz w:val="20"/>
        </w:rPr>
        <w:t xml:space="preserve"> totale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$280.0 billion, $19.8 billion or 8% higher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2024 (Figure 5). The increase was mainly</w:t>
      </w:r>
      <w:r>
        <w:rPr>
          <w:shd w:val="clear" w:color="auto" w:fill="4b809c"/>
          <w:rFonts w:ascii="ArialMT" w:hAnsi="ArialMT" w:eastAsia="ArialMT"/>
          <w:b w:val="0"/>
          <w:i w:val="0"/>
          <w:color w:val="000000"/>
          <w:sz w:val="20"/>
        </w:rPr>
        <w:t xml:space="preserve"> attrib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utable to $14.8 billion of net loan disbursements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in FY25.</w:t>
      </w:r>
    </w:p>
    <w:p>
      <w:pPr>
        <w:autoSpaceDN w:val="0"/>
        <w:autoSpaceDE w:val="0"/>
        <w:widowControl/>
        <w:spacing w:line="224" w:lineRule="exact" w:before="136" w:after="196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Gross disbursements were $30.8 billion, a decrease of $2.7 billion compared to FY24 (Table 13).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840"/>
        </w:trPr>
        <w:tc>
          <w:tcPr>
            <w:tcW w:type="dxa" w:w="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Results from Investing activities</w:t>
      </w:r>
    </w:p>
    <w:p>
      <w:pPr>
        <w:autoSpaceDN w:val="0"/>
        <w:autoSpaceDE w:val="0"/>
        <w:widowControl/>
        <w:spacing w:line="246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Net Investment Revenue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IBRD’s net investment revenue increased by $4 million, compared to FY24 (Table 5).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was primarily driven by higher unrealized mark-to-market gains on the investments-trading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portfolio, net in FY25, compared to FY24. This was largely offset by the higher funding costs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exceeded the increase in investment interest revenue in FY25. See Table 43.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Investments - Trading </w:t>
      </w:r>
    </w:p>
    <w:p>
      <w:pPr>
        <w:autoSpaceDN w:val="0"/>
        <w:autoSpaceDE w:val="0"/>
        <w:widowControl/>
        <w:spacing w:line="240" w:lineRule="exact" w:before="126" w:after="136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Investments - Trading was $102.7 billion as of June 30, 2025 ($82.7 billion as of June 30, 2024).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Figure 6 below and Note C: Investments in the Notes to the Financial Statements. The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Investments - Trading was primarily due to the net new debt issuances that were higher than net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disbursements during the year, and consistent with the higher target liquidity level in FY25 (see Section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VI: Investment Activities).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804"/>
        </w:trPr>
        <w:tc>
          <w:tcPr>
            <w:tcW w:type="dxa" w:w="4860"/>
            <w:gridSpan w:val="6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20" w:right="172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6: Investments - Trading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200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7: Investment Revenue, Net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  <w:p>
            <w:pPr>
              <w:autoSpaceDN w:val="0"/>
              <w:autoSpaceDE w:val="0"/>
              <w:widowControl/>
              <w:spacing w:line="178" w:lineRule="exact" w:before="194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</w:tr>
      <w:tr>
        <w:trPr>
          <w:trHeight w:hRule="exact" w:val="158"/>
        </w:trPr>
        <w:tc>
          <w:tcPr>
            <w:tcW w:type="dxa" w:w="4860"/>
            <w:gridSpan w:val="6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0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Government, agency and corporate obligations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4722"/>
            <w:gridSpan w:val="6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4722"/>
            <w:gridSpan w:val="6"/>
            <w:vMerge/>
            <w:tcBorders>
              <w:top w:sz="6.0" w:val="single" w:color="#E5E6E5"/>
            </w:tcBorders>
          </w:tcPr>
          <w:p/>
        </w:tc>
        <w:tc>
          <w:tcPr>
            <w:tcW w:type="dxa" w:w="800"/>
            <w:vMerge w:val="restart"/>
            <w:tcBorders>
              <w:bottom w:sz="41.600000000000364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3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60600" cy="10033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0" cy="100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308" w:right="194" w:hanging="9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41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80" w:val="left"/>
              </w:tabs>
              <w:autoSpaceDE w:val="0"/>
              <w:widowControl/>
              <w:spacing w:line="136" w:lineRule="exact" w:before="44" w:after="0"/>
              <w:ind w:left="226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investments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697"/>
              <w:gridCol w:w="697"/>
              <w:gridCol w:w="697"/>
              <w:gridCol w:w="697"/>
              <w:gridCol w:w="697"/>
              <w:gridCol w:w="697"/>
            </w:tblGrid>
            <w:tr>
              <w:trPr>
                <w:trHeight w:hRule="exact" w:val="1600"/>
              </w:trPr>
              <w:tc>
                <w:tcPr>
                  <w:tcW w:type="dxa" w:w="3960"/>
                  <w:gridSpan w:val="6"/>
                  <w:tcBorders>
                    <w:start w:sz="6.0000128746032715" w:val="single" w:color="#898A89"/>
                    <w:bottom w:sz="6.00001287460327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4.00000000000006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228"/>
                    </w:trPr>
                    <w:tc>
                      <w:tcPr>
                        <w:tcW w:type="dxa" w:w="390"/>
                        <w:tcBorders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3.5</w:t>
                        </w:r>
                      </w:p>
                    </w:tc>
                    <w:tc>
                      <w:tcPr>
                        <w:tcW w:type="dxa" w:w="790"/>
                        <w:tcBorders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0" w:after="0"/>
                          <w:ind w:left="0" w:right="9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3.6</w:t>
                        </w:r>
                      </w:p>
                    </w:tc>
                    <w:tc>
                      <w:tcPr>
                        <w:tcW w:type="dxa" w:w="788"/>
                        <w:tcBorders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0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4.4</w:t>
                        </w:r>
                      </w:p>
                    </w:tc>
                    <w:tc>
                      <w:tcPr>
                        <w:tcW w:type="dxa" w:w="788"/>
                        <w:tcBorders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90"/>
                    </w:trPr>
                    <w:tc>
                      <w:tcPr>
                        <w:tcW w:type="dxa" w:w="390"/>
                        <w:tcBorders>
                          <w:top w:sz="24.0" w:val="single" w:color="#4B809C"/>
                          <w:bottom w:sz="24.0" w:val="single" w:color="#4B809C"/>
                        </w:tcBorders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4B809C"/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top w:sz="24.0" w:val="single" w:color="#4B809C"/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4B809C"/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top w:sz="24.0" w:val="single" w:color="#4B809C"/>
                          <w:bottom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510"/>
                    </w:trPr>
                    <w:tc>
                      <w:tcPr>
                        <w:tcW w:type="dxa" w:w="390"/>
                        <w:tcBorders>
                          <w:top w:sz="24.0" w:val="single" w:color="#4B809C"/>
                        </w:tcBorders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35.5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top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top w:sz="24.0" w:val="single" w:color="#4B809C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88"/>
                        </w:tblGrid>
                        <w:tr>
                          <w:trPr>
                            <w:trHeight w:hRule="exact" w:val="212"/>
                          </w:trPr>
                          <w:tc>
                            <w:tcPr>
                              <w:tcW w:type="dxa" w:w="39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5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52.3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64"/>
                    </w:trPr>
                    <w:tc>
                      <w:tcPr>
                        <w:tcW w:type="dxa" w:w="3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00.0" w:type="dxa"/>
                        </w:tblPr>
                        <w:tblGrid>
                          <w:gridCol w:w="790"/>
                        </w:tblGrid>
                        <w:tr>
                          <w:trPr>
                            <w:trHeight w:hRule="exact" w:val="182"/>
                          </w:trPr>
                          <w:tc>
                            <w:tcPr>
                              <w:tcW w:type="dxa" w:w="39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39.5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88"/>
                        </w:tblGrid>
                        <w:tr>
                          <w:trPr>
                            <w:trHeight w:hRule="exact" w:val="174"/>
                          </w:trPr>
                          <w:tc>
                            <w:tcPr>
                              <w:tcW w:type="dxa" w:w="39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36.8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00.0" w:type="dxa"/>
                        </w:tblPr>
                        <w:tblGrid>
                          <w:gridCol w:w="790"/>
                        </w:tblGrid>
                        <w:tr>
                          <w:trPr>
                            <w:trHeight w:hRule="exact" w:val="152"/>
                          </w:trPr>
                          <w:tc>
                            <w:tcPr>
                              <w:tcW w:type="dxa" w:w="39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46.0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90"/>
                    </w:trPr>
                    <w:tc>
                      <w:tcPr>
                        <w:tcW w:type="dxa" w:w="3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16"/>
                    </w:trPr>
                    <w:tc>
                      <w:tcPr>
                        <w:tcW w:type="dxa" w:w="3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48.6</w:t>
                        </w:r>
                      </w:p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52" w:after="0"/>
                          <w:ind w:left="0" w:right="5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38.7</w:t>
                        </w:r>
                      </w:p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38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39.0</w:t>
                        </w:r>
                      </w:p>
                    </w:tc>
                    <w:tc>
                      <w:tcPr>
                        <w:tcW w:type="dxa" w:w="7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98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32.4</w:t>
                        </w:r>
                      </w:p>
                    </w:tc>
                    <w:tc>
                      <w:tcPr>
                        <w:tcW w:type="dxa" w:w="7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8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44.2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7"/>
            <w:vMerge/>
            <w:tcBorders>
              <w:bottom w:sz="41.600000000000364" w:val="single" w:color="#4B809C"/>
            </w:tcBorders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</w:tr>
      <w:tr>
        <w:trPr>
          <w:trHeight w:hRule="exact" w:val="818"/>
        </w:trPr>
        <w:tc>
          <w:tcPr>
            <w:tcW w:type="dxa" w:w="787"/>
            <w:vMerge/>
            <w:tcBorders/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  <w:tc>
          <w:tcPr>
            <w:tcW w:type="dxa" w:w="800"/>
            <w:vMerge w:val="restart"/>
            <w:tcBorders>
              <w:top w:sz="41.600000000000364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88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3935"/>
            <w:gridSpan w:val="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935"/>
            <w:gridSpan w:val="5"/>
            <w:vMerge/>
            <w:tcBorders/>
          </w:tcPr>
          <w:p/>
        </w:tc>
        <w:tc>
          <w:tcPr>
            <w:tcW w:type="dxa" w:w="787"/>
            <w:vMerge/>
            <w:tcBorders>
              <w:top w:sz="41.600000000000364" w:val="single" w:color="#4B809C"/>
            </w:tcBorders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787"/>
            <w:vMerge/>
            <w:tcBorders/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935"/>
            <w:gridSpan w:val="5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396" w:right="144" w:hanging="8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935"/>
            <w:gridSpan w:val="5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7"/>
            <w:vMerge/>
            <w:tcBorders/>
          </w:tcPr>
          <w:p/>
        </w:tc>
        <w:tc>
          <w:tcPr>
            <w:tcW w:type="dxa" w:w="3935"/>
            <w:gridSpan w:val="5"/>
            <w:vMerge/>
            <w:tcBorders/>
          </w:tcPr>
          <w:p/>
        </w:tc>
        <w:tc>
          <w:tcPr>
            <w:tcW w:type="dxa" w:w="4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(50)</w:t>
            </w:r>
          </w:p>
        </w:tc>
      </w:tr>
      <w:tr>
        <w:trPr>
          <w:trHeight w:hRule="exact" w:val="258"/>
        </w:trPr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Results from Borrowing activities 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borrowings were $306.2 billion, $44.4 billion higher than June 30, 2024 (Note E: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in the Notes to the Financial Statements). The increase was primarily due to net new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issuances of $31.0 billion during the year. The $64.5 billion of medium-and long-term debt raised during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year (Table 28) was diversified by investor profile and location, with an average maturity of 5.5 years. </w:t>
      </w:r>
    </w:p>
    <w:p>
      <w:pPr>
        <w:autoSpaceDN w:val="0"/>
        <w:autoSpaceDE w:val="0"/>
        <w:widowControl/>
        <w:spacing w:line="224" w:lineRule="exact" w:before="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funds raised financed development lending operations and satisfied the liquidity requirements.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8: Borrowings (Original Maturities)</w:t>
      </w:r>
    </w:p>
    <w:p>
      <w:pPr>
        <w:autoSpaceDN w:val="0"/>
        <w:autoSpaceDE w:val="0"/>
        <w:widowControl/>
        <w:spacing w:line="178" w:lineRule="exact" w:before="84" w:after="37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6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Short-term</w:t>
            </w:r>
          </w:p>
        </w:tc>
        <w:tc>
          <w:tcPr>
            <w:tcW w:type="dxa" w:w="66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Medium-and long-term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8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4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13.0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1349"/>
            <w:vMerge/>
            <w:tcBorders/>
          </w:tcPr>
          <w:p/>
        </w:tc>
        <w:tc>
          <w:tcPr>
            <w:tcW w:type="dxa" w:w="83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1387"/>
              <w:gridCol w:w="1387"/>
              <w:gridCol w:w="1387"/>
              <w:gridCol w:w="1387"/>
              <w:gridCol w:w="1387"/>
              <w:gridCol w:w="1387"/>
            </w:tblGrid>
            <w:tr>
              <w:trPr>
                <w:trHeight w:hRule="exact" w:val="1720"/>
              </w:trPr>
              <w:tc>
                <w:tcPr>
                  <w:tcW w:type="dxa" w:w="3960"/>
                  <w:gridSpan w:val="6"/>
                  <w:tcBorders>
                    <w:start w:sz="6.0000128746032715" w:val="single" w:color="#898A89"/>
                    <w:bottom w:sz="6.00001287460327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4.00000000000006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390"/>
                        <w:tcBorders>
                          <w:bottom w:sz="24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type="dxa" w:w="790"/>
                        <w:tcBorders>
                          <w:bottom w:sz="24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bottom w:sz="24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bottom w:sz="24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6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9.0</w:t>
                        </w:r>
                      </w:p>
                    </w:tc>
                    <w:tc>
                      <w:tcPr>
                        <w:tcW w:type="dxa" w:w="872"/>
                        <w:tcBorders>
                          <w:bottom w:sz="24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64"/>
                    </w:trPr>
                    <w:tc>
                      <w:tcPr>
                        <w:tcW w:type="dxa" w:w="390"/>
                        <w:tcBorders>
                          <w:top w:sz="24.0" w:val="single" w:color="#004972"/>
                          <w:bottom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004972"/>
                          <w:bottom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5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15.1</w:t>
                        </w:r>
                      </w:p>
                    </w:tc>
                    <w:tc>
                      <w:tcPr>
                        <w:tcW w:type="dxa" w:w="788"/>
                        <w:tcBorders>
                          <w:top w:sz="24.0" w:val="single" w:color="#004972"/>
                          <w:bottom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10.1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004972"/>
                          <w:bottom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72"/>
                        <w:tcBorders>
                          <w:top w:sz="24.0" w:val="single" w:color="#004972"/>
                          <w:bottom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22"/>
                    </w:trPr>
                    <w:tc>
                      <w:tcPr>
                        <w:tcW w:type="dxa" w:w="390"/>
                        <w:tcBorders>
                          <w:top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249.9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56" w:after="0"/>
                          <w:ind w:left="0" w:right="1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220.1</w:t>
                        </w:r>
                      </w:p>
                    </w:tc>
                    <w:tc>
                      <w:tcPr>
                        <w:tcW w:type="dxa" w:w="788"/>
                        <w:tcBorders>
                          <w:top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42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227.2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66" w:after="0"/>
                          <w:ind w:left="0" w:right="1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252.8</w:t>
                        </w:r>
                      </w:p>
                    </w:tc>
                    <w:tc>
                      <w:tcPr>
                        <w:tcW w:type="dxa" w:w="872"/>
                        <w:tcBorders>
                          <w:top w:sz="36.0" w:val="single" w:color="#00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46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293.2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6745"/>
            <w:gridSpan w:val="5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2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1100"/>
        </w:trPr>
        <w:tc>
          <w:tcPr>
            <w:tcW w:type="dxa" w:w="134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084"/>
        </w:trPr>
        <w:tc>
          <w:tcPr>
            <w:tcW w:type="dxa" w:w="1349"/>
            <w:vMerge/>
            <w:tcBorders/>
          </w:tcPr>
          <w:p/>
        </w:tc>
        <w:tc>
          <w:tcPr>
            <w:tcW w:type="dxa" w:w="8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13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Net Non-Interest Expenses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shown in Table 6, IBRD’s net non-interest expenses are primarily comprised of administrative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expenses, net of revenue from externally funded activities, and include costs related to Bank-executed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activities for trust funds and other externally funded activities. IBRD and IDA's administrative budget is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single resource envelope that funds the combined work programs of both entities. The allocation of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administrative expenses between IBRD and IDA is based on an agreed cost and revenue sharing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methodology, approved by their Boards, which is primarily driven by the relative level of lending,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>knowledge services, and other services between these two entities.</w:t>
      </w:r>
    </w:p>
    <w:p>
      <w:pPr>
        <w:autoSpaceDN w:val="0"/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9: Net Non-Interest Expenses (Reported Basis)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194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2,400</w:t>
      </w:r>
    </w:p>
    <w:p>
      <w:pPr>
        <w:autoSpaceDN w:val="0"/>
        <w:autoSpaceDE w:val="0"/>
        <w:widowControl/>
        <w:spacing w:line="178" w:lineRule="exact" w:before="212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1,800</w:t>
      </w:r>
    </w:p>
    <w:p>
      <w:pPr>
        <w:autoSpaceDN w:val="0"/>
        <w:tabs>
          <w:tab w:pos="850" w:val="left"/>
        </w:tabs>
        <w:autoSpaceDE w:val="0"/>
        <w:widowControl/>
        <w:spacing w:line="240" w:lineRule="auto" w:before="28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1,200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59000" cy="139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212" w:after="0"/>
        <w:ind w:left="3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600</w:t>
      </w:r>
    </w:p>
    <w:p>
      <w:pPr>
        <w:autoSpaceDN w:val="0"/>
        <w:autoSpaceDE w:val="0"/>
        <w:widowControl/>
        <w:spacing w:line="178" w:lineRule="exact" w:before="212" w:after="16"/>
        <w:ind w:left="5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5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0" w:lineRule="exact" w:before="4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increase in net non-interest expenses from FY24 to FY25, on both a reported basis and allocable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 basis, was primarily driven by higher administrative expenses (Table 6).</w:t>
      </w:r>
    </w:p>
    <w:p>
      <w:pPr>
        <w:autoSpaceDN w:val="0"/>
        <w:autoSpaceDE w:val="0"/>
        <w:widowControl/>
        <w:spacing w:line="224" w:lineRule="exact" w:before="14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6: Net Non-Interest Expenses</w:t>
      </w:r>
    </w:p>
    <w:p>
      <w:pPr>
        <w:autoSpaceDN w:val="0"/>
        <w:autoSpaceDE w:val="0"/>
        <w:widowControl/>
        <w:spacing w:line="178" w:lineRule="exact" w:before="46" w:after="22"/>
        <w:ind w:left="62" w:right="0" w:firstLine="0"/>
        <w:jc w:val="left"/>
      </w:pPr>
      <w:r>
        <w:rPr>
          <w:rFonts w:ascii="Arial" w:hAnsi="Arial" w:eastAsia="Arial"/>
          <w:b w:val="0"/>
          <w:i/>
          <w:color w:val="242424"/>
          <w:sz w:val="16"/>
        </w:rPr>
        <w:t xml:space="preserve">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32"/>
        </w:trPr>
        <w:tc>
          <w:tcPr>
            <w:tcW w:type="dxa" w:w="463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For the fiscal year ended June 30,</w:t>
            </w:r>
          </w:p>
        </w:tc>
        <w:tc>
          <w:tcPr>
            <w:tcW w:type="dxa" w:w="2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2025</w:t>
            </w:r>
          </w:p>
        </w:tc>
        <w:tc>
          <w:tcPr>
            <w:tcW w:type="dxa" w:w="9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14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2361"/>
        <w:gridCol w:w="2361"/>
        <w:gridCol w:w="2361"/>
        <w:gridCol w:w="2361"/>
      </w:tblGrid>
      <w:tr>
        <w:trPr>
          <w:trHeight w:hRule="exact" w:val="19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350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3.9999999999998" w:type="dxa"/>
            </w:tblPr>
            <w:tblGrid>
              <w:gridCol w:w="1752"/>
              <w:gridCol w:w="1752"/>
            </w:tblGrid>
            <w:tr>
              <w:trPr>
                <w:trHeight w:hRule="exact" w:val="1574"/>
              </w:trPr>
              <w:tc>
                <w:tcPr>
                  <w:tcW w:type="dxa" w:w="1242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  <w:tab w:pos="874" w:val="left"/>
                      <w:tab w:pos="962" w:val="left"/>
                    </w:tabs>
                    <w:autoSpaceDE w:val="0"/>
                    <w:widowControl/>
                    <w:spacing w:line="222" w:lineRule="exact" w:before="0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1,261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164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551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287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105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133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21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8" w:val="left"/>
                      <w:tab w:pos="862" w:val="left"/>
                      <w:tab w:pos="950" w:val="left"/>
                    </w:tabs>
                    <w:autoSpaceDE w:val="0"/>
                    <w:widowControl/>
                    <w:spacing w:line="222" w:lineRule="exact" w:before="0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1,178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518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284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99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126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16 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78" w:lineRule="exact" w:before="12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2,522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8" w:val="left"/>
                    </w:tabs>
                    <w:autoSpaceDE w:val="0"/>
                    <w:widowControl/>
                    <w:spacing w:line="178" w:lineRule="exact" w:before="1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2,379 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" w:after="0"/>
                    <w:ind w:left="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17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top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" w:after="0"/>
                    <w:ind w:left="0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fees and contractual services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</w:tr>
      <w:tr>
        <w:trPr>
          <w:trHeight w:hRule="exact" w:val="22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54"/>
        </w:trPr>
        <w:tc>
          <w:tcPr>
            <w:tcW w:type="dxa" w:w="49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53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26"/>
        </w:trPr>
        <w:tc>
          <w:tcPr>
            <w:tcW w:type="dxa" w:w="49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Total administrative expenses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(Table 3)</w:t>
            </w:r>
          </w:p>
        </w:tc>
        <w:tc>
          <w:tcPr>
            <w:tcW w:type="dxa" w:w="350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143 </w:t>
            </w:r>
          </w:p>
        </w:tc>
      </w:tr>
      <w:tr>
        <w:trPr>
          <w:trHeight w:hRule="exact" w:val="236"/>
        </w:trPr>
        <w:tc>
          <w:tcPr>
            <w:tcW w:type="dxa" w:w="49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 (Section V) (Table 3)</w:t>
            </w:r>
          </w:p>
        </w:tc>
        <w:tc>
          <w:tcPr>
            <w:tcW w:type="dxa" w:w="350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10" w:after="14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 (Section 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3372"/>
        </w:trPr>
        <w:tc>
          <w:tcPr>
            <w:tcW w:type="dxa" w:w="5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  <w:tab w:pos="152" w:val="left"/>
                <w:tab w:pos="278" w:val="left"/>
                <w:tab w:pos="400" w:val="left"/>
              </w:tabs>
              <w:autoSpaceDE w:val="0"/>
              <w:widowControl/>
              <w:spacing w:line="226" w:lineRule="exact" w:before="0" w:after="0"/>
              <w:ind w:left="62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Reimbursable revenue – Bank-executed activities for trust funds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Reimbursable advisory services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- Trust funds administration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Restricted revenue (primarily externally financed outputs)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- Asset management services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revenue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Total Revenue from externally funded activities (Table 3)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non-interest expenses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Add: Inclusion of Net pension cost, other than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(Table 3)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Reported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Basis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Adjustments to arrive at net non-interest expenses - non-GAAP measure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Less: Exclusion of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Externally Financed Outputs (EFO) and Reserve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Advisory and Management Partnership (RAMP)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non-GAAP measure (Table 5)</w:t>
            </w:r>
          </w:p>
        </w:tc>
        <w:tc>
          <w:tcPr>
            <w:tcW w:type="dxa" w:w="3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3.99999999999977" w:type="dxa"/>
            </w:tblPr>
            <w:tblGrid>
              <w:gridCol w:w="1203"/>
              <w:gridCol w:w="1203"/>
              <w:gridCol w:w="1203"/>
            </w:tblGrid>
            <w:tr>
              <w:trPr>
                <w:trHeight w:hRule="exact" w:val="1350"/>
              </w:trPr>
              <w:tc>
                <w:tcPr>
                  <w:tcW w:type="dxa" w:w="1242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72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(604)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(49)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(91)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(5)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(18)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(180) </w:t>
                  </w:r>
                </w:p>
              </w:tc>
              <w:tc>
                <w:tcPr>
                  <w:tcW w:type="dxa" w:w="2184"/>
                  <w:gridSpan w:val="2"/>
                  <w:tcBorders>
                    <w:start w:sz="24.0" w:val="single" w:color="#FFFF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43.9999999999998" w:type="dxa"/>
                  </w:tblPr>
                  <w:tblGrid>
                    <w:gridCol w:w="1092"/>
                    <w:gridCol w:w="1092"/>
                  </w:tblGrid>
                  <w:tr>
                    <w:trPr>
                      <w:trHeight w:hRule="exact" w:val="1310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0" w:after="0"/>
                          <w:ind w:left="288" w:right="37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(612)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(47)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(99)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(8)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(17)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(177) </w:t>
                        </w:r>
                      </w:p>
                    </w:tc>
                    <w:tc>
                      <w:tcPr>
                        <w:tcW w:type="dxa" w:w="6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0" w:after="0"/>
                          <w:ind w:left="288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(2)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8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3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(3)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8" w:val="left"/>
                    </w:tabs>
                    <w:autoSpaceDE w:val="0"/>
                    <w:widowControl/>
                    <w:spacing w:line="180" w:lineRule="exact" w:before="10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(947) </w:t>
                  </w:r>
                </w:p>
              </w:tc>
              <w:tc>
                <w:tcPr>
                  <w:tcW w:type="dxa" w:w="2184"/>
                  <w:gridSpan w:val="2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46"/>
                    <w:gridCol w:w="546"/>
                    <w:gridCol w:w="546"/>
                    <w:gridCol w:w="546"/>
                  </w:tblGrid>
                  <w:tr>
                    <w:trPr>
                      <w:trHeight w:hRule="exact" w:val="182"/>
                    </w:trPr>
                    <w:tc>
                      <w:tcPr>
                        <w:tcW w:type="dxa" w:w="46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6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(960) </w:t>
                        </w:r>
                      </w:p>
                    </w:tc>
                    <w:tc>
                      <w:tcPr>
                        <w:tcW w:type="dxa" w:w="44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46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242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72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1,592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(175) </w:t>
                  </w:r>
                </w:p>
              </w:tc>
              <w:tc>
                <w:tcPr>
                  <w:tcW w:type="dxa" w:w="1260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72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1,436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(194) </w:t>
                  </w:r>
                </w:p>
              </w:tc>
              <w:tc>
                <w:tcPr>
                  <w:tcW w:type="dxa" w:w="924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38" w:right="0" w:hanging="88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156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19 </w:t>
                  </w:r>
                </w:p>
              </w:tc>
            </w:tr>
            <w:tr>
              <w:trPr>
                <w:trHeight w:hRule="exact" w:val="229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78" w:lineRule="exact" w:before="10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1,417 </w:t>
                  </w:r>
                </w:p>
              </w:tc>
              <w:tc>
                <w:tcPr>
                  <w:tcW w:type="dxa" w:w="2184"/>
                  <w:gridSpan w:val="2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46"/>
                    <w:gridCol w:w="546"/>
                    <w:gridCol w:w="546"/>
                    <w:gridCol w:w="546"/>
                  </w:tblGrid>
                  <w:tr>
                    <w:trPr>
                      <w:trHeight w:hRule="exact" w:val="174"/>
                    </w:trPr>
                    <w:tc>
                      <w:tcPr>
                        <w:tcW w:type="dxa" w:w="440"/>
                        <w:tcBorders>
                          <w:bottom w:sz="8.0" w:val="single" w:color="#6C6C6C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804"/>
                        <w:tcBorders>
                          <w:bottom w:sz="8.0" w:val="single" w:color="#6C6C6C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1,242 </w:t>
                        </w:r>
                      </w:p>
                    </w:tc>
                    <w:tc>
                      <w:tcPr>
                        <w:tcW w:type="dxa" w:w="376"/>
                        <w:tcBorders>
                          <w:bottom w:sz="8.0" w:val="single" w:color="#6C6C6C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" w:after="0"/>
                          <w:ind w:left="64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530"/>
                        <w:tcBorders>
                          <w:bottom w:sz="8.0" w:val="single" w:color="#6C6C6C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" w:after="0"/>
                          <w:ind w:left="0" w:right="3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175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671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50" w:after="0"/>
                    <w:ind w:left="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165 </w:t>
                  </w:r>
                </w:p>
              </w:tc>
              <w:tc>
                <w:tcPr>
                  <w:tcW w:type="dxa" w:w="126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50" w:after="0"/>
                    <w:ind w:left="0" w:right="5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192 </w:t>
                  </w:r>
                </w:p>
              </w:tc>
              <w:tc>
                <w:tcPr>
                  <w:tcW w:type="dxa" w:w="120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7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80" w:lineRule="exact" w:before="16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1,582 </w:t>
                  </w:r>
                </w:p>
              </w:tc>
              <w:tc>
                <w:tcPr>
                  <w:tcW w:type="dxa" w:w="2184"/>
                  <w:gridSpan w:val="2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46"/>
                    <w:gridCol w:w="546"/>
                    <w:gridCol w:w="546"/>
                    <w:gridCol w:w="546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44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2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2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1,434 </w:t>
                        </w:r>
                      </w:p>
                    </w:tc>
                    <w:tc>
                      <w:tcPr>
                        <w:tcW w:type="dxa" w:w="4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2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5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2" w:after="0"/>
                          <w:ind w:left="0" w:right="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148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 pension service cost represents the cost of benefits attributable to services performed by employees for the Bank during the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fiscal year. See Notes to Financial Statements, Note K: Pension and Other Post-Retirement Benefits.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expenses related to Bank-executed activities for trust funds of $604 million for FY25 and $612 million for FY24.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fee revenue associated with services provided to affiliated organizations of $116 million in FY25 ($112 million in FY24).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See Notes to Financial Statements, Note H: Transactions with Affiliated Organizations. </w:t>
      </w:r>
    </w:p>
    <w:p>
      <w:pPr>
        <w:autoSpaceDN w:val="0"/>
        <w:autoSpaceDE w:val="0"/>
        <w:widowControl/>
        <w:spacing w:line="196" w:lineRule="exact" w:before="44" w:after="374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Amount is included in Non-interest expenses - Other in the Statements of Income (Table 3). </w:t>
      </w:r>
      <w:r>
        <w:rPr>
          <w:rFonts w:ascii="Arial" w:hAnsi="Arial" w:eastAsia="Arial"/>
          <w:b w:val="0"/>
          <w:i/>
          <w:color w:val="000000"/>
          <w:sz w:val="16"/>
        </w:rPr>
        <w:t>e. Components of this adjustment are included in Table 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26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goal is to have its net administrative expenses covered by its loan interest margin (see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components of loan spread in Box 1) and certain fee revenue, using a measure referred to as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Anchor. In FY25, IBRD’s Budget Anchor was 63.4%, an increase of 0.7% compared with 62.7% in FY24.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increase was primarily due to the relative increase in net non-interest expenses outpacing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increase in budget anchor revenue (see Table 7 for details of the Budget Anchor components).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7: Budget Anchor Ratio</w:t>
      </w:r>
    </w:p>
    <w:p>
      <w:pPr>
        <w:autoSpaceDN w:val="0"/>
        <w:autoSpaceDE w:val="0"/>
        <w:widowControl/>
        <w:spacing w:line="180" w:lineRule="exact" w:before="60" w:after="2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2"/>
        </w:trPr>
        <w:tc>
          <w:tcPr>
            <w:tcW w:type="dxa" w:w="8484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28"/>
              <w:gridCol w:w="2828"/>
              <w:gridCol w:w="2828"/>
            </w:tblGrid>
            <w:tr>
              <w:trPr>
                <w:trHeight w:hRule="exact" w:val="190"/>
              </w:trPr>
              <w:tc>
                <w:tcPr>
                  <w:tcW w:type="dxa" w:w="47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For the fiscal year ended June 30,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9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A6A6A6"/>
                      <w:sz w:val="16"/>
                    </w:rPr>
                    <w:t>2025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A6A6A6"/>
                      <w:sz w:val="16"/>
                    </w:rPr>
                    <w:t>2024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6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 Variance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8"/>
        </w:trPr>
        <w:tc>
          <w:tcPr>
            <w:tcW w:type="dxa" w:w="6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6)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$ 1,417 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$ 1,242 </w:t>
            </w:r>
          </w:p>
        </w:tc>
        <w:tc>
          <w:tcPr>
            <w:tcW w:type="dxa" w:w="30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175 </w:t>
            </w:r>
          </w:p>
        </w:tc>
      </w:tr>
      <w:tr>
        <w:trPr>
          <w:trHeight w:hRule="exact" w:val="286"/>
        </w:trPr>
        <w:tc>
          <w:tcPr>
            <w:tcW w:type="dxa" w:w="658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RAMP, EFO and 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0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94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5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</w:tr>
      <w:tr>
        <w:trPr>
          <w:trHeight w:hRule="exact" w:val="220"/>
        </w:trPr>
        <w:tc>
          <w:tcPr>
            <w:tcW w:type="dxa" w:w="658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expenses for Budget Anchor</w:t>
            </w:r>
          </w:p>
        </w:tc>
        <w:tc>
          <w:tcPr>
            <w:tcW w:type="dxa" w:w="90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$ 1,584 </w:t>
            </w:r>
          </w:p>
        </w:tc>
        <w:tc>
          <w:tcPr>
            <w:tcW w:type="dxa" w:w="94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$ 1,434 </w:t>
            </w:r>
          </w:p>
        </w:tc>
        <w:tc>
          <w:tcPr>
            <w:tcW w:type="dxa" w:w="30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150 </w:t>
            </w:r>
          </w:p>
        </w:tc>
      </w:tr>
      <w:tr>
        <w:trPr>
          <w:trHeight w:hRule="exact" w:val="454"/>
        </w:trPr>
        <w:tc>
          <w:tcPr>
            <w:tcW w:type="dxa" w:w="65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interest margin (Table 5)</w:t>
            </w:r>
          </w:p>
        </w:tc>
        <w:tc>
          <w:tcPr>
            <w:tcW w:type="dxa" w:w="90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2,327 </w:t>
            </w:r>
          </w:p>
        </w:tc>
        <w:tc>
          <w:tcPr>
            <w:tcW w:type="dxa" w:w="94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2,119 </w:t>
            </w:r>
          </w:p>
        </w:tc>
        <w:tc>
          <w:tcPr>
            <w:tcW w:type="dxa" w:w="30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 </w:t>
            </w:r>
          </w:p>
        </w:tc>
      </w:tr>
      <w:tr>
        <w:trPr>
          <w:trHeight w:hRule="exact" w:val="240"/>
        </w:trPr>
        <w:tc>
          <w:tcPr>
            <w:tcW w:type="dxa" w:w="6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 fees (Table 3)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88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86"/>
        </w:trPr>
        <w:tc>
          <w:tcPr>
            <w:tcW w:type="dxa" w:w="658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fees</w:t>
            </w:r>
          </w:p>
        </w:tc>
        <w:tc>
          <w:tcPr>
            <w:tcW w:type="dxa" w:w="90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94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88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5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658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for Budget Anchor</w:t>
            </w:r>
          </w:p>
        </w:tc>
        <w:tc>
          <w:tcPr>
            <w:tcW w:type="dxa" w:w="90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$ 2,497 </w:t>
            </w:r>
          </w:p>
        </w:tc>
        <w:tc>
          <w:tcPr>
            <w:tcW w:type="dxa" w:w="94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$ 2,287 </w:t>
            </w:r>
          </w:p>
        </w:tc>
        <w:tc>
          <w:tcPr>
            <w:tcW w:type="dxa" w:w="30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210 </w:t>
            </w:r>
          </w:p>
        </w:tc>
      </w:tr>
      <w:tr>
        <w:trPr>
          <w:trHeight w:hRule="exact" w:val="50"/>
        </w:trPr>
        <w:tc>
          <w:tcPr>
            <w:tcW w:type="dxa" w:w="65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35"/>
        </w:trPr>
        <w:tc>
          <w:tcPr>
            <w:tcW w:type="dxa" w:w="8484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28"/>
              <w:gridCol w:w="2828"/>
              <w:gridCol w:w="2828"/>
            </w:tblGrid>
            <w:tr>
              <w:trPr>
                <w:trHeight w:hRule="exact" w:val="187"/>
              </w:trPr>
              <w:tc>
                <w:tcPr>
                  <w:tcW w:type="dxa" w:w="65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Budget Anchor</w:t>
                  </w:r>
                </w:p>
              </w:tc>
              <w:tc>
                <w:tcPr>
                  <w:tcW w:type="dxa" w:w="9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2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63.4 %</w:t>
                  </w:r>
                </w:p>
              </w:tc>
              <w:tc>
                <w:tcPr>
                  <w:tcW w:type="dxa" w:w="9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1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62.7 %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6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0.7 %</w:t>
            </w:r>
          </w:p>
        </w:tc>
      </w:tr>
    </w:tbl>
    <w:p>
      <w:pPr>
        <w:autoSpaceDN w:val="0"/>
        <w:autoSpaceDE w:val="0"/>
        <w:widowControl/>
        <w:spacing w:line="180" w:lineRule="exact" w:before="7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adjustments are made to arrive at total expenses for Budget Anchor purpose. </w:t>
      </w:r>
    </w:p>
    <w:p>
      <w:pPr>
        <w:autoSpaceDN w:val="0"/>
        <w:autoSpaceDE w:val="0"/>
        <w:widowControl/>
        <w:spacing w:line="268" w:lineRule="exact" w:before="2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the non-trading portfolios had $256 million of net unrealized mark-to-market gains ($289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net unrealized mark-to-market gains in FY24). The decrease in gains was mainly driven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market-to-market losses on loan related derivatives and borrowings, primarily due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 in relevant interest rates. </w:t>
      </w:r>
    </w:p>
    <w:p>
      <w:pPr>
        <w:autoSpaceDN w:val="0"/>
        <w:autoSpaceDE w:val="0"/>
        <w:widowControl/>
        <w:spacing w:line="22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8: Unrealized Mark-to-Market Gains (Losses) on Non-trading Portfolios, Net</w:t>
      </w:r>
    </w:p>
    <w:p>
      <w:pPr>
        <w:autoSpaceDN w:val="0"/>
        <w:autoSpaceDE w:val="0"/>
        <w:widowControl/>
        <w:spacing w:line="178" w:lineRule="exact" w:before="70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8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fiscal year ended June 30,</w:t>
            </w:r>
          </w:p>
        </w:tc>
        <w:tc>
          <w:tcPr>
            <w:tcW w:type="dxa" w:w="3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2025</w:t>
            </w:r>
          </w:p>
        </w:tc>
        <w:tc>
          <w:tcPr>
            <w:tcW w:type="dxa" w:w="92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30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related derivatives</w:t>
            </w:r>
          </w:p>
        </w:tc>
        <w:tc>
          <w:tcPr>
            <w:tcW w:type="dxa" w:w="370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(1,372) $ </w:t>
            </w:r>
          </w:p>
        </w:tc>
        <w:tc>
          <w:tcPr>
            <w:tcW w:type="dxa" w:w="92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(914)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derivatives, net</w:t>
            </w:r>
          </w:p>
        </w:tc>
        <w:tc>
          <w:tcPr>
            <w:tcW w:type="dxa" w:w="1889"/>
            <w:vMerge/>
            <w:tcBorders>
              <w:top w:sz="4.0" w:val="single" w:color="#929292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1,839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1,131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including related derivatives</w:t>
            </w:r>
          </w:p>
        </w:tc>
        <w:tc>
          <w:tcPr>
            <w:tcW w:type="dxa" w:w="1889"/>
            <w:vMerge/>
            <w:tcBorders>
              <w:top w:sz="4.0" w:val="single" w:color="#929292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(234)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(243) </w:t>
            </w:r>
          </w:p>
        </w:tc>
      </w:tr>
      <w:tr>
        <w:trPr>
          <w:trHeight w:hRule="exact" w:val="251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Client operations and other derivatives, net </w:t>
            </w:r>
          </w:p>
        </w:tc>
        <w:tc>
          <w:tcPr>
            <w:tcW w:type="dxa" w:w="1889"/>
            <w:vMerge/>
            <w:tcBorders>
              <w:top w:sz="4.0" w:val="single" w:color="#929292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</w:tbl>
    <w:p>
      <w:pPr>
        <w:autoSpaceDN w:val="0"/>
        <w:autoSpaceDE w:val="0"/>
        <w:widowControl/>
        <w:spacing w:line="246" w:lineRule="exact" w:before="32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Other ALM Portfolio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derivatives to stabilize its interest revenue from the portion of loans that is sensitive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short-term interest rates. The Other ALM portfolio consists of derivatives which convert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portion of variable rate loan cash flows to fixed rate loan cash flows. In FY25, IBRD recorded unrealized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mark-to-market gains of $1,839 million on this portfolio, primarily due to the decrease in relevant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 as of June 30, 2025 compared to June 30, 2024. The duration of this portfolio was 4.4 years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2025, within the Board established limit of 5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0.0" w:type="dxa"/>
      </w:tblPr>
      <w:tblGrid>
        <w:gridCol w:w="4723"/>
        <w:gridCol w:w="4723"/>
      </w:tblGrid>
      <w:tr>
        <w:trPr>
          <w:trHeight w:hRule="exact" w:val="6194"/>
        </w:trPr>
        <w:tc>
          <w:tcPr>
            <w:tcW w:type="dxa" w:w="7240"/>
            <w:tcBorders>
              <w:top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960" w:after="0"/>
              <w:ind w:left="16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490"/>
            <w:tcBorders>
              <w:top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9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80" w:lineRule="exact" w:before="0" w:after="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Unrealized mark-to-market gains (losses) on non-trading portfolios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600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basis (Table 3)</w:t>
            </w:r>
          </w:p>
        </w:tc>
        <w:tc>
          <w:tcPr>
            <w:tcW w:type="dxa" w:w="47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51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289 </w:t>
            </w:r>
          </w:p>
        </w:tc>
        <w:tc>
          <w:tcPr>
            <w:tcW w:type="dxa" w:w="53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bottom w:sz="8.0" w:val="single" w:color="#48484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60"/>
        </w:trPr>
        <w:tc>
          <w:tcPr>
            <w:tcW w:type="dxa" w:w="600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484848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 Portfolio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Loans outstanding are reported at amortized cost on the Balance Sheets and therefore the mark-to-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effect on loans is not reflected in reported net income. However, the derivatives used to convert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loans from fixed-rate to variable-rate instruments, for asset / liability management purposes,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reported at fair value. From an economic perspective, IBRD’s loans, after the effect of derivatives, carry </w:t>
      </w:r>
      <w:r>
        <w:rPr>
          <w:rFonts w:ascii="ArialMT" w:hAnsi="ArialMT" w:eastAsia="ArialMT"/>
          <w:b w:val="0"/>
          <w:i w:val="0"/>
          <w:color w:val="000000"/>
          <w:sz w:val="20"/>
        </w:rPr>
        <w:t>variable interest rates and have a low sensitivity to the change in interest rates. The unrealized mark-to-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losses on loan related derivatives were $914 million higher in FY25 compared to FY24, due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prominent decrease in relevant interest rates during the year. See Section IX: Risk Management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additional details on how IBRD uses derivatives in the loan portfolio.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46" w:lineRule="exact" w:before="35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Borrowing Portfolio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borrowings and the related derivatives are reported at fair value, except for hybrid capital which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reported at amortized cost on the Balance Sheets. IBRD recorded $234 million of net unrealized mark-to-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losses on IBRD’s borrowings at fair value and associated derivatives, due to the decrease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relevant interest rates as of June 30, 2025 compared to June 30, 2024. The unrealized mark-to-market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on the borrowings at fair value were mainly driven by the decrease in relevant interest rates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exceeded the gains on the bond-related derivatives. The net unrealized mark-to-market losses on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bonds exclude changes in IBRD’s own credit, referred to as the Debit Valuation Adjustment (DVA) on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Option elected liabilities, which is instead recorded in AOCI. In FY25, the DVA was $991 million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mark-to-market gains, resulting mainly from the widening of IBRD’s credit spreads relative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applicable reference rate during the year. This was primarily driven by the widening of spreads across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euro sovereign, supranational, and agency markets. As of June 30, 2025, IBRD’s Balance Sheets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a cumulative DVA of $1,664 million of mark-to-market gains reflected in AOCI (See Notes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Statements, Note J – Fair Value Disclosures).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Income Allocation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recommends allocations of income to the Board, at the end of each fiscal year, to augment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support developmental activities. These allocations are based on allocable income.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illustrated in Table 9, the key differences between allocable income and net income are (i) expenses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to Board of Governors-approved transfers, (ii) non-functional currency translation adjustment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and losses and (iii) unrealized mark-to-market gains and losses on IBRD’s non-trading portfolios,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are all excluded from allocable income.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9: Allocable Income and Recommended Allocations</w:t>
      </w:r>
    </w:p>
    <w:p>
      <w:pPr>
        <w:autoSpaceDN w:val="0"/>
        <w:autoSpaceDE w:val="0"/>
        <w:widowControl/>
        <w:spacing w:line="180" w:lineRule="exact" w:before="64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2"/>
        </w:trPr>
        <w:tc>
          <w:tcPr>
            <w:tcW w:type="dxa" w:w="7944"/>
            <w:tcBorders>
              <w:end w:sz="24.0" w:val="single" w:color="#FFFFFF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972"/>
              <w:gridCol w:w="3972"/>
            </w:tblGrid>
            <w:tr>
              <w:trPr>
                <w:trHeight w:hRule="exact" w:val="192"/>
              </w:trPr>
              <w:tc>
                <w:tcPr>
                  <w:tcW w:type="dxa" w:w="49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494949"/>
                      <w:sz w:val="16"/>
                    </w:rPr>
                    <w:t>For the fiscal years ended June 30,</w:t>
                  </w:r>
                </w:p>
              </w:tc>
              <w:tc>
                <w:tcPr>
                  <w:tcW w:type="dxa" w:w="2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494949"/>
                      <w:sz w:val="16"/>
                    </w:rPr>
                    <w:t>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2"/>
            <w:tcBorders>
              <w:start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  <w:tr>
        <w:trPr>
          <w:trHeight w:hRule="exact" w:val="1678"/>
        </w:trPr>
        <w:tc>
          <w:tcPr>
            <w:tcW w:type="dxa" w:w="7944"/>
            <w:tcBorders>
              <w:top w:sz="8.0" w:val="single" w:color="#000000"/>
              <w:end w:sz="24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2648"/>
              <w:gridCol w:w="2648"/>
              <w:gridCol w:w="2648"/>
            </w:tblGrid>
            <w:tr>
              <w:trPr>
                <w:trHeight w:hRule="exact" w:val="224"/>
              </w:trPr>
              <w:tc>
                <w:tcPr>
                  <w:tcW w:type="dxa" w:w="40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" w:after="0"/>
                    <w:ind w:left="6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Net Income (Table 3)</w:t>
                  </w:r>
                </w:p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35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2,100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28" w:after="32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Adjustments to Reconcile Net Income to Allocable Income: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0.0" w:type="dxa"/>
            </w:tblPr>
            <w:tblGrid>
              <w:gridCol w:w="3972"/>
              <w:gridCol w:w="3972"/>
            </w:tblGrid>
            <w:tr>
              <w:trPr>
                <w:trHeight w:hRule="exact" w:val="1168"/>
              </w:trPr>
              <w:tc>
                <w:tcPr>
                  <w:tcW w:type="dxa" w:w="6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48" w:right="1008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Board of Governors-approved transfers (Table 3)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Currency remeasurement losses (gains), net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a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(Table 3)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Unrealized mark-to-market losses (gains) on non-trading portfolios, net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b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Pension adjustment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Income from PEBP and PCRF investment holdings</w:t>
                  </w:r>
                </w:p>
              </w:tc>
              <w:tc>
                <w:tcPr>
                  <w:tcW w:type="dxa" w:w="14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30" w:val="left"/>
                      <w:tab w:pos="1220" w:val="left"/>
                    </w:tabs>
                    <w:autoSpaceDE w:val="0"/>
                    <w:widowControl/>
                    <w:spacing w:line="234" w:lineRule="exact" w:before="0" w:after="0"/>
                    <w:ind w:left="10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815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44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(252)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(169)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(134)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2"/>
            <w:tcBorders>
              <w:start w:sz="24.0" w:val="single" w:color="#FFFFFF"/>
              <w:top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711"/>
              <w:gridCol w:w="711"/>
            </w:tblGrid>
            <w:tr>
              <w:trPr>
                <w:trHeight w:hRule="exact" w:val="252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5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2,142 </w:t>
                  </w:r>
                </w:p>
              </w:tc>
            </w:tr>
          </w:tbl>
          <w:p>
            <w:pPr>
              <w:autoSpaceDN w:val="0"/>
              <w:tabs>
                <w:tab w:pos="1046" w:val="left"/>
                <w:tab w:pos="1082" w:val="left"/>
              </w:tabs>
              <w:autoSpaceDE w:val="0"/>
              <w:widowControl/>
              <w:spacing w:line="240" w:lineRule="exact" w:before="180" w:after="0"/>
              <w:ind w:left="9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(73)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(287)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(194)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(112)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94"/>
        </w:trPr>
        <w:tc>
          <w:tcPr>
            <w:tcW w:type="dxa" w:w="6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EFO, RAMP, LPF1, GFPP and 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64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Allocable Income (Table 5)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2,384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1,849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5858"/>
        </w:trPr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Reco</w:t>
            </w:r>
          </w:p>
          <w:p>
            <w:pPr>
              <w:autoSpaceDN w:val="0"/>
              <w:autoSpaceDE w:val="0"/>
              <w:widowControl/>
              <w:spacing w:line="180" w:lineRule="exact" w:before="12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 Cu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b. Adj</w:t>
            </w:r>
          </w:p>
          <w:p>
            <w:pPr>
              <w:autoSpaceDN w:val="0"/>
              <w:autoSpaceDE w:val="0"/>
              <w:widowControl/>
              <w:spacing w:line="192" w:lineRule="exact" w:before="46" w:after="0"/>
              <w:ind w:left="242" w:right="0" w:hanging="180"/>
              <w:jc w:val="both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c.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Inc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rev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ma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inv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pos</w:t>
            </w:r>
          </w:p>
          <w:p>
            <w:pPr>
              <w:autoSpaceDN w:val="0"/>
              <w:autoSpaceDE w:val="0"/>
              <w:widowControl/>
              <w:spacing w:line="224" w:lineRule="exact" w:before="2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Recommended Allocations</w:t>
            </w:r>
          </w:p>
          <w:p>
            <w:pPr>
              <w:autoSpaceDN w:val="0"/>
              <w:autoSpaceDE w:val="0"/>
              <w:widowControl/>
              <w:spacing w:line="180" w:lineRule="exact" w:before="126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 Currency remeasurements relating to assets and liabilities denominated in non-functional currencies.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b. Adjusted to exclude $4 million gains in FY25 ($2 million gains in FY24) reclassified to realized gains/losses.</w:t>
            </w:r>
          </w:p>
          <w:p>
            <w:pPr>
              <w:autoSpaceDN w:val="0"/>
              <w:autoSpaceDE w:val="0"/>
              <w:widowControl/>
              <w:spacing w:line="192" w:lineRule="exact" w:before="46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ludes EFO income subject to contractual donor restrictions and transferred to Restricted Retained Earnings; RAMP-related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enue and expenses excluded under a Board-approved framework to ensure use solely for program delivery; and 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rk-to-market gains on IBRD Surplus-Funded Livable Planet Fund (LPF1) and Grant Facility for Project Preparation (GFPP)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estments, representing funds restricted for the specified uses; and unrealized mark-to-market gains/losses on certain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positions in the investments-trading portfolio, if any.</w:t>
            </w:r>
          </w:p>
          <w:p>
            <w:pPr>
              <w:autoSpaceDN w:val="0"/>
              <w:autoSpaceDE w:val="0"/>
              <w:widowControl/>
              <w:spacing w:line="224" w:lineRule="exact" w:before="226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02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Reserve (Table 11)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</w:p>
        </w:tc>
        <w:tc>
          <w:tcPr>
            <w:tcW w:type="dxa" w:w="58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834 </w:t>
            </w:r>
          </w:p>
        </w:tc>
      </w:tr>
      <w:tr>
        <w:trPr>
          <w:trHeight w:hRule="exact" w:val="24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 (Table 11)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</w:tr>
      <w:tr>
        <w:trPr>
          <w:trHeight w:hRule="exact" w:val="286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to IDA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782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</w:tr>
      <w:tr>
        <w:trPr>
          <w:trHeight w:hRule="exact" w:val="200"/>
        </w:trPr>
        <w:tc>
          <w:tcPr>
            <w:tcW w:type="dxa" w:w="652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Allocations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2,384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of the adjustments between reported net income and allocable income are recommended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management and approved by the Board.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Adjustments to Net Income to arrive at Allocable Income:</w:t>
      </w:r>
    </w:p>
    <w:p>
      <w:pPr>
        <w:autoSpaceDN w:val="0"/>
        <w:autoSpaceDE w:val="0"/>
        <w:widowControl/>
        <w:spacing w:line="246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Board of Governors-approved Transfers and Allocations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Governors-approved transfers refer to the allocations recommended by the Board and approved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Governors, as part of the prior year’s net income allocation process and subsequent decisions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of surplus, as well as on payments from restricted retained earnings. Since these amounts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 to allocations out of IBRD’s FY24 allocable income or Surplus, they are excluded from FY25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reported net income in calculating FY25 allocable income.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the Board of Governors approved the following transfers and allocations as shown in 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10 below: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10: Board of Governors-approved Transfers and Allocations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2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Date of approval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6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 xml:space="preserve">Amount </w:t>
            </w:r>
          </w:p>
        </w:tc>
        <w:tc>
          <w:tcPr>
            <w:tcW w:type="dxa" w:w="2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28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Retained Earnings Source</w:t>
            </w:r>
          </w:p>
        </w:tc>
        <w:tc>
          <w:tcPr>
            <w:tcW w:type="dxa" w:w="2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Beneficiary</w:t>
            </w:r>
          </w:p>
        </w:tc>
      </w:tr>
    </w:tbl>
    <w:p>
      <w:pPr>
        <w:autoSpaceDN w:val="0"/>
        <w:autoSpaceDE w:val="0"/>
        <w:widowControl/>
        <w:spacing w:line="200" w:lineRule="exact" w:before="4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Board of Governors-approved Transfers Reported in the Statements of Income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  <w:r>
        <w:rPr>
          <w:rFonts w:ascii="Arial" w:hAnsi="Arial" w:eastAsia="Arial"/>
          <w:b/>
          <w:i w:val="0"/>
          <w:color w:val="00000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9, 2024</w:t>
            </w:r>
          </w:p>
        </w:tc>
        <w:tc>
          <w:tcPr>
            <w:tcW w:type="dxa" w:w="8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Trust Fund for Gaza and West Bank </w:t>
            </w:r>
          </w:p>
        </w:tc>
      </w:tr>
      <w:tr>
        <w:trPr>
          <w:trHeight w:hRule="exact" w:val="24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for Gaza and West Bank</w:t>
            </w:r>
          </w:p>
        </w:tc>
      </w:tr>
      <w:tr>
        <w:trPr>
          <w:trHeight w:hRule="exact" w:val="262"/>
        </w:trPr>
        <w:tc>
          <w:tcPr>
            <w:tcW w:type="dxa" w:w="1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515</w:t>
            </w:r>
          </w:p>
        </w:tc>
        <w:tc>
          <w:tcPr>
            <w:tcW w:type="dxa" w:w="1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 allocable income</w:t>
            </w:r>
          </w:p>
        </w:tc>
        <w:tc>
          <w:tcPr>
            <w:tcW w:type="dxa" w:w="3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</w:t>
            </w:r>
          </w:p>
        </w:tc>
      </w:tr>
      <w:tr>
        <w:trPr>
          <w:trHeight w:hRule="exact" w:val="220"/>
        </w:trPr>
        <w:tc>
          <w:tcPr>
            <w:tcW w:type="dxa" w:w="1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815</w:t>
            </w:r>
          </w:p>
        </w:tc>
        <w:tc>
          <w:tcPr>
            <w:tcW w:type="dxa" w:w="1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"/>
        </w:trPr>
        <w:tc>
          <w:tcPr>
            <w:tcW w:type="dxa" w:w="1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4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Board of Governors-approved Allocations Reported as Reclassifications Within Retained Earnings: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198"/>
        </w:trPr>
        <w:tc>
          <w:tcPr>
            <w:tcW w:type="dxa" w:w="18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8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3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Surplus-Funded Livable Planet Fund </w:t>
            </w:r>
          </w:p>
        </w:tc>
      </w:tr>
      <w:tr>
        <w:trPr>
          <w:trHeight w:hRule="exact" w:val="220"/>
        </w:trPr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3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(LPF1)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</w:tr>
      <w:tr>
        <w:trPr>
          <w:trHeight w:hRule="exact" w:val="220"/>
        </w:trPr>
        <w:tc>
          <w:tcPr>
            <w:tcW w:type="dxa" w:w="18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January 17, 2025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8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3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Grant Facility for Project Preparation </w:t>
            </w:r>
          </w:p>
        </w:tc>
      </w:tr>
      <w:tr>
        <w:trPr>
          <w:trHeight w:hRule="exact" w:val="232"/>
        </w:trPr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3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(GFPP)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20"/>
        </w:trPr>
        <w:tc>
          <w:tcPr>
            <w:tcW w:type="dxa" w:w="1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6"/>
        </w:trPr>
        <w:tc>
          <w:tcPr>
            <w:tcW w:type="dxa" w:w="1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transfers are unconditional and expensed upon approval.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For the fiscal year ended June 30, 2025, less than $0.5 million of grants were expensed by the LPF1. </w:t>
      </w:r>
    </w:p>
    <w:p>
      <w:pPr>
        <w:autoSpaceDN w:val="0"/>
        <w:autoSpaceDE w:val="0"/>
        <w:widowControl/>
        <w:spacing w:line="192" w:lineRule="exact" w:before="40" w:after="0"/>
        <w:ind w:left="242" w:right="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The Grant Facility for Project Preparation (GFPP) provides grants to support preparation of World Bank financed lending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operations. The GFPP is currently financed by IBRD's surplus and is established for an initial period of 7 years. For the fiscal </w:t>
      </w:r>
      <w:r>
        <w:rPr>
          <w:rFonts w:ascii="Arial" w:hAnsi="Arial" w:eastAsia="Arial"/>
          <w:b w:val="0"/>
          <w:i/>
          <w:color w:val="000000"/>
          <w:sz w:val="16"/>
        </w:rPr>
        <w:t>year ended June 30, 2025, no grants were expensed by the GFPP.</w:t>
      </w:r>
    </w:p>
    <w:p>
      <w:pPr>
        <w:autoSpaceDN w:val="0"/>
        <w:autoSpaceDE w:val="0"/>
        <w:widowControl/>
        <w:spacing w:line="246" w:lineRule="exact" w:before="21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Currency remeasurement gains/losses, net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Remeasurement gains and losses relating to non-functional currencies are reflected in reported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income. Since these are unrealized gains/losses that relate to asset/liability positions still held by IBRD,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are excluded from reported net income to arrive at allocable income and reflected in Other Reserves </w:t>
      </w:r>
      <w:r>
        <w:rPr>
          <w:rFonts w:ascii="ArialMT" w:hAnsi="ArialMT" w:eastAsia="ArialMT"/>
          <w:b w:val="0"/>
          <w:i w:val="0"/>
          <w:color w:val="000000"/>
          <w:sz w:val="20"/>
        </w:rPr>
        <w:t>within Retained Earnings (Table 11).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mainly comprise unrealized mark-to-market gains and losses on the loan, borrowing,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ALM portfolios as previously discussed. Since IBRD expects to maintain its non-trading portfolio positions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maturity, the unrealized mark-to-market gains and losses on these positions are transitory and will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 to zero at maturity. For that reason, these gains and losses are excluded from net income to arrive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allocable income and are reflected in Cumulative Fair Value Adjustments within Retained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>(Table 11).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34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46" w:lineRule="exact" w:before="35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Pension, PEBP and PCRF adjustments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Pension adjustment reflects the difference between the accounting expense and IBRD’s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to the pension plans, the Post-Employment Benefit Plan (PEBP), and the Post-Retirement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 Reserve Fund (PCRF). It also includes investment revenue earned on the PEBP and PCRF </w:t>
      </w:r>
      <w:r>
        <w:rPr>
          <w:rFonts w:ascii="ArialMT" w:hAnsi="ArialMT" w:eastAsia="ArialMT"/>
          <w:b w:val="0"/>
          <w:i w:val="0"/>
          <w:color w:val="000000"/>
          <w:sz w:val="20"/>
        </w:rPr>
        <w:t>assets. The PCRF was established by the Board to stabilize contributions to the pension and post-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retirement benefits plans. Management bases allocation decisions on IBRD’s cash contributions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pension plans, PEBP and PCRF, rather than pension accounting expenses. In addition, Management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designated the income from these assets to meet the future needs of the pension plans. As a result,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PEBP and PCRF investment revenues are excluded from allocable income and reflected in Pension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within Retained Earnings (Table 11).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Externally Financed Outputs (EFO)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certain arrangements (such as Externally Financed Outputs), IBRD enters into agreements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donors under which it receives grants to finance specified IBRD outputs or services. These funds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utilized only for the purposes specified in the agreements and are, therefore, considered restricted until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fulfilled those purposes. Management excludes amounts arising from these arrangements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 because IBRD has no discretion over the use of the related funds. In line with this,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FY25, income of $3 million was transferred out of Restricted Retained Earnings within Retained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(Table 11). Consequently, the net balance of these restricted funds decreased by the same amount.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RAMP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Board-approved framework, RAMP fees are dedicated for the purpose of providing technical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assistance and asset management services to external clients. Due to the potential timing mismatch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fee revenue (recognized as earned) and program expenditures (recognized when incurred), fees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earned in a given fiscal year may be used to provide services in a future fiscal year. To ensure that RAMP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revenues are only used for the delivery of RAMP services, and not allocated for other purposes,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difference between fee revenue and expenses from RAMP included in reported net income are excluded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arrive at allocable income. Allocable income for FY25 was adjusted for the $1 million excess of RAMP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 over the fee revenue from RAMP (Table 9) and is reflected in Other Reserves within Retained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>Earnings.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LPF1 and GFPP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LPF1 was funded by IBRD to finance eligible activities in order to incentivize solutions to address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challenges with cross-border externalities. GFPP was funded by IBRD to provide grants to support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preparation of financed lending operations. Unutilized funds in both facilities were invested in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pool and recorded at fair value in IBRD’s Investment-Trading portfolio. Periodic changes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value are recorded as unrealized mark-to-market gains/losses on trading portfolios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excluded to arrive at Allocable income. Allocable income for FY25 was adjusted for $24 million unrealized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mark-to-market gains on investments related to LPF1 and GFPP and is reflected in Other Reserves within </w:t>
      </w:r>
      <w:r>
        <w:rPr>
          <w:rFonts w:ascii="ArialMT" w:hAnsi="ArialMT" w:eastAsia="ArialMT"/>
          <w:b w:val="0"/>
          <w:i w:val="0"/>
          <w:color w:val="000000"/>
          <w:sz w:val="20"/>
        </w:rPr>
        <w:t>Retained Earnings.</w:t>
      </w:r>
    </w:p>
    <w:p>
      <w:pPr>
        <w:autoSpaceDN w:val="0"/>
        <w:autoSpaceDE w:val="0"/>
        <w:widowControl/>
        <w:spacing w:line="264" w:lineRule="exact" w:before="11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Unrealized mark-to-market gains (losses) on certain positions in the investments-trading </w:t>
      </w:r>
      <w:r>
        <w:rPr>
          <w:rFonts w:ascii="Arial" w:hAnsi="Arial" w:eastAsia="Arial"/>
          <w:b/>
          <w:i w:val="0"/>
          <w:color w:val="004972"/>
          <w:sz w:val="22"/>
        </w:rPr>
        <w:t>portfolios, net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adjustment applies to trades where the unrealized gains and losses on derivative forward contracts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recorded in the Statements of Income and the underlying physical assets being purchased and sold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recorded at amortized cost during the holding period. In these cases, the unrealized gains and losses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the forward contract at the end of the reporting period, if any, are excluded from net income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calculating allocable income and reflected in Restricted Retained Earnings within Retained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>(Table 11). As of June 30, 2025, there were no active trades requiring adjustment.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9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III: Financial Results 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Income Allocation and Retained Earnings</w:t>
      </w:r>
    </w:p>
    <w:p>
      <w:pPr>
        <w:autoSpaceDN w:val="0"/>
        <w:autoSpaceDE w:val="0"/>
        <w:widowControl/>
        <w:spacing w:line="240" w:lineRule="exact" w:before="11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 is net income after certain adjustments (Table 9). The Governors determine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of income at the end of every fiscal year into the following categories: General reserves,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Surplus, and transfers to IDA. In making their decisions, Governors take the overall financial standing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 into consideration.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IDA transfer recommendations are subject to approval by the Governors as part of the net 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process in accordance with IBRD’s Articles. There is a Board approved formula-based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approach for determining IBRD’s transfers to IDA. The approach links proposed transfers to IDA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allocable income for the year. Cumulative transfers to IDA, since IDA’s first replenishment totaled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$17.3 billion. </w:t>
      </w:r>
    </w:p>
    <w:p>
      <w:pPr>
        <w:autoSpaceDN w:val="0"/>
        <w:autoSpaceDE w:val="0"/>
        <w:widowControl/>
        <w:spacing w:line="23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 in FY25 was $2,384 million ($1,849 million - FY24), and out of this, the Board approved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allocation of $1,182 million ($834 million - FY24) to the General Reserve on August 7, 2025 (August 6,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2024 - FY24), and the Board recommended to IBRD’s Board of Governors a transfer of $782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($515 million - FY24) to IDA and $420 million ($500 million - FY24) to Surplus. Further, the Board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recommended to IBRD's Board of Governors the following transfers out of Surplus: $300 million transfer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IBRD Trust Fund for Gaza and West Bank, $100 million to GFPP and $20 million to LPF1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11). </w:t>
      </w:r>
    </w:p>
    <w:p>
      <w:pPr>
        <w:autoSpaceDN w:val="0"/>
        <w:autoSpaceDE w:val="0"/>
        <w:widowControl/>
        <w:spacing w:line="240" w:lineRule="exact" w:before="11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shown in Table 9, the Board recommends and the IBRD’s Governors approve allocations of income,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end of each fiscal year, to augment reserves and support developmental activities. Therefore,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in the form of Retained Earnings consist of cumulative amounts allocated to components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Retained Earnings (see Notes to the Financial Statements, Note A: Summary of Significant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Related Policies and Note G: Board of Governors Approved Transfers).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components of Retained Earnings, reflecting the subsequent recommended allocations of FY25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 by the Board are summarized below: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11: Retained Earnings Composition</w:t>
      </w:r>
    </w:p>
    <w:p>
      <w:pPr>
        <w:autoSpaceDN w:val="0"/>
        <w:autoSpaceDE w:val="0"/>
        <w:widowControl/>
        <w:spacing w:line="180" w:lineRule="exact" w:before="84" w:after="9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230"/>
        </w:trPr>
        <w:tc>
          <w:tcPr>
            <w:tcW w:type="dxa" w:w="16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Special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General </w:t>
            </w:r>
          </w:p>
        </w:tc>
        <w:tc>
          <w:tcPr>
            <w:tcW w:type="dxa" w:w="240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Cumulative </w:t>
            </w:r>
          </w:p>
        </w:tc>
        <w:tc>
          <w:tcPr>
            <w:tcW w:type="dxa" w:w="1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Unallocated </w:t>
            </w:r>
          </w:p>
        </w:tc>
        <w:tc>
          <w:tcPr>
            <w:tcW w:type="dxa" w:w="257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Restricted </w:t>
            </w:r>
          </w:p>
        </w:tc>
      </w:tr>
      <w:tr>
        <w:trPr>
          <w:trHeight w:hRule="exact" w:val="180"/>
        </w:trPr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525"/>
            <w:vMerge/>
            <w:tcBorders>
              <w:top w:sz="8.0" w:val="single" w:color="#000000"/>
            </w:tcBorders>
          </w:tcPr>
          <w:p/>
        </w:tc>
        <w:tc>
          <w:tcPr>
            <w:tcW w:type="dxa" w:w="11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Pension </w:t>
            </w:r>
          </w:p>
        </w:tc>
        <w:tc>
          <w:tcPr>
            <w:tcW w:type="dxa" w:w="12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Income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Retained </w:t>
            </w:r>
          </w:p>
        </w:tc>
        <w:tc>
          <w:tcPr>
            <w:tcW w:type="dxa" w:w="17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</w:p>
        </w:tc>
      </w:tr>
      <w:tr>
        <w:trPr>
          <w:trHeight w:hRule="exact" w:val="236"/>
        </w:trPr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Reserve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Reserve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Reserve</w:t>
            </w:r>
          </w:p>
        </w:tc>
        <w:tc>
          <w:tcPr>
            <w:tcW w:type="dxa" w:w="75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Surplus</w:t>
            </w:r>
          </w:p>
        </w:tc>
        <w:tc>
          <w:tcPr>
            <w:tcW w:type="dxa" w:w="9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Adjustments</w:t>
            </w:r>
          </w:p>
        </w:tc>
        <w:tc>
          <w:tcPr>
            <w:tcW w:type="dxa" w:w="10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(Loss)</w:t>
            </w:r>
          </w:p>
        </w:tc>
        <w:tc>
          <w:tcPr>
            <w:tcW w:type="dxa" w:w="8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Earnings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Reserves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70"/>
        </w:trPr>
        <w:tc>
          <w:tcPr>
            <w:tcW w:type="dxa" w:w="1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2025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293 $ 34,058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987 $ </w:t>
            </w:r>
          </w:p>
        </w:tc>
        <w:tc>
          <w:tcPr>
            <w:tcW w:type="dxa" w:w="73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$ </w:t>
            </w:r>
          </w:p>
        </w:tc>
        <w:tc>
          <w:tcPr>
            <w:tcW w:type="dxa" w:w="10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1,390 $ </w:t>
            </w:r>
          </w:p>
        </w:tc>
        <w:tc>
          <w:tcPr>
            <w:tcW w:type="dxa" w:w="9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2,915 $ </w:t>
            </w:r>
          </w:p>
        </w:tc>
        <w:tc>
          <w:tcPr>
            <w:tcW w:type="dxa" w:w="8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11 $ </w:t>
            </w:r>
          </w:p>
        </w:tc>
        <w:tc>
          <w:tcPr>
            <w:tcW w:type="dxa" w:w="13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729 $ 40,383 </w:t>
            </w:r>
          </w:p>
        </w:tc>
      </w:tr>
    </w:tbl>
    <w:p>
      <w:pPr>
        <w:autoSpaceDN w:val="0"/>
        <w:autoSpaceDE w:val="0"/>
        <w:widowControl/>
        <w:spacing w:line="178" w:lineRule="exact" w:before="70" w:after="8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Recommended: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8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income allocation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(2,133)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172"/>
        </w:trPr>
        <w:tc>
          <w:tcPr>
            <w:tcW w:type="dxa" w:w="1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transfers </w:t>
            </w:r>
          </w:p>
        </w:tc>
        <w:tc>
          <w:tcPr>
            <w:tcW w:type="dxa" w:w="9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(420) </w:t>
            </w:r>
          </w:p>
        </w:tc>
        <w:tc>
          <w:tcPr>
            <w:tcW w:type="dxa" w:w="9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  <w:tc>
          <w:tcPr>
            <w:tcW w:type="dxa" w:w="5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0"/>
        </w:trPr>
        <w:tc>
          <w:tcPr>
            <w:tcW w:type="dxa" w:w="1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funded from Surplus and 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transfers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8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Total after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18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recommended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293 $ 35,240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$ 1,290 $ </w:t>
            </w:r>
          </w:p>
        </w:tc>
        <w:tc>
          <w:tcPr>
            <w:tcW w:type="dxa" w:w="7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$ </w:t>
            </w:r>
          </w:p>
        </w:tc>
        <w:tc>
          <w:tcPr>
            <w:tcW w:type="dxa" w:w="9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1,642 $ </w:t>
            </w:r>
          </w:p>
        </w:tc>
        <w:tc>
          <w:tcPr>
            <w:tcW w:type="dxa" w:w="10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1,082 $ 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0" w:right="1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8 $ </w:t>
            </w:r>
          </w:p>
        </w:tc>
        <w:tc>
          <w:tcPr>
            <w:tcW w:type="dxa" w:w="1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828 $ 40,383 </w:t>
            </w:r>
          </w:p>
        </w:tc>
      </w:tr>
      <w:tr>
        <w:trPr>
          <w:trHeight w:hRule="exact" w:val="200"/>
        </w:trPr>
        <w:tc>
          <w:tcPr>
            <w:tcW w:type="dxa" w:w="1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allocations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316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Comprised mainly of currency remeasurement gains/losses, unutilized portion of the IBRD Fund for Innovative Global Public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Goods Solutions (subsequently renamed the IBRD Surplus-Funded Livable Planet Fund or LPF1) and the unutilized portion of </w:t>
      </w:r>
      <w:r>
        <w:rPr>
          <w:rFonts w:ascii="Arial" w:hAnsi="Arial" w:eastAsia="Arial"/>
          <w:b w:val="0"/>
          <w:i/>
          <w:color w:val="000000"/>
          <w:sz w:val="16"/>
        </w:rPr>
        <w:t>the GFPP.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Included as a component of usable equity in </w:t>
      </w:r>
      <w:r>
        <w:rPr>
          <w:rFonts w:ascii="ArialMT" w:hAnsi="ArialMT" w:eastAsia="ArialMT"/>
          <w:b w:val="0"/>
          <w:i w:val="0"/>
          <w:color w:val="000000"/>
          <w:sz w:val="16"/>
        </w:rPr>
        <w:t>Table 33</w:t>
      </w:r>
      <w:r>
        <w:rPr>
          <w:rFonts w:ascii="Arial" w:hAnsi="Arial" w:eastAsia="Arial"/>
          <w:b w:val="0"/>
          <w:i/>
          <w:color w:val="000000"/>
          <w:sz w:val="16"/>
        </w:rPr>
        <w:t>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A concurrent transfer is recommended to be made from Surplus to Unallocated Net Income (Loss) and/or Other Reserves for all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transfers reported in the Statements of Income and authorized to be funded from Surplus.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39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IV: Lending Activities</w:t>
      </w:r>
    </w:p>
    <w:p>
      <w:pPr>
        <w:autoSpaceDN w:val="0"/>
        <w:autoSpaceDE w:val="0"/>
        <w:widowControl/>
        <w:spacing w:line="240" w:lineRule="exact" w:before="21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provides financing instruments and knowledge services to creditworthy middle-income and low-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countries, while ensuring that social, environmental, and governance considerations are taken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account. Country teams with an understanding of each country’s circumstances work with clients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tailor the mix of instruments, products, and services. For FY26, countries with 2025 per capita Gross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National Income (GNI) of more than $1,325 are eligible for new lending from IBRD.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its country-based engagement, IBRD focuses on borrower countries' priorities while also taking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consideration its corporate priorities, including addressing global challenges.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Projects and programs supported by IBRD are designed to achieve a positive social impact and undergo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rigorous review and internal approval process, aimed at safeguarding equitable and sustainable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growth, that includes early screening to identify environmental and social impacts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designing mitigation actions.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cycles involve identifying and appraising a project and approving and disbursing the funds.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response to emergency situations, such as natural disasters and crises, IBRD is able to accelerate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preparation and approval cycle.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disbursements must meet the requirements set out in loan agreements. During implementation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IBRD-supported operations, IBRD’s staff review progress, monitor compliance with IBRD policies,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help resolve any problems that may arise. The Independent Evaluation Group, an independent unit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reporting directly to the Board, evaluates the extent to which operations have met their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objectives.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IBRD loans, are made to, or guaranteed by, member countries. IBRD may also make loans to IFC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without any guarantee. In most cases, IBRD’s Board approves each loan and guarantee after appraisal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project by staff. Under the Multiphase Programmatic Approach, the Board may approve an overall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 framework, its financing envelope and the first appraised phase, and then authorize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Management to appraise and commit financing for later program phases.</w:t>
      </w:r>
    </w:p>
    <w:p>
      <w:pPr>
        <w:autoSpaceDN w:val="0"/>
        <w:autoSpaceDE w:val="0"/>
        <w:widowControl/>
        <w:spacing w:line="312" w:lineRule="exact" w:before="18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Net Lending Commitments and Gross Disbursements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provided $40.9 billion of new net loan commitments in FY25, through 139 operations, an increase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$3.3 billion (9%) compared to FY24. </w:t>
      </w:r>
    </w:p>
    <w:p>
      <w:pPr>
        <w:autoSpaceDN w:val="0"/>
        <w:autoSpaceDE w:val="0"/>
        <w:widowControl/>
        <w:spacing w:line="22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12: Net Commitments by R</w:t>
      </w:r>
      <w:r>
        <w:rPr>
          <w:rFonts w:ascii="Arial" w:hAnsi="Arial" w:eastAsia="Arial"/>
          <w:b/>
          <w:i w:val="0"/>
          <w:color w:val="000000"/>
          <w:sz w:val="20"/>
        </w:rPr>
        <w:t>egion</w:t>
      </w:r>
    </w:p>
    <w:p>
      <w:pPr>
        <w:autoSpaceDN w:val="0"/>
        <w:autoSpaceDE w:val="0"/>
        <w:widowControl/>
        <w:spacing w:line="178" w:lineRule="exact" w:before="66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4360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180"/>
              <w:gridCol w:w="2180"/>
            </w:tblGrid>
            <w:tr>
              <w:trPr>
                <w:trHeight w:hRule="exact" w:val="190"/>
              </w:trPr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For the fiscal year ended June 30,</w:t>
                  </w:r>
                </w:p>
              </w:tc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3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0"/>
            <w:tcBorders>
              <w:start w:sz="24.0" w:val="single" w:color="#FFFFFF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1260"/>
            <w:tcBorders>
              <w:start w:sz="24.0" w:val="single" w:color="#FFFFFF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2500"/>
            <w:gridSpan w:val="2"/>
            <w:tcBorders>
              <w:start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250"/>
              <w:gridCol w:w="1250"/>
            </w:tblGrid>
            <w:tr>
              <w:trPr>
                <w:trHeight w:hRule="exact" w:val="19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% of total</w:t>
                  </w:r>
                </w:p>
              </w:tc>
              <w:tc>
                <w:tcPr>
                  <w:tcW w:type="dxa" w:w="9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1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Variance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80"/>
        </w:trPr>
        <w:tc>
          <w:tcPr>
            <w:tcW w:type="dxa" w:w="4360"/>
            <w:vMerge w:val="restart"/>
            <w:tcBorders>
              <w:top w:sz="8.0" w:val="single" w:color="#6C6C6C"/>
              <w:end w:sz="24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453"/>
              <w:gridCol w:w="1453"/>
              <w:gridCol w:w="1453"/>
            </w:tblGrid>
            <w:tr>
              <w:trPr>
                <w:trHeight w:hRule="exact" w:val="21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Eastern and Southern Africa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2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2,920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4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Western and Central Africa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84" w:after="0"/>
                    <w:ind w:left="0" w:right="2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912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East Asia and Pacific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6,430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Europe and Central Asia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10,478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Latin America and the Caribbean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12,389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Middle East and North Africa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5,166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South Asia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2,590 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40,885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34" w:lineRule="exact" w:before="0" w:after="0"/>
              <w:ind w:left="8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7 %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30"/>
              <w:gridCol w:w="630"/>
            </w:tblGrid>
            <w:tr>
              <w:trPr>
                <w:trHeight w:hRule="exact" w:val="224"/>
              </w:trPr>
              <w:tc>
                <w:tcPr>
                  <w:tcW w:type="dxa" w:w="4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2,914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0" w:after="0"/>
              <w:ind w:left="732" w:right="2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6,788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9,463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4,233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3,143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34" w:lineRule="exact" w:before="0" w:after="0"/>
              <w:ind w:left="8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8 %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  <w:tc>
          <w:tcPr>
            <w:tcW w:type="dxa" w:w="124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"/>
              <w:gridCol w:w="620"/>
            </w:tblGrid>
            <w:tr>
              <w:trPr>
                <w:trHeight w:hRule="exact" w:val="224"/>
              </w:trPr>
              <w:tc>
                <w:tcPr>
                  <w:tcW w:type="dxa" w:w="6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5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 </w:t>
                  </w:r>
                </w:p>
              </w:tc>
            </w:tr>
          </w:tbl>
          <w:p>
            <w:pPr>
              <w:autoSpaceDN w:val="0"/>
              <w:tabs>
                <w:tab w:pos="812" w:val="left"/>
                <w:tab w:pos="866" w:val="left"/>
              </w:tabs>
              <w:autoSpaceDE w:val="0"/>
              <w:widowControl/>
              <w:spacing w:line="234" w:lineRule="exact" w:before="0" w:after="0"/>
              <w:ind w:left="7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(813)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(358)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1,176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2,926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(553) </w:t>
            </w:r>
          </w:p>
        </w:tc>
      </w:tr>
      <w:tr>
        <w:trPr>
          <w:trHeight w:hRule="exact" w:val="247"/>
        </w:trPr>
        <w:tc>
          <w:tcPr>
            <w:tcW w:type="dxa" w:w="1889"/>
            <w:vMerge/>
            <w:tcBorders>
              <w:top w:sz="8.0" w:val="single" w:color="#6C6C6C"/>
              <w:end w:sz="24.0" w:val="single" w:color="#FFFFFF"/>
            </w:tcBorders>
          </w:tcPr>
          <w:p/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37,568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24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2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3,317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988"/>
        </w:trPr>
        <w:tc>
          <w:tcPr>
            <w:tcW w:type="dxa" w:w="4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7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7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24" w:lineRule="exact" w:before="41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13: Gross Disbursements by Region</w:t>
      </w:r>
    </w:p>
    <w:p>
      <w:pPr>
        <w:autoSpaceDN w:val="0"/>
        <w:autoSpaceDE w:val="0"/>
        <w:widowControl/>
        <w:spacing w:line="180" w:lineRule="exact" w:before="64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4"/>
        </w:trPr>
        <w:tc>
          <w:tcPr>
            <w:tcW w:type="dxa" w:w="3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4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16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6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8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4"/>
        </w:trPr>
        <w:tc>
          <w:tcPr>
            <w:tcW w:type="dxa" w:w="31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41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1,228 </w:t>
            </w:r>
          </w:p>
        </w:tc>
        <w:tc>
          <w:tcPr>
            <w:tcW w:type="dxa" w:w="167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3,126 </w:t>
            </w:r>
          </w:p>
        </w:tc>
        <w:tc>
          <w:tcPr>
            <w:tcW w:type="dxa" w:w="16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(1,898)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1,263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1,023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4,064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5,492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(1,428)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8,056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10,574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32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(2,518)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7,828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6,305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1,523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4,376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3,332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1,044 </w:t>
            </w:r>
          </w:p>
        </w:tc>
      </w:tr>
      <w:tr>
        <w:trPr>
          <w:trHeight w:hRule="exact" w:val="246"/>
        </w:trPr>
        <w:tc>
          <w:tcPr>
            <w:tcW w:type="dxa" w:w="3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3,964 </w:t>
            </w:r>
          </w:p>
        </w:tc>
        <w:tc>
          <w:tcPr>
            <w:tcW w:type="dxa" w:w="16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4,381 </w:t>
            </w:r>
          </w:p>
        </w:tc>
        <w:tc>
          <w:tcPr>
            <w:tcW w:type="dxa" w:w="16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8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(417) 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30,779 </w:t>
            </w:r>
          </w:p>
        </w:tc>
        <w:tc>
          <w:tcPr>
            <w:tcW w:type="dxa" w:w="16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33,450 </w:t>
            </w:r>
          </w:p>
        </w:tc>
        <w:tc>
          <w:tcPr>
            <w:tcW w:type="dxa" w:w="16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(2,671) </w:t>
            </w:r>
          </w:p>
        </w:tc>
      </w:tr>
      <w:tr>
        <w:trPr>
          <w:trHeight w:hRule="exact" w:val="220"/>
        </w:trPr>
        <w:tc>
          <w:tcPr>
            <w:tcW w:type="dxa" w:w="31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4" w:lineRule="exact" w:before="27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Lending Categories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lending is classified in three categories: investment project financing, development policy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financing, and program-for-results (Figure 10).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 Project Financing (IPF)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IPF provides financing for a wide range of activities aimed at creating the physical and social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infrastructure necessary to reduce poverty and create sustainable development. IPF generally disburses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5 to 10-years. FY25 net IPF commitments were $17.5 billion, compared with $14.6 billion in FY24.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Development Policy Financing (DPF)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DPF supports borrowers in achieving sustainable development through programs of policy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institutional actions. Examples of DPF projects include strengthening public financial management,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improving the investment climate, addressing bottlenecks to improve service delivery, and diversifying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economy. DPF supports reforms through non-earmarked general budget financing. DPF provides fast-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disbursing financing to help borrowers address actual or anticipated financing requirements. FY25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DPF commitments were $16.6 billion, compared with $15.9 billion in FY24.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Program-for-Results (PforR)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PforR helps countries improve the design and implementation of their development programs and achieve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 results by strengthening institutions and building capacity. PforR disburses when agreed results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achieved and verified. Results are identified and agreed upon during the loan preparation stage. FY25 </w:t>
      </w:r>
      <w:r>
        <w:rPr>
          <w:rFonts w:ascii="ArialMT" w:hAnsi="ArialMT" w:eastAsia="ArialMT"/>
          <w:b w:val="0"/>
          <w:i w:val="0"/>
          <w:color w:val="000000"/>
          <w:sz w:val="20"/>
        </w:rPr>
        <w:t>net PforR commitments were $6.8 billion, compared with $7.1 billion in FY24.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10: Percentage Share of Lending Categories for Annual Net Commitments</w:t>
      </w:r>
    </w:p>
    <w:p>
      <w:pPr>
        <w:autoSpaceDN w:val="0"/>
        <w:autoSpaceDE w:val="0"/>
        <w:widowControl/>
        <w:spacing w:line="178" w:lineRule="exact" w:before="84" w:after="5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2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  <w:u w:val="single"/>
              </w:rPr>
              <w:t>t commitments</w:t>
            </w:r>
          </w:p>
        </w:tc>
        <w:tc>
          <w:tcPr>
            <w:tcW w:type="dxa" w:w="13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$30.5</w:t>
            </w:r>
          </w:p>
        </w:tc>
        <w:tc>
          <w:tcPr>
            <w:tcW w:type="dxa" w:w="9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$33.1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$38.6</w:t>
            </w:r>
          </w:p>
        </w:tc>
        <w:tc>
          <w:tcPr>
            <w:tcW w:type="dxa" w:w="9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$37.6</w:t>
            </w:r>
          </w:p>
        </w:tc>
        <w:tc>
          <w:tcPr>
            <w:tcW w:type="dxa" w:w="4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4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$40.9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0"/>
        </w:trPr>
        <w:tc>
          <w:tcPr>
            <w:tcW w:type="dxa" w:w="94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10" w:right="110" w:hanging="78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60%</w:t>
            </w:r>
          </w:p>
        </w:tc>
        <w:tc>
          <w:tcPr>
            <w:tcW w:type="dxa" w:w="7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rPr>
                <w:trHeight w:hRule="exact" w:val="370"/>
              </w:trPr>
              <w:tc>
                <w:tcPr>
                  <w:tcW w:type="dxa" w:w="4678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0.0" w:type="dxa"/>
                  </w:tblPr>
                  <w:tblGrid>
                    <w:gridCol w:w="936"/>
                    <w:gridCol w:w="936"/>
                    <w:gridCol w:w="936"/>
                    <w:gridCol w:w="936"/>
                    <w:gridCol w:w="936"/>
                  </w:tblGrid>
                  <w:tr>
                    <w:trPr>
                      <w:trHeight w:hRule="exact" w:val="330"/>
                    </w:trPr>
                    <w:tc>
                      <w:tcPr>
                        <w:tcW w:type="dxa" w:w="450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17%</w:t>
                        </w: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4.00000000000034" w:type="dxa"/>
                        </w:tblPr>
                        <w:tblGrid>
                          <w:gridCol w:w="934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1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18%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1.9999999999999" w:type="dxa"/>
                        </w:tblPr>
                        <w:tblGrid>
                          <w:gridCol w:w="932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1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4.00000000000034" w:type="dxa"/>
                        </w:tblPr>
                        <w:tblGrid>
                          <w:gridCol w:w="934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1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1.9999999999993" w:type="dxa"/>
                        </w:tblPr>
                        <w:tblGrid>
                          <w:gridCol w:w="932"/>
                        </w:tblGrid>
                        <w:tr>
                          <w:trPr>
                            <w:trHeight w:hRule="exact" w:val="294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16%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450"/>
                        <w:tcBorders/>
                        <w:shd w:fill="4b809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35%</w:t>
                        </w: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4.00000000000034" w:type="dxa"/>
                        </w:tblPr>
                        <w:tblGrid>
                          <w:gridCol w:w="934"/>
                        </w:tblGrid>
                        <w:tr>
                          <w:trPr>
                            <w:trHeight w:hRule="exact" w:val="516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32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40%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1.9999999999999" w:type="dxa"/>
                        </w:tblPr>
                        <w:tblGrid>
                          <w:gridCol w:w="932"/>
                        </w:tblGrid>
                        <w:tr>
                          <w:trPr>
                            <w:trHeight w:hRule="exact" w:val="472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27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36%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4.00000000000034" w:type="dxa"/>
                        </w:tblPr>
                        <w:tblGrid>
                          <w:gridCol w:w="934"/>
                        </w:tblGrid>
                        <w:tr>
                          <w:trPr>
                            <w:trHeight w:hRule="exact" w:val="532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33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1.9999999999993" w:type="dxa"/>
                        </w:tblPr>
                        <w:tblGrid>
                          <w:gridCol w:w="932"/>
                        </w:tblGrid>
                        <w:tr>
                          <w:trPr>
                            <w:trHeight w:hRule="exact" w:val="516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32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41%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666"/>
                    </w:trPr>
                    <w:tc>
                      <w:tcPr>
                        <w:tcW w:type="dxa" w:w="45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3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48%</w:t>
                        </w: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54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42%</w:t>
                        </w: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24" w:after="0"/>
                          <w:ind w:left="0" w:right="8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45%</w:t>
                        </w:r>
                      </w:p>
                    </w:tc>
                    <w:tc>
                      <w:tcPr>
                        <w:tcW w:type="dxa" w:w="9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70" w:after="0"/>
                          <w:ind w:left="0" w:right="9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39%</w:t>
                        </w:r>
                      </w:p>
                    </w:tc>
                    <w:tc>
                      <w:tcPr>
                        <w:tcW w:type="dxa" w:w="9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0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43%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17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17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17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17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17"/>
                  <w:tcBorders>
                    <w:start w:sz="6.0" w:val="single" w:color="#898A89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5"/>
            <w:vMerge/>
            <w:tcBorders/>
          </w:tcPr>
          <w:p/>
        </w:tc>
      </w:tr>
      <w:tr>
        <w:trPr>
          <w:trHeight w:hRule="exact" w:val="100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% of total net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0%</w:t>
            </w:r>
          </w:p>
        </w:tc>
        <w:tc>
          <w:tcPr>
            <w:tcW w:type="dxa" w:w="6615"/>
            <w:gridSpan w:val="7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945"/>
            <w:vMerge/>
            <w:tcBorders/>
          </w:tcPr>
          <w:p/>
        </w:tc>
        <w:tc>
          <w:tcPr>
            <w:tcW w:type="dxa" w:w="13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9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9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94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Investment Project</w:t>
            </w:r>
          </w:p>
        </w:tc>
        <w:tc>
          <w:tcPr>
            <w:tcW w:type="dxa" w:w="1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Development Policy</w:t>
            </w:r>
          </w:p>
        </w:tc>
        <w:tc>
          <w:tcPr>
            <w:tcW w:type="dxa" w:w="4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Program-for-Results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16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12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1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4734"/>
        <w:gridCol w:w="4734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Currently Available Lending Products</w:t>
      </w:r>
    </w:p>
    <w:p>
      <w:pPr>
        <w:autoSpaceDN w:val="0"/>
        <w:autoSpaceDE w:val="0"/>
        <w:widowControl/>
        <w:spacing w:line="240" w:lineRule="exact" w:before="14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86 member countries were eligible to borrow from IBRD. See Appendix for a list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eligible countries. </w:t>
      </w:r>
    </w:p>
    <w:p>
      <w:pPr>
        <w:autoSpaceDN w:val="0"/>
        <w:autoSpaceDE w:val="0"/>
        <w:widowControl/>
        <w:spacing w:line="268" w:lineRule="exact" w:before="13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IBRD Flexible Loans (IFLs)</w:t>
      </w:r>
    </w:p>
    <w:p>
      <w:pPr>
        <w:autoSpaceDN w:val="0"/>
        <w:autoSpaceDE w:val="0"/>
        <w:widowControl/>
        <w:spacing w:line="240" w:lineRule="exact" w:before="130" w:after="0"/>
        <w:ind w:left="32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IFLs allow borrowers to customize their repayment terms (i.e., grace period, repayment period,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amortization profile) to meet their debt management or project needs. The IFL previously offered two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types of loan terms: variable-spread terms and fixed-spread terms. Effective April 1, 2021, IBRD’s offering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loans on fixed spread terms as well as a related conversion feature from the variable spread terms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fixed spread terms was suspended (see Section IX: Risk Management). As of June 30, 2025, 78%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loans outstanding carried variable-spread terms and 22% had fixed-spread terms. See Table 16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details of loan terms for IFL loans.</w:t>
      </w:r>
    </w:p>
    <w:p>
      <w:pPr>
        <w:autoSpaceDN w:val="0"/>
        <w:autoSpaceDE w:val="0"/>
        <w:widowControl/>
        <w:spacing w:line="240" w:lineRule="exact" w:before="120" w:after="0"/>
        <w:ind w:left="32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IFLs include options to manage the currency and/or interest rate risk over the life of the loan.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balance of loans for which currency or interest rate conversions have been exercised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$58.2 billion as of June 30, 2025 and $52.7 billion as of June 30, 2024. IFLs may be denominated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or currencies chosen by the borrower if IBRD can efficiently intermediate in that currency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currencies. Using currency conversions, some borrowing member countries have converted their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into domestic currencies to reduce their foreign currency exposure for projects or programs that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generate foreign currency revenue. These local currency loans may carry fixed or variable-spread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terms. The balance of local currency loans outstanding was $2.9 billion as of June 30, 2025 and $3.2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as of June 30, 2024, respectively. Box 1 below shows the components of the spread on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IFLs and how these are determined. </w:t>
      </w:r>
    </w:p>
    <w:p>
      <w:pPr>
        <w:autoSpaceDN w:val="0"/>
        <w:autoSpaceDE w:val="0"/>
        <w:widowControl/>
        <w:spacing w:line="224" w:lineRule="exact" w:before="136" w:after="196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1: Components of Loan spread</w:t>
      </w:r>
    </w:p>
    <w:p>
      <w:pPr>
        <w:sectPr>
          <w:pgSz w:w="12240" w:h="15840"/>
          <w:pgMar w:top="216" w:right="1364" w:bottom="288" w:left="14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8"/>
      </w:tblGrid>
      <w:tr>
        <w:trPr>
          <w:trHeight w:hRule="exact" w:val="670"/>
        </w:trPr>
        <w:tc>
          <w:tcPr>
            <w:tcW w:type="dxa" w:w="5258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8" w:type="dxa"/>
            </w:tblPr>
            <w:tblGrid>
              <w:gridCol w:w="5258"/>
            </w:tblGrid>
            <w:tr>
              <w:trPr>
                <w:trHeight w:hRule="exact" w:val="580"/>
              </w:trPr>
              <w:tc>
                <w:tcPr>
                  <w:tcW w:type="dxa" w:w="360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Contractual lending spread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7.9999999999998" w:type="dxa"/>
      </w:tblPr>
      <w:tblGrid>
        <w:gridCol w:w="9468"/>
      </w:tblGrid>
      <w:tr>
        <w:trPr>
          <w:trHeight w:hRule="exact" w:val="660"/>
        </w:trPr>
        <w:tc>
          <w:tcPr>
            <w:tcW w:type="dxa" w:w="36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0"/>
            </w:tblGrid>
            <w:tr>
              <w:trPr>
                <w:trHeight w:hRule="exact" w:val="580"/>
              </w:trPr>
              <w:tc>
                <w:tcPr>
                  <w:tcW w:type="dxa" w:w="360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Maturity Premium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7.9999999999998" w:type="dxa"/>
      </w:tblPr>
      <w:tblGrid>
        <w:gridCol w:w="9468"/>
      </w:tblGrid>
      <w:tr>
        <w:trPr>
          <w:trHeight w:hRule="exact" w:val="888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0"/>
            </w:tblGrid>
            <w:tr>
              <w:trPr>
                <w:trHeight w:hRule="exact" w:val="580"/>
              </w:trPr>
              <w:tc>
                <w:tcPr>
                  <w:tcW w:type="dxa" w:w="360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FSL Market Risk Premium 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8"/>
      </w:tblGrid>
      <w:tr>
        <w:trPr>
          <w:trHeight w:hRule="exact" w:val="712"/>
        </w:trPr>
        <w:tc>
          <w:tcPr>
            <w:tcW w:type="dxa" w:w="5258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8" w:type="dxa"/>
            </w:tblPr>
            <w:tblGrid>
              <w:gridCol w:w="5258"/>
            </w:tblGrid>
            <w:tr>
              <w:trPr>
                <w:trHeight w:hRule="exact" w:val="580"/>
              </w:trPr>
              <w:tc>
                <w:tcPr>
                  <w:tcW w:type="dxa" w:w="360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Funding Cost Margin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6" w:right="1364" w:bottom="288" w:left="1408" w:header="720" w:footer="720" w:gutter="0"/>
          <w:cols w:num="2" w:equalWidth="0">
            <w:col w:w="5312" w:space="0"/>
            <w:col w:w="41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455" w:type="dxa"/>
      </w:tblPr>
      <w:tblGrid>
        <w:gridCol w:w="9468"/>
      </w:tblGrid>
      <w:tr>
        <w:trPr>
          <w:trHeight w:hRule="exact" w:val="776"/>
        </w:trPr>
        <w:tc>
          <w:tcPr>
            <w:tcW w:type="dxa" w:w="370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Subject to the Board's periodic review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Subject to the Board's periodic review</w:t>
            </w:r>
          </w:p>
        </w:tc>
      </w:tr>
    </w:tbl>
    <w:p>
      <w:pPr>
        <w:autoSpaceDN w:val="0"/>
        <w:autoSpaceDE w:val="0"/>
        <w:widowControl/>
        <w:spacing w:line="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455" w:type="dxa"/>
      </w:tblPr>
      <w:tblGrid>
        <w:gridCol w:w="9468"/>
      </w:tblGrid>
      <w:tr>
        <w:trPr>
          <w:trHeight w:hRule="exact" w:val="324"/>
        </w:trPr>
        <w:tc>
          <w:tcPr>
            <w:tcW w:type="dxa" w:w="370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Set by Management based on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468"/>
      </w:tblGrid>
      <w:tr>
        <w:trPr>
          <w:trHeight w:hRule="exact" w:val="272"/>
        </w:trPr>
        <w:tc>
          <w:tcPr>
            <w:tcW w:type="dxa" w:w="24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9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market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98"/>
        <w:ind w:left="0" w:right="0"/>
      </w:pPr>
    </w:p>
    <w:p>
      <w:pPr>
        <w:sectPr>
          <w:type w:val="nextColumn"/>
          <w:pgSz w:w="12240" w:h="15840"/>
          <w:pgMar w:top="216" w:right="1364" w:bottom="288" w:left="1408" w:header="720" w:footer="720" w:gutter="0"/>
          <w:cols w:num="2" w:equalWidth="0">
            <w:col w:w="5312" w:space="0"/>
            <w:col w:w="4155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3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*This is only applicable to fixed spread loans which are not currently offered.</w:t>
      </w:r>
    </w:p>
    <w:p>
      <w:pPr>
        <w:autoSpaceDN w:val="0"/>
        <w:autoSpaceDE w:val="0"/>
        <w:widowControl/>
        <w:spacing w:line="240" w:lineRule="exact" w:before="110" w:after="0"/>
        <w:ind w:left="32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long-term financing for member countries. Since IBRD introduced maturity-based pricing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2010, most countries continue to choose loans with the longer maturities with a higher maturity premium, </w:t>
      </w:r>
      <w:r>
        <w:rPr>
          <w:rFonts w:ascii="ArialMT" w:hAnsi="ArialMT" w:eastAsia="ArialMT"/>
          <w:b w:val="0"/>
          <w:i w:val="0"/>
          <w:color w:val="000000"/>
          <w:sz w:val="20"/>
        </w:rPr>
        <w:t>highlighting the value of longer maturities to member countries.</w:t>
      </w:r>
    </w:p>
    <w:p>
      <w:pPr>
        <w:autoSpaceDN w:val="0"/>
        <w:tabs>
          <w:tab w:pos="684" w:val="left"/>
        </w:tabs>
        <w:autoSpaceDE w:val="0"/>
        <w:widowControl/>
        <w:spacing w:line="224" w:lineRule="exact" w:before="3656" w:after="0"/>
        <w:ind w:left="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type w:val="continuous"/>
          <w:pgSz w:w="12240" w:h="15840"/>
          <w:pgMar w:top="216" w:right="1364" w:bottom="288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29"/>
        <w:gridCol w:w="4729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24" w:lineRule="exact" w:before="418" w:after="0"/>
        <w:ind w:left="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14: Net Commitments by Maturity</w:t>
      </w:r>
    </w:p>
    <w:p>
      <w:pPr>
        <w:autoSpaceDN w:val="0"/>
        <w:autoSpaceDE w:val="0"/>
        <w:widowControl/>
        <w:spacing w:line="180" w:lineRule="exact" w:before="64" w:after="0"/>
        <w:ind w:left="7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30"/>
        <w:ind w:left="0" w:right="4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For the fiscal year ended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44"/>
        </w:trPr>
        <w:tc>
          <w:tcPr>
            <w:tcW w:type="dxa" w:w="69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Maturity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246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4"/>
        </w:trPr>
        <w:tc>
          <w:tcPr>
            <w:tcW w:type="dxa" w:w="691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&lt; 8 years</w:t>
            </w:r>
          </w:p>
        </w:tc>
        <w:tc>
          <w:tcPr>
            <w:tcW w:type="dxa" w:w="4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  <w:tc>
          <w:tcPr>
            <w:tcW w:type="dxa" w:w="4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1,477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8-10 years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7,929 </w:t>
            </w:r>
          </w:p>
        </w:tc>
        <w:tc>
          <w:tcPr>
            <w:tcW w:type="dxa" w:w="12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7,498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10-12 years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5,250 </w:t>
            </w:r>
          </w:p>
        </w:tc>
        <w:tc>
          <w:tcPr>
            <w:tcW w:type="dxa" w:w="12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7,020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12-15 years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7,901 </w:t>
            </w:r>
          </w:p>
        </w:tc>
        <w:tc>
          <w:tcPr>
            <w:tcW w:type="dxa" w:w="12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15-18 years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3,269 </w:t>
            </w:r>
          </w:p>
        </w:tc>
        <w:tc>
          <w:tcPr>
            <w:tcW w:type="dxa" w:w="12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4,086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&gt;18 years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14,754 </w:t>
            </w:r>
          </w:p>
        </w:tc>
        <w:tc>
          <w:tcPr>
            <w:tcW w:type="dxa" w:w="12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12,395 </w:t>
            </w:r>
          </w:p>
        </w:tc>
      </w:tr>
      <w:tr>
        <w:trPr>
          <w:trHeight w:hRule="exact" w:val="246"/>
        </w:trPr>
        <w:tc>
          <w:tcPr>
            <w:tcW w:type="dxa" w:w="691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Commitments</w:t>
            </w:r>
          </w:p>
        </w:tc>
        <w:tc>
          <w:tcPr>
            <w:tcW w:type="dxa" w:w="122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 </w:t>
            </w:r>
          </w:p>
        </w:tc>
        <w:tc>
          <w:tcPr>
            <w:tcW w:type="dxa" w:w="1246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  <w:tr>
        <w:trPr>
          <w:trHeight w:hRule="exact" w:val="220"/>
        </w:trPr>
        <w:tc>
          <w:tcPr>
            <w:tcW w:type="dxa" w:w="691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Net Commitments</w:t>
            </w:r>
          </w:p>
        </w:tc>
        <w:tc>
          <w:tcPr>
            <w:tcW w:type="dxa" w:w="4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40,885 </w:t>
            </w:r>
          </w:p>
        </w:tc>
        <w:tc>
          <w:tcPr>
            <w:tcW w:type="dxa" w:w="4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37,568 </w:t>
            </w:r>
          </w:p>
        </w:tc>
      </w:tr>
    </w:tbl>
    <w:p>
      <w:pPr>
        <w:autoSpaceDN w:val="0"/>
        <w:autoSpaceDE w:val="0"/>
        <w:widowControl/>
        <w:spacing w:line="268" w:lineRule="exact" w:before="436" w:after="0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Loans with Other Financial Terms Currently Available </w:t>
      </w:r>
    </w:p>
    <w:p>
      <w:pPr>
        <w:autoSpaceDN w:val="0"/>
        <w:autoSpaceDE w:val="0"/>
        <w:widowControl/>
        <w:spacing w:line="240" w:lineRule="exact" w:before="82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IFLs with standard terms, IBRD offers loans with a deferred drawdown option, Special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Development Policy Loans (SDPLs), loan-related derivatives, and loans to IFC (Box 2).</w:t>
      </w:r>
    </w:p>
    <w:p>
      <w:pPr>
        <w:autoSpaceDN w:val="0"/>
        <w:autoSpaceDE w:val="0"/>
        <w:widowControl/>
        <w:spacing w:line="222" w:lineRule="exact" w:before="138" w:after="112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2: Loans with Other Financial Terms 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29"/>
        <w:gridCol w:w="4729"/>
      </w:tblGrid>
      <w:tr>
        <w:trPr>
          <w:trHeight w:hRule="exact" w:val="660"/>
        </w:trPr>
        <w:tc>
          <w:tcPr>
            <w:tcW w:type="dxa" w:w="1656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8" w:after="0"/>
              <w:ind w:left="5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Loans with Other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Financial Terms</w:t>
            </w:r>
          </w:p>
        </w:tc>
        <w:tc>
          <w:tcPr>
            <w:tcW w:type="dxa" w:w="769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2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192" w:lineRule="exact" w:before="14" w:after="6"/>
        <w:ind w:left="1952" w:right="10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DPF with a Deferred Drawdown Option (DPF DDO) gives borrowers the flexibility to rapidly obtain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financing they require.  For example, such funds could be needed owing to a shortfall in resources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caused by unfavorable economic events, such as declines in growth or unfavorable shifts in commodity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prices or terms of trade. The Catastrophe Risk DDO (CAT DDO) enables borrowers to access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29"/>
        <w:gridCol w:w="4729"/>
      </w:tblGrid>
      <w:tr>
        <w:trPr>
          <w:trHeight w:hRule="exact" w:val="768"/>
        </w:trPr>
        <w:tc>
          <w:tcPr>
            <w:tcW w:type="dxa" w:w="189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18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Loans with a Deferred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Drawdown Option</w:t>
            </w:r>
          </w:p>
        </w:tc>
        <w:tc>
          <w:tcPr>
            <w:tcW w:type="dxa" w:w="745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8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immediate funding to respond rapidly in the wake of a natural disaster and/or public health emergency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caused by a biological event. The Investment Project Financing DDO (IPF DDO) provides clients with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contingent financing for specific investment project expenditures to increase financial preparedness for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certain crisis response needs. Under the DPF DDO, borrowers may defer disbursement for up to three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6"/>
        <w:ind w:left="1952" w:right="11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years, renewable for an additional three years. Under the IPF DDO, borrowers may defer disbursement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up to five years, renewable for an additional three years. The CAT DDO has a revolving feature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three-year drawdown period may be renewed up to four times, for a total maximum drawdown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period of 15 years (Table 16). As of June 30, 2025, the amount of DDOs disbursed and outstanding was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$9.5 billion (compared to $9.5 billion as of June 30, 2024). The undisbursed amount of effective DDOs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was $1.1 billion (compared to $0.5 billion a year earlier), and the undisbursed amount of disbursing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218"/>
        </w:trPr>
        <w:tc>
          <w:tcPr>
            <w:tcW w:type="dxa" w:w="182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754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DDOs was $1.0 billion (compared to $0.7 billion as of June 30, 2024). </w:t>
            </w:r>
          </w:p>
        </w:tc>
      </w:tr>
      <w:tr>
        <w:trPr>
          <w:trHeight w:hRule="exact" w:val="670"/>
        </w:trPr>
        <w:tc>
          <w:tcPr>
            <w:tcW w:type="dxa" w:w="182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Special Development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Policy Loans (SDPLs)</w:t>
            </w:r>
          </w:p>
        </w:tc>
        <w:tc>
          <w:tcPr>
            <w:tcW w:type="dxa" w:w="754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128" w:right="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SDPLs support structural and social reforms by creditworthy borrowers that face a possible financial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crisis or are already in a crisis and have extraordinary and urgent external financing needs. There were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 amounts outstanding as of June 30, 2025 and June 30, 2024. IBRD made no new SDPL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8"/>
      </w:tblGrid>
      <w:tr>
        <w:trPr>
          <w:trHeight w:hRule="exact" w:val="290"/>
        </w:trPr>
        <w:tc>
          <w:tcPr>
            <w:tcW w:type="dxa" w:w="936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9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commitments in either FY25 or FY24.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4.0" w:type="dxa"/>
      </w:tblPr>
      <w:tblGrid>
        <w:gridCol w:w="9458"/>
      </w:tblGrid>
      <w:tr>
        <w:trPr>
          <w:trHeight w:hRule="exact" w:val="246"/>
        </w:trPr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9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assists its borrowers with access to risk management tools by offering derivative instruments,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9"/>
        <w:gridCol w:w="4729"/>
      </w:tblGrid>
      <w:tr>
        <w:trPr>
          <w:trHeight w:hRule="exact" w:val="768"/>
        </w:trPr>
        <w:tc>
          <w:tcPr>
            <w:tcW w:type="dxa" w:w="15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8" w:after="0"/>
              <w:ind w:left="3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Loan-Related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78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28" w:right="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including currency and interest rate swaps and interest rate caps and collars, associated with their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loans. These instruments may be executed either under a master derivatives agreement, which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substantially conforms to industry standards, or under individually negotiated agreements. Under these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arrangements, IBRD passes through the market cost of these instruments to its borrowers. The balance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6"/>
        <w:ind w:left="19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loans outstanding for which borrowers had entered into currency or interest rate derivative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transactions under a master derivatives agreement with IBRD was $7.0 billion as of June 30, 2025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228"/>
        </w:trPr>
        <w:tc>
          <w:tcPr>
            <w:tcW w:type="dxa" w:w="156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780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$8.9 billion as of June 30, 2024.</w:t>
            </w:r>
          </w:p>
        </w:tc>
      </w:tr>
      <w:tr>
        <w:trPr>
          <w:trHeight w:hRule="exact" w:val="492"/>
        </w:trPr>
        <w:tc>
          <w:tcPr>
            <w:tcW w:type="dxa" w:w="156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with IFC</w:t>
            </w:r>
          </w:p>
        </w:tc>
        <w:tc>
          <w:tcPr>
            <w:tcW w:type="dxa" w:w="780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2" w:after="0"/>
              <w:ind w:left="3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provides loans to IFC in connection with the release of a member's National Currency Paid-In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Capital (NCPIC) to IBRD (See Section VIII: Capital Activities for explanation of NCPIC). There were no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8"/>
      </w:tblGrid>
      <w:tr>
        <w:trPr>
          <w:trHeight w:hRule="exact" w:val="304"/>
        </w:trPr>
        <w:tc>
          <w:tcPr>
            <w:tcW w:type="dxa" w:w="774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6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 as of June 30, 2025 and June 30, 2024.</w:t>
            </w:r>
          </w:p>
        </w:tc>
      </w:tr>
    </w:tbl>
    <w:p>
      <w:pPr>
        <w:autoSpaceDN w:val="0"/>
        <w:autoSpaceDE w:val="0"/>
        <w:widowControl/>
        <w:spacing w:line="268" w:lineRule="exact" w:before="178" w:after="0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Lending Terms Applicable to IBRD Products </w:t>
      </w:r>
    </w:p>
    <w:p>
      <w:pPr>
        <w:autoSpaceDN w:val="0"/>
        <w:autoSpaceDE w:val="0"/>
        <w:widowControl/>
        <w:spacing w:line="240" w:lineRule="exact" w:before="130" w:after="0"/>
        <w:ind w:left="2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current pricing structure classifies member countries into four pricing groups, based on income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factors, and relates the maturity premium to the exemptions, discounts or surcharges applicable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each pricing group (Table 15).</w:t>
      </w:r>
    </w:p>
    <w:p>
      <w:pPr>
        <w:autoSpaceDN w:val="0"/>
        <w:tabs>
          <w:tab w:pos="9108" w:val="left"/>
        </w:tabs>
        <w:autoSpaceDE w:val="0"/>
        <w:widowControl/>
        <w:spacing w:line="224" w:lineRule="exact" w:before="1074" w:after="0"/>
        <w:ind w:left="33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25</w:t>
      </w:r>
    </w:p>
    <w:p>
      <w:pPr>
        <w:sectPr>
          <w:pgSz w:w="12240" w:h="15840"/>
          <w:pgMar w:top="216" w:right="1366" w:bottom="2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24" w:lineRule="exact" w:before="358" w:after="4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15: Country Pricing Group and Maturity Premium (in Basis Points)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434"/>
        </w:trPr>
        <w:tc>
          <w:tcPr>
            <w:tcW w:type="dxa" w:w="8366"/>
            <w:tcBorders>
              <w:top w:sz="8.0" w:val="single" w:color="#6C6C6C"/>
              <w:end w:sz="36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183"/>
              <w:gridCol w:w="4183"/>
            </w:tblGrid>
            <w:tr>
              <w:trPr>
                <w:trHeight w:hRule="exact" w:val="234"/>
              </w:trPr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Country pricing group</w:t>
                  </w:r>
                </w:p>
              </w:tc>
              <w:tc>
                <w:tcPr>
                  <w:tcW w:type="dxa" w:w="37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0" w:after="0"/>
                    <w:ind w:left="0" w:right="141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4"/>
            <w:tcBorders>
              <w:start w:sz="36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Maturity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Premium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 xml:space="preserve"> a d</w:t>
            </w:r>
          </w:p>
        </w:tc>
      </w:tr>
      <w:tr>
        <w:trPr>
          <w:trHeight w:hRule="exact" w:val="62"/>
        </w:trPr>
        <w:tc>
          <w:tcPr>
            <w:tcW w:type="dxa" w:w="9410"/>
            <w:gridSpan w:val="2"/>
            <w:tcBorders>
              <w:top w:sz="8.0" w:val="single" w:color="#6C6C6C"/>
              <w:bottom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10"/>
        </w:trPr>
        <w:tc>
          <w:tcPr>
            <w:tcW w:type="dxa" w:w="8366"/>
            <w:tcBorders>
              <w:top w:sz="48.0" w:val="single" w:color="#FFFFFF"/>
              <w:end w:sz="36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4183"/>
              <w:gridCol w:w="4183"/>
            </w:tblGrid>
            <w:tr>
              <w:trPr>
                <w:trHeight w:hRule="exact" w:val="256"/>
              </w:trPr>
              <w:tc>
                <w:tcPr>
                  <w:tcW w:type="dxa" w:w="10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2" w:after="0"/>
                    <w:ind w:left="0" w:right="5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A</w:t>
                  </w:r>
                </w:p>
              </w:tc>
              <w:tc>
                <w:tcPr>
                  <w:tcW w:type="dxa" w:w="6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8" w:after="0"/>
                    <w:ind w:left="53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Blends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b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, small states, countries in fragile and conflict-affected situations (FCS), recent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8" w:lineRule="exact" w:before="0" w:after="0"/>
              <w:ind w:left="196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graduates, and CRDC-eligible countries. These countries are exempt from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maturity premium increase regardless of their income levels.</w:t>
            </w:r>
          </w:p>
          <w:p>
            <w:pPr>
              <w:autoSpaceDN w:val="0"/>
              <w:autoSpaceDE w:val="0"/>
              <w:widowControl/>
              <w:spacing w:line="180" w:lineRule="exact" w:before="64" w:after="6"/>
              <w:ind w:left="19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Countries below or equal to GDI (Graduation Discussion Income) which do not qualify for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4183"/>
              <w:gridCol w:w="4183"/>
            </w:tblGrid>
            <w:tr>
              <w:trPr>
                <w:trHeight w:hRule="exact" w:val="218"/>
              </w:trPr>
              <w:tc>
                <w:tcPr>
                  <w:tcW w:type="dxa" w:w="10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" w:after="0"/>
                    <w:ind w:left="0" w:right="5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B</w:t>
                  </w:r>
                </w:p>
              </w:tc>
              <w:tc>
                <w:tcPr>
                  <w:tcW w:type="dxa" w:w="4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" w:after="0"/>
                    <w:ind w:left="53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an exemption listed in Group A.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32" w:after="8"/>
              <w:ind w:left="19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Countries above-GDI, but below high-income status and which do not qualify for an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4183"/>
              <w:gridCol w:w="4183"/>
            </w:tblGrid>
            <w:tr>
              <w:trPr>
                <w:trHeight w:hRule="exact" w:val="612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288" w:right="50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C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D</w:t>
                  </w:r>
                </w:p>
              </w:tc>
              <w:tc>
                <w:tcPr>
                  <w:tcW w:type="dxa" w:w="6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" w:after="0"/>
                    <w:ind w:left="53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exemption listed in Group A.</w:t>
                  </w:r>
                </w:p>
                <w:p>
                  <w:pPr>
                    <w:autoSpaceDN w:val="0"/>
                    <w:autoSpaceDE w:val="0"/>
                    <w:widowControl/>
                    <w:spacing w:line="192" w:lineRule="exact" w:before="46" w:after="0"/>
                    <w:ind w:left="538" w:right="144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Countries with high income status and which do not qualify for an exemption listed in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Group A.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4"/>
            <w:tcBorders>
              <w:start w:sz="36.0" w:val="single" w:color="#FFFFFF"/>
              <w:top w:sz="48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0-50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  <w:p>
            <w:pPr>
              <w:autoSpaceDN w:val="0"/>
              <w:autoSpaceDE w:val="0"/>
              <w:widowControl/>
              <w:spacing w:line="436" w:lineRule="exact" w:before="10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0-90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5-115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Based on the weighted average maturity of the loan, borrower’s income, and other factors, approved by the Board and reviewed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annually. </w:t>
      </w:r>
    </w:p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Countries eligible for IDA and IBRD loans.</w:t>
      </w:r>
    </w:p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Member countries in group A are exempt from the maturity premium increase applicable from July 1, 2018.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For IBRD loans with a final maturity of up to 7 years, there is a maturity premium discount of 20bps. This discount is applied to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the overall lending spread. </w:t>
      </w:r>
    </w:p>
    <w:p>
      <w:pPr>
        <w:autoSpaceDN w:val="0"/>
        <w:autoSpaceDE w:val="0"/>
        <w:widowControl/>
        <w:spacing w:line="224" w:lineRule="exact" w:before="2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16: Loan Terms Available During Fin</w:t>
      </w:r>
      <w:r>
        <w:rPr>
          <w:rFonts w:ascii="Arial" w:hAnsi="Arial" w:eastAsia="Arial"/>
          <w:b/>
          <w:i w:val="0"/>
          <w:color w:val="000000"/>
          <w:sz w:val="20"/>
        </w:rPr>
        <w:t>ancial Year Ended June 30, 2025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Basis points, unless otherwise noted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4722"/>
        <w:gridCol w:w="4722"/>
      </w:tblGrid>
      <w:tr>
        <w:trPr>
          <w:trHeight w:hRule="exact" w:val="28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IBRD Flexible Loan (IFL)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 b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Special Development Policy Loans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8"/>
        <w:gridCol w:w="3148"/>
        <w:gridCol w:w="3148"/>
      </w:tblGrid>
      <w:tr>
        <w:trPr>
          <w:trHeight w:hRule="exact" w:val="242"/>
        </w:trPr>
        <w:tc>
          <w:tcPr>
            <w:tcW w:type="dxa" w:w="40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54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Variable-spread Terms</w:t>
            </w:r>
          </w:p>
        </w:tc>
        <w:tc>
          <w:tcPr>
            <w:tcW w:type="dxa" w:w="2636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(SDPL)</w:t>
            </w:r>
          </w:p>
        </w:tc>
      </w:tr>
      <w:tr>
        <w:trPr>
          <w:trHeight w:hRule="exact" w:val="240"/>
        </w:trPr>
        <w:tc>
          <w:tcPr>
            <w:tcW w:type="dxa" w:w="4090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 xml:space="preserve">Final maturity </w:t>
            </w:r>
            <w:r>
              <w:rPr>
                <w:w w:val="103.99999618530273"/>
                <w:rFonts w:ascii="Arial" w:hAnsi="Arial" w:eastAsia="Arial"/>
                <w:b/>
                <w:i/>
                <w:color w:val="000000"/>
                <w:sz w:val="10"/>
              </w:rPr>
              <w:t>f</w:t>
            </w:r>
          </w:p>
        </w:tc>
        <w:tc>
          <w:tcPr>
            <w:tcW w:type="dxa" w:w="2654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years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636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 years</w:t>
            </w:r>
          </w:p>
        </w:tc>
      </w:tr>
      <w:tr>
        <w:trPr>
          <w:trHeight w:hRule="exact" w:val="240"/>
        </w:trPr>
        <w:tc>
          <w:tcPr>
            <w:tcW w:type="dxa" w:w="4090"/>
            <w:tcBorders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Maximum weighted average maturity</w:t>
            </w:r>
          </w:p>
        </w:tc>
        <w:tc>
          <w:tcPr>
            <w:tcW w:type="dxa" w:w="2654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years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636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7.5 years</w:t>
            </w:r>
          </w:p>
        </w:tc>
      </w:tr>
      <w:tr>
        <w:trPr>
          <w:trHeight w:hRule="exact" w:val="240"/>
        </w:trPr>
        <w:tc>
          <w:tcPr>
            <w:tcW w:type="dxa" w:w="4090"/>
            <w:tcBorders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Reference market rate</w:t>
            </w:r>
          </w:p>
        </w:tc>
        <w:tc>
          <w:tcPr>
            <w:tcW w:type="dxa" w:w="2654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  <w:tc>
          <w:tcPr>
            <w:tcW w:type="dxa" w:w="2636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</w:tr>
      <w:tr>
        <w:trPr>
          <w:trHeight w:hRule="exact" w:val="1364"/>
        </w:trPr>
        <w:tc>
          <w:tcPr>
            <w:tcW w:type="dxa" w:w="4090"/>
            <w:tcBorders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332" w:right="1728" w:hanging="27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 xml:space="preserve">Spread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Contractual lending spread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Maturity premium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  <w:p>
            <w:pPr>
              <w:autoSpaceDN w:val="0"/>
              <w:autoSpaceDE w:val="0"/>
              <w:widowControl/>
              <w:spacing w:line="178" w:lineRule="exact" w:before="26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Funding cost margin</w:t>
            </w:r>
          </w:p>
        </w:tc>
        <w:tc>
          <w:tcPr>
            <w:tcW w:type="dxa" w:w="2654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0-115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Actual average funding cost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incurred during the preceding six-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month period</w:t>
            </w:r>
          </w:p>
        </w:tc>
        <w:tc>
          <w:tcPr>
            <w:tcW w:type="dxa" w:w="2636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864" w:right="86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min. 200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  <w:p>
            <w:pPr>
              <w:autoSpaceDN w:val="0"/>
              <w:autoSpaceDE w:val="0"/>
              <w:widowControl/>
              <w:spacing w:line="178" w:lineRule="exact" w:before="4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1154"/>
        </w:trPr>
        <w:tc>
          <w:tcPr>
            <w:tcW w:type="dxa" w:w="4090"/>
            <w:tcBorders>
              <w:top w:sz="8.0" w:val="single" w:color="#6C6C6C"/>
              <w:end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32" w:right="0" w:hanging="27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 xml:space="preserve">Charges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Front-end fee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Late service charge on principal payments received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after 30 days of due date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fee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g</w:t>
            </w:r>
          </w:p>
        </w:tc>
        <w:tc>
          <w:tcPr>
            <w:tcW w:type="dxa" w:w="5290"/>
            <w:gridSpan w:val="2"/>
            <w:tcBorders>
              <w:start w:sz="24.0" w:val="single" w:color="#FFFFFF"/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0.0" w:type="dxa"/>
            </w:tblPr>
            <w:tblGrid>
              <w:gridCol w:w="2645"/>
              <w:gridCol w:w="2645"/>
            </w:tblGrid>
            <w:tr>
              <w:trPr>
                <w:trHeight w:hRule="exact" w:val="894"/>
              </w:trPr>
              <w:tc>
                <w:tcPr>
                  <w:tcW w:type="dxa" w:w="2054"/>
                  <w:tcBorders>
                    <w:end w:sz="24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0" w:after="0"/>
                    <w:ind w:left="638" w:right="1208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25</w:t>
                  </w:r>
                </w:p>
              </w:tc>
              <w:tc>
                <w:tcPr>
                  <w:tcW w:type="dxa" w:w="2046"/>
                  <w:tcBorders>
                    <w:start w:sz="24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0" w:after="0"/>
                    <w:ind w:left="1152" w:right="576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100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—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230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financial terms for DDOs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8"/>
        <w:gridCol w:w="3148"/>
        <w:gridCol w:w="3148"/>
      </w:tblGrid>
      <w:tr>
        <w:trPr>
          <w:trHeight w:hRule="exact" w:val="240"/>
        </w:trPr>
        <w:tc>
          <w:tcPr>
            <w:tcW w:type="dxa" w:w="36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9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DPF DDO and IPF DDO</w:t>
            </w:r>
          </w:p>
        </w:tc>
        <w:tc>
          <w:tcPr>
            <w:tcW w:type="dxa" w:w="268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CAT DDO</w:t>
            </w:r>
          </w:p>
        </w:tc>
      </w:tr>
      <w:tr>
        <w:trPr>
          <w:trHeight w:hRule="exact" w:val="234"/>
        </w:trPr>
        <w:tc>
          <w:tcPr>
            <w:tcW w:type="dxa" w:w="36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Front-end fee </w:t>
            </w:r>
          </w:p>
        </w:tc>
        <w:tc>
          <w:tcPr>
            <w:tcW w:type="dxa" w:w="3094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68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4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Renewal fee</w:t>
            </w:r>
          </w:p>
        </w:tc>
        <w:tc>
          <w:tcPr>
            <w:tcW w:type="dxa" w:w="30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4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Stand-by fee</w:t>
            </w:r>
          </w:p>
        </w:tc>
        <w:tc>
          <w:tcPr>
            <w:tcW w:type="dxa" w:w="30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46"/>
        </w:trPr>
        <w:tc>
          <w:tcPr>
            <w:tcW w:type="dxa" w:w="36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fee</w:t>
            </w:r>
          </w:p>
        </w:tc>
        <w:tc>
          <w:tcPr>
            <w:tcW w:type="dxa" w:w="309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68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4998"/>
        </w:trPr>
        <w:tc>
          <w:tcPr>
            <w:tcW w:type="dxa" w:w="4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192" w:lineRule="exact" w:before="97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Th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Eff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c. For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50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d. Ba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e. Se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f. IBR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g. Eff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h. Th</w:t>
            </w:r>
          </w:p>
          <w:p>
            <w:pPr>
              <w:autoSpaceDN w:val="0"/>
              <w:autoSpaceDE w:val="0"/>
              <w:widowControl/>
              <w:spacing w:line="246" w:lineRule="exact" w:before="2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4972"/>
                <w:sz w:val="22"/>
              </w:rPr>
              <w:t>Clim</w:t>
            </w:r>
          </w:p>
          <w:p>
            <w:pPr>
              <w:autoSpaceDN w:val="0"/>
              <w:autoSpaceDE w:val="0"/>
              <w:widowControl/>
              <w:spacing w:line="238" w:lineRule="exact" w:before="8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Eligib</w:t>
            </w:r>
          </w:p>
          <w:p>
            <w:pPr>
              <w:autoSpaceDN w:val="0"/>
              <w:autoSpaceDE w:val="0"/>
              <w:widowControl/>
              <w:spacing w:line="156" w:lineRule="exact" w:before="4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United</w:t>
            </w:r>
          </w:p>
          <w:p>
            <w:pPr>
              <w:autoSpaceDN w:val="0"/>
              <w:autoSpaceDE w:val="0"/>
              <w:widowControl/>
              <w:spacing w:line="224" w:lineRule="exact" w:before="3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9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Th ere is an implicit floor of zero on the overall interest rate in IBRD’s loans. 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b. Eff ective April 1, 2021, IBRD suspended offering loans with fixed spread terms.</w:t>
            </w:r>
          </w:p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some projects addressing global challenges with cross border externalities, the maximum loan maturity is extended to up to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50 years and the maximum weighted average maturity is extended to up to 25 years.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d. Ba sed on the weighted average maturity of the loan and on country pricing group.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e. Se e Box 6 in Section IX: Risk Management for a discussion of overdue payments.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f. IBR D offers a 7-year final maturity loan with a 20bps maturity discount.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g. Eff ective October 15, 2024, the Board approved a grace period of 4 years for IPF and PforR commitment fees.</w:t>
            </w:r>
          </w:p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h. The financial terms not listed separately for DDOs are the same as those presented above for IFLs.</w:t>
            </w:r>
          </w:p>
          <w:p>
            <w:pPr>
              <w:autoSpaceDN w:val="0"/>
              <w:autoSpaceDE w:val="0"/>
              <w:widowControl/>
              <w:spacing w:line="246" w:lineRule="exact" w:before="2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2"/>
              </w:rPr>
              <w:t>Climate Resilient Debt Clause (CRDC)</w:t>
            </w:r>
          </w:p>
          <w:p>
            <w:pPr>
              <w:autoSpaceDN w:val="0"/>
              <w:autoSpaceDE w:val="0"/>
              <w:widowControl/>
              <w:spacing w:line="158" w:lineRule="exact" w:before="9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 borrowers are IBRD Small State Economies, members of the Small States Forum, and Small Island Developing States as defined by the</w:t>
            </w:r>
          </w:p>
          <w:p>
            <w:pPr>
              <w:autoSpaceDN w:val="0"/>
              <w:autoSpaceDE w:val="0"/>
              <w:widowControl/>
              <w:spacing w:line="156" w:lineRule="exact" w:before="40" w:after="0"/>
              <w:ind w:left="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Nations.</w:t>
            </w:r>
          </w:p>
          <w:p>
            <w:pPr>
              <w:autoSpaceDN w:val="0"/>
              <w:autoSpaceDE w:val="0"/>
              <w:widowControl/>
              <w:spacing w:line="224" w:lineRule="exact" w:before="31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CRDCs for eligible new and existing loans (with minimum remaining maturity of five years),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certain borrowers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CRDCs allow eligible borrowing countries to defer payments of principal and/or </w:t>
      </w:r>
    </w:p>
    <w:p>
      <w:pPr>
        <w:sectPr>
          <w:pgSz w:w="12240" w:h="15840"/>
          <w:pgMar w:top="216" w:right="1366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(and other loan charges) for up to two years after an eligible event. After the deferral period,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 will restart payments of the deferred amounts according to a modified amortization schedule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maintains the original weighted average maturity of the loan and does not extend the final maturity date.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eligible events when the clause was first offered were tropical cyclones and earthquakes. In October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2024, the Board approved an extension of the covered events to include all natural catastrophes,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droughts, floods, and public health emergencies caused by a biological event. Total IBRD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as of June 30, 2025, for the 24 countries (including Blend countries) that are eligible to adopt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clause for CRDCs was $6.0 billion.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Loans Outstanding</w:t>
      </w:r>
    </w:p>
    <w:p>
      <w:pPr>
        <w:autoSpaceDN w:val="0"/>
        <w:autoSpaceDE w:val="0"/>
        <w:widowControl/>
        <w:spacing w:line="240" w:lineRule="exact" w:before="8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78% of loans outstanding were denominated in U.S. dollars, 20% were denominated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euros and 2% were denominated in other currencies, before the use of derivatives. The interest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profile of loans outstanding after the use of derivatives for risk management purposes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discussed under Market Risk in Section IX: Risk Management.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17 illustrates a breakdown of IBRD's loans outstanding by interest rate structure. 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17: Loans Outstanding by Interest Rate Structure, Excluding Derivatives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for 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46"/>
      </w:tblGrid>
      <w:tr>
        <w:trPr>
          <w:trHeight w:hRule="exact" w:val="840"/>
        </w:trPr>
        <w:tc>
          <w:tcPr>
            <w:tcW w:type="dxa" w:w="92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</w:tblGrid>
            <w:tr>
              <w:trPr>
                <w:trHeight w:hRule="exact" w:val="204"/>
              </w:trPr>
              <w:tc>
                <w:tcPr>
                  <w:tcW w:type="dxa" w:w="8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1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18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June 30, 2025</w:t>
                  </w:r>
                </w:p>
              </w:tc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% of </w:t>
                  </w:r>
                </w:p>
              </w:tc>
              <w:tc>
                <w:tcPr>
                  <w:tcW w:type="dxa" w:w="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1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19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June 30, 2024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4" w:after="0"/>
                    <w:ind w:left="0" w:right="4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% of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20" w:after="0"/>
                    <w:ind w:left="144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% of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Of which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reference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rate is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20" w:after="0"/>
                    <w:ind w:left="144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% of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4" w:after="0"/>
                    <w:ind w:left="0" w:right="144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Of which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reference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rate is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1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terms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terms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0" w:right="7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96"/>
        </w:trPr>
        <w:tc>
          <w:tcPr>
            <w:tcW w:type="dxa" w:w="92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</w:tblGrid>
            <w:tr>
              <w:trPr>
                <w:trHeight w:hRule="exact" w:val="192"/>
              </w:trPr>
              <w:tc>
                <w:tcPr>
                  <w:tcW w:type="dxa" w:w="7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88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$ 63,118 </w:t>
                  </w:r>
                </w:p>
              </w:tc>
              <w:tc>
                <w:tcPr>
                  <w:tcW w:type="dxa" w:w="144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1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22 %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$ 30,799 </w:t>
                  </w:r>
                </w:p>
              </w:tc>
              <w:tc>
                <w:tcPr>
                  <w:tcW w:type="dxa" w:w="56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11 %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8" w:after="0"/>
                    <w:ind w:left="1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87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$ 63,170 </w:t>
                  </w:r>
                </w:p>
              </w:tc>
              <w:tc>
                <w:tcPr>
                  <w:tcW w:type="dxa" w:w="13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17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24 %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1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1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$ 31,110 </w:t>
                  </w:r>
                </w:p>
              </w:tc>
              <w:tc>
                <w:tcPr>
                  <w:tcW w:type="dxa" w:w="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2" w:after="0"/>
                    <w:ind w:left="0" w:right="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12 %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7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1544"/>
                  <w:gridSpan w:val="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1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1544"/>
                  <w:gridSpan w:val="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</w:tr>
            <w:tr>
              <w:trPr>
                <w:trHeight w:hRule="exact" w:val="345"/>
              </w:trPr>
              <w:tc>
                <w:tcPr>
                  <w:tcW w:type="dxa" w:w="7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884"/>
                  <w:vMerge w:val="restart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76" w:after="0"/>
                    <w:ind w:left="2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219,972</w:t>
                  </w:r>
                </w:p>
              </w:tc>
              <w:tc>
                <w:tcPr>
                  <w:tcW w:type="dxa" w:w="144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2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9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32,319</w:t>
                  </w:r>
                </w:p>
              </w:tc>
              <w:tc>
                <w:tcPr>
                  <w:tcW w:type="dxa" w:w="56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11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0" w:after="0"/>
                    <w:ind w:left="1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876"/>
                  <w:vMerge w:val="restart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76" w:after="0"/>
                    <w:ind w:left="20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200,020</w:t>
                  </w:r>
                </w:p>
              </w:tc>
              <w:tc>
                <w:tcPr>
                  <w:tcW w:type="dxa" w:w="13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17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1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32,060</w:t>
                  </w:r>
                </w:p>
              </w:tc>
              <w:tc>
                <w:tcPr>
                  <w:tcW w:type="dxa" w:w="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12 </w:t>
                  </w:r>
                </w:p>
              </w:tc>
            </w:tr>
            <w:tr>
              <w:trPr>
                <w:trHeight w:hRule="exact" w:val="209"/>
              </w:trPr>
              <w:tc>
                <w:tcPr>
                  <w:tcW w:type="dxa" w:w="79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2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1544"/>
                  <w:gridSpan w:val="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1544"/>
                  <w:gridSpan w:val="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</w:tr>
            <w:tr>
              <w:trPr>
                <w:trHeight w:hRule="exact" w:val="116"/>
              </w:trPr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78 </w:t>
                  </w:r>
                </w:p>
              </w:tc>
              <w:tc>
                <w:tcPr>
                  <w:tcW w:type="dxa" w:w="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12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9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26,078</w:t>
                  </w:r>
                </w:p>
              </w:tc>
              <w:tc>
                <w:tcPr>
                  <w:tcW w:type="dxa" w:w="56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17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9 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76 </w:t>
                  </w:r>
                </w:p>
              </w:tc>
              <w:tc>
                <w:tcPr>
                  <w:tcW w:type="dxa" w:w="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1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1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20,362</w:t>
                  </w:r>
                </w:p>
              </w:tc>
              <w:tc>
                <w:tcPr>
                  <w:tcW w:type="dxa" w:w="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2" w:after="0"/>
                    <w:ind w:left="0" w:right="15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8 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7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" w:after="0"/>
                    <w:ind w:left="1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</w:tr>
            <w:tr>
              <w:trPr>
                <w:trHeight w:hRule="exact" w:val="456"/>
              </w:trPr>
              <w:tc>
                <w:tcPr>
                  <w:tcW w:type="dxa" w:w="796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1440"/>
                  <w:gridSpan w:val="2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0" w:right="2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880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20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193,894</w:t>
                  </w:r>
                </w:p>
              </w:tc>
              <w:tc>
                <w:tcPr>
                  <w:tcW w:type="dxa" w:w="564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69 </w:t>
                  </w:r>
                </w:p>
              </w:tc>
              <w:tc>
                <w:tcPr>
                  <w:tcW w:type="dxa" w:w="880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8" w:after="0"/>
                    <w:ind w:left="10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772"/>
                  <w:vMerge/>
                  <w:tcBorders>
                    <w:bottom w:sz="8.0" w:val="single" w:color="#6C6C6C"/>
                  </w:tcBorders>
                </w:tcPr>
                <w:p/>
              </w:tc>
              <w:tc>
                <w:tcPr>
                  <w:tcW w:type="dxa" w:w="1360"/>
                  <w:gridSpan w:val="2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0" w:right="17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1020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179,658</w:t>
                  </w:r>
                </w:p>
              </w:tc>
              <w:tc>
                <w:tcPr>
                  <w:tcW w:type="dxa" w:w="540"/>
                  <w:tcBorders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68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96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884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$ 283,090 </w:t>
                  </w:r>
                </w:p>
              </w:tc>
              <w:tc>
                <w:tcPr>
                  <w:tcW w:type="dxa" w:w="1440"/>
                  <w:gridSpan w:val="2"/>
                  <w:vMerge w:val="restart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7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</w:tc>
              <w:tc>
                <w:tcPr>
                  <w:tcW w:type="dxa" w:w="880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$ 283,090 </w:t>
                  </w:r>
                </w:p>
              </w:tc>
              <w:tc>
                <w:tcPr>
                  <w:tcW w:type="dxa" w:w="564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</w:tc>
              <w:tc>
                <w:tcPr>
                  <w:tcW w:type="dxa" w:w="880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6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$ 263,190 </w:t>
                  </w:r>
                </w:p>
              </w:tc>
              <w:tc>
                <w:tcPr>
                  <w:tcW w:type="dxa" w:w="1360"/>
                  <w:gridSpan w:val="2"/>
                  <w:vMerge w:val="restart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8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</w:tc>
              <w:tc>
                <w:tcPr>
                  <w:tcW w:type="dxa" w:w="1020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1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$ 263,190 </w:t>
                  </w:r>
                </w:p>
              </w:tc>
              <w:tc>
                <w:tcPr>
                  <w:tcW w:type="dxa" w:w="540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</w:tc>
            </w:tr>
            <w:tr>
              <w:trPr>
                <w:trHeight w:hRule="exact" w:val="30"/>
              </w:trPr>
              <w:tc>
                <w:tcPr>
                  <w:tcW w:type="dxa" w:w="796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4"/>
                  <w:gridSpan w:val="2"/>
                  <w:vMerge/>
                  <w:tcBorders>
                    <w:top w:sz="8.0" w:val="single" w:color="#6C6C6C"/>
                  </w:tcBorders>
                </w:tcPr>
                <w:p/>
              </w:tc>
              <w:tc>
                <w:tcPr>
                  <w:tcW w:type="dxa" w:w="880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4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0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6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4"/>
                  <w:gridSpan w:val="2"/>
                  <w:vMerge/>
                  <w:tcBorders>
                    <w:top w:sz="8.0" w:val="single" w:color="#6C6C6C"/>
                  </w:tcBorders>
                </w:tcPr>
                <w:p/>
              </w:tc>
              <w:tc>
                <w:tcPr>
                  <w:tcW w:type="dxa" w:w="1020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top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4" w:lineRule="exact" w:before="17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18 below illustrates a breakdown of IBRD’s undisbursed balances by financial loan terms.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18: Undisbursed Balances by Loan Terms</w:t>
      </w:r>
    </w:p>
    <w:p>
      <w:pPr>
        <w:autoSpaceDN w:val="0"/>
        <w:autoSpaceDE w:val="0"/>
        <w:widowControl/>
        <w:spacing w:line="178" w:lineRule="exact" w:before="84" w:after="7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68"/>
        </w:trPr>
        <w:tc>
          <w:tcPr>
            <w:tcW w:type="dxa" w:w="2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34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4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</w:t>
            </w:r>
          </w:p>
        </w:tc>
        <w:tc>
          <w:tcPr>
            <w:tcW w:type="dxa" w:w="21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</w:t>
            </w:r>
          </w:p>
        </w:tc>
      </w:tr>
      <w:tr>
        <w:trPr>
          <w:trHeight w:hRule="exact" w:val="232"/>
        </w:trPr>
        <w:tc>
          <w:tcPr>
            <w:tcW w:type="dxa" w:w="2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 Spread terms</w:t>
            </w:r>
          </w:p>
        </w:tc>
        <w:tc>
          <w:tcPr>
            <w:tcW w:type="dxa" w:w="2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32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86,643 </w:t>
            </w:r>
          </w:p>
        </w:tc>
        <w:tc>
          <w:tcPr>
            <w:tcW w:type="dxa" w:w="64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94 %</w:t>
            </w:r>
          </w:p>
        </w:tc>
        <w:tc>
          <w:tcPr>
            <w:tcW w:type="dxa" w:w="7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77,294 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91 %</w:t>
            </w:r>
          </w:p>
        </w:tc>
      </w:tr>
      <w:tr>
        <w:trPr>
          <w:trHeight w:hRule="exact" w:val="248"/>
        </w:trPr>
        <w:tc>
          <w:tcPr>
            <w:tcW w:type="dxa" w:w="2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 Spread terms</w:t>
            </w:r>
          </w:p>
        </w:tc>
        <w:tc>
          <w:tcPr>
            <w:tcW w:type="dxa" w:w="3656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5,702 </w:t>
            </w:r>
          </w:p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21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7,764 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220"/>
        </w:trPr>
        <w:tc>
          <w:tcPr>
            <w:tcW w:type="dxa" w:w="2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92,345 </w:t>
            </w:r>
          </w:p>
        </w:tc>
        <w:tc>
          <w:tcPr>
            <w:tcW w:type="dxa" w:w="688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7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2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85,058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</w:tr>
      <w:tr>
        <w:trPr>
          <w:trHeight w:hRule="exact" w:val="4676"/>
        </w:trPr>
        <w:tc>
          <w:tcPr>
            <w:tcW w:type="dxa" w:w="2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0"/>
            <w:gridSpan w:val="9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62" w:after="0"/>
              <w:ind w:left="8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6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30"/>
        <w:gridCol w:w="4730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76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V: Other Development Activities </w:t>
      </w:r>
    </w:p>
    <w:p>
      <w:pPr>
        <w:autoSpaceDN w:val="0"/>
        <w:autoSpaceDE w:val="0"/>
        <w:widowControl/>
        <w:spacing w:line="240" w:lineRule="exact" w:before="212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continues to deliver value to its client countries through its knowledge services, convening power,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capacity to implement solutions that address global issues where coordinated action is critical.</w:t>
      </w:r>
    </w:p>
    <w:p>
      <w:pPr>
        <w:autoSpaceDN w:val="0"/>
        <w:autoSpaceDE w:val="0"/>
        <w:widowControl/>
        <w:spacing w:line="240" w:lineRule="exact" w:before="120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also assists clients with designing financial products and structuring transactions to help mobilize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for development projects and mitigate the financial effects of market volatility and disasters. </w:t>
      </w:r>
    </w:p>
    <w:p>
      <w:pPr>
        <w:autoSpaceDN w:val="0"/>
        <w:autoSpaceDE w:val="0"/>
        <w:widowControl/>
        <w:spacing w:line="240" w:lineRule="exact" w:before="120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Other financial products and services provided to borrowing member countries, and to affiliated and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affiliated organizations, include financial guarantees, grants, externally-funded activities, and advisory </w:t>
      </w:r>
      <w:r>
        <w:rPr>
          <w:rFonts w:ascii="ArialMT" w:hAnsi="ArialMT" w:eastAsia="ArialMT"/>
          <w:b w:val="0"/>
          <w:i w:val="0"/>
          <w:color w:val="000000"/>
          <w:sz w:val="20"/>
        </w:rPr>
        <w:t>services and analytics.</w:t>
      </w:r>
    </w:p>
    <w:p>
      <w:pPr>
        <w:autoSpaceDN w:val="0"/>
        <w:autoSpaceDE w:val="0"/>
        <w:widowControl/>
        <w:spacing w:line="312" w:lineRule="exact" w:before="124" w:after="0"/>
        <w:ind w:left="24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Guarantees</w:t>
      </w:r>
    </w:p>
    <w:p>
      <w:pPr>
        <w:autoSpaceDN w:val="0"/>
        <w:autoSpaceDE w:val="0"/>
        <w:widowControl/>
        <w:spacing w:line="268" w:lineRule="exact" w:before="150" w:after="0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Guarantees provided</w:t>
      </w:r>
    </w:p>
    <w:p>
      <w:pPr>
        <w:autoSpaceDN w:val="0"/>
        <w:autoSpaceDE w:val="0"/>
        <w:widowControl/>
        <w:spacing w:line="240" w:lineRule="exact" w:before="130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project-based and policy-based guarantees for priority projects and programs in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IBRD also offers guarantees for enclave operations. Project-based guarantees are provided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mobilize private financing for projects; they are also used to mitigate projects’ payment- and performance-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risks. Policy-based guarantees are provided to mobilize private financing for sovereigns or sub-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sovereigns. IBRD’s guarantees are partial and are intended to provide only the coverage necessary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obtain the required private financing, considering country, market and, if appropriate,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circumstances. All guarantees require a sovereign counter-guarantee and indemnity, comparable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requirement of a sovereign guarantee for IBRD lending to sub-sovereign and non-sovereign borrowers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(Box 3). On July 1, 2024, the WBG Guarantee Platform, maintained by MIGA, was launched to bring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together products and experts from the World Bank, IFC, and MIGA and aims to boost WBG guarantee </w:t>
      </w:r>
      <w:r>
        <w:rPr>
          <w:rFonts w:ascii="ArialMT" w:hAnsi="ArialMT" w:eastAsia="ArialMT"/>
          <w:b w:val="0"/>
          <w:i w:val="0"/>
          <w:color w:val="000000"/>
          <w:sz w:val="20"/>
        </w:rPr>
        <w:t>issuances for all entities.</w:t>
      </w:r>
    </w:p>
    <w:p>
      <w:pPr>
        <w:autoSpaceDN w:val="0"/>
        <w:autoSpaceDE w:val="0"/>
        <w:widowControl/>
        <w:spacing w:line="222" w:lineRule="exact" w:before="138" w:after="112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3: Types of Guarantees Provided by IBRD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30"/>
        <w:gridCol w:w="4730"/>
      </w:tblGrid>
      <w:tr>
        <w:trPr>
          <w:trHeight w:hRule="exact" w:val="256"/>
        </w:trPr>
        <w:tc>
          <w:tcPr>
            <w:tcW w:type="dxa" w:w="1338"/>
            <w:tcBorders>
              <w:bottom w:sz="2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Guarantee</w:t>
            </w:r>
          </w:p>
        </w:tc>
        <w:tc>
          <w:tcPr>
            <w:tcW w:type="dxa" w:w="8042"/>
            <w:tcBorders>
              <w:bottom w:sz="2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0"/>
        <w:gridCol w:w="4730"/>
      </w:tblGrid>
      <w:tr>
        <w:trPr>
          <w:trHeight w:hRule="exact" w:val="328"/>
        </w:trPr>
        <w:tc>
          <w:tcPr>
            <w:tcW w:type="dxa" w:w="9378"/>
            <w:gridSpan w:val="2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19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Two types of project-based guarantees are offered:</w:t>
            </w:r>
          </w:p>
        </w:tc>
      </w:tr>
      <w:tr>
        <w:trPr>
          <w:trHeight w:hRule="exact" w:val="218"/>
        </w:trPr>
        <w:tc>
          <w:tcPr>
            <w:tcW w:type="dxa" w:w="245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6922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guarantees: these cover loan-related debt service defaults caused by the government’s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4730"/>
        <w:gridCol w:w="4730"/>
      </w:tblGrid>
      <w:tr>
        <w:trPr>
          <w:trHeight w:hRule="exact" w:val="768"/>
        </w:trPr>
        <w:tc>
          <w:tcPr>
            <w:tcW w:type="dxa" w:w="18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6" w:after="0"/>
              <w:ind w:left="12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Project-based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guarantees</w:t>
            </w:r>
          </w:p>
        </w:tc>
        <w:tc>
          <w:tcPr>
            <w:tcW w:type="dxa" w:w="74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638" w:right="2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failure to meet specific payment and/or performance obligations arising from contract, law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regulation, in relation to a project. Loan guarantees include coverage for debt service defaults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on: (i) commercial debt, normally for a private sector project where the cause of debt service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default is specifically covered by IBRD’s guarantee; and, (ii) a specific portion of commercial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4.0" w:type="dxa"/>
      </w:tblPr>
      <w:tblGrid>
        <w:gridCol w:w="4730"/>
        <w:gridCol w:w="4730"/>
      </w:tblGrid>
      <w:tr>
        <w:trPr>
          <w:trHeight w:hRule="exact" w:val="384"/>
        </w:trPr>
        <w:tc>
          <w:tcPr>
            <w:tcW w:type="dxa" w:w="13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9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debt irrespective of the cause of such default, normally for a public-sector project.</w:t>
            </w:r>
          </w:p>
          <w:p>
            <w:pPr>
              <w:autoSpaceDN w:val="0"/>
              <w:autoSpaceDE w:val="0"/>
              <w:widowControl/>
              <w:spacing w:line="180" w:lineRule="exact" w:before="1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Payment guarantees: These cover payment default on non-loan related government payment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30"/>
        </w:trPr>
        <w:tc>
          <w:tcPr>
            <w:tcW w:type="dxa" w:w="154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785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obligations to private entities and foreign public entities arising from contract, law or regulation.</w:t>
            </w:r>
          </w:p>
        </w:tc>
      </w:tr>
      <w:tr>
        <w:trPr>
          <w:trHeight w:hRule="exact" w:val="734"/>
        </w:trPr>
        <w:tc>
          <w:tcPr>
            <w:tcW w:type="dxa" w:w="154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20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Policy-based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guarantees</w:t>
            </w:r>
          </w:p>
        </w:tc>
        <w:tc>
          <w:tcPr>
            <w:tcW w:type="dxa" w:w="785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318" w:right="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These cover debt service default, irrespective of the cause of such default, on a specific portion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commercial debt owed by national or sub national government and associated with the supported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government’s program of policy and institutional actions.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30"/>
        <w:gridCol w:w="4730"/>
      </w:tblGrid>
      <w:tr>
        <w:trPr>
          <w:trHeight w:hRule="exact" w:val="822"/>
        </w:trPr>
        <w:tc>
          <w:tcPr>
            <w:tcW w:type="dxa" w:w="16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Guarantees for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enclave operations</w:t>
            </w:r>
          </w:p>
        </w:tc>
        <w:tc>
          <w:tcPr>
            <w:tcW w:type="dxa" w:w="76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18" w:right="2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extends guarantees for projects in IDA-only member countries that (i) are expected to generate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large economic benefits with significant developmental impact in the member country; and (ii) cannot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fully financed out of the country’s own resources, IDA resources, or other concessional financing.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of IBRD support to enclave operations is subject to credit enhancement features that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0"/>
        <w:ind w:left="18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adequately mitigate IBRD’s credit risk.</w:t>
      </w:r>
    </w:p>
    <w:p>
      <w:pPr>
        <w:autoSpaceDN w:val="0"/>
        <w:autoSpaceDE w:val="0"/>
        <w:widowControl/>
        <w:spacing w:line="240" w:lineRule="exact" w:before="268" w:after="0"/>
        <w:ind w:left="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IBRD has entered into the following arrangements, which are treated as financial guarantees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U.S. GAAP: </w:t>
      </w:r>
    </w:p>
    <w:p>
      <w:pPr>
        <w:autoSpaceDN w:val="0"/>
        <w:autoSpaceDE w:val="0"/>
        <w:widowControl/>
        <w:spacing w:line="240" w:lineRule="exact" w:before="120" w:after="0"/>
        <w:ind w:left="2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a Multilateral Development Bank (MDB) Exposure Exchange Agreement (EEA) with the African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Bank (AfDB) and the Inter-American Development Bank (IADB). Under this EEA, each MDB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exchanged credit risk exposure of a reference portfolio supported by underlying loans to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countries. For each MDB, EEAs through diversification benefits, help reduce credit risk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level; improve the risk-weighted capital ratios especially by addressing exposure concentration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concerns; and create lending headroom for individual borrowing countries where MDBs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constrained. The EEA involved the receipt of a guarantee and the provision of a guarantee against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nonpayment in the reference portfolio by each MDB to the other. The guarantee received and the </w:t>
      </w:r>
    </w:p>
    <w:p>
      <w:pPr>
        <w:autoSpaceDN w:val="0"/>
        <w:tabs>
          <w:tab w:pos="676" w:val="left"/>
        </w:tabs>
        <w:autoSpaceDE w:val="0"/>
        <w:widowControl/>
        <w:spacing w:line="224" w:lineRule="exact" w:before="498" w:after="0"/>
        <w:ind w:left="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 provided are two separate transactions: (a) a receipt of an asset for the right to be indemnified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receive risk coverage (recoverable asset) and (b) the provision of a financial guarantee, respectively </w:t>
      </w:r>
      <w:r>
        <w:rPr>
          <w:rFonts w:ascii="ArialMT" w:hAnsi="ArialMT" w:eastAsia="ArialMT"/>
          <w:b w:val="0"/>
          <w:i w:val="0"/>
          <w:color w:val="000000"/>
          <w:sz w:val="20"/>
        </w:rPr>
        <w:t>(see Notes to the Financial Statements, Note D: Loans and Other Exposures).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19: Exposure Exchange Agreements</w:t>
      </w:r>
    </w:p>
    <w:p>
      <w:pPr>
        <w:autoSpaceDN w:val="0"/>
        <w:autoSpaceDE w:val="0"/>
        <w:widowControl/>
        <w:spacing w:line="180" w:lineRule="exact" w:before="64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498"/>
        </w:trPr>
        <w:tc>
          <w:tcPr>
            <w:tcW w:type="dxa" w:w="265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Guarantee </w:t>
            </w:r>
          </w:p>
        </w:tc>
        <w:tc>
          <w:tcPr>
            <w:tcW w:type="dxa" w:w="4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Guarantee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Guarantee </w:t>
            </w:r>
          </w:p>
        </w:tc>
        <w:tc>
          <w:tcPr>
            <w:tcW w:type="dxa" w:w="4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Guarantee </w:t>
            </w:r>
          </w:p>
        </w:tc>
      </w:tr>
      <w:tr>
        <w:trPr>
          <w:trHeight w:hRule="exact" w:val="226"/>
        </w:trPr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24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Received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Provided</w:t>
            </w:r>
          </w:p>
        </w:tc>
        <w:tc>
          <w:tcPr>
            <w:tcW w:type="dxa" w:w="11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Received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Provided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 Exchange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98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IADB</w:t>
            </w:r>
          </w:p>
        </w:tc>
        <w:tc>
          <w:tcPr>
            <w:tcW w:type="dxa" w:w="51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544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5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556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</w:tr>
      <w:tr>
        <w:trPr>
          <w:trHeight w:hRule="exact" w:val="24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AfDB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</w:tr>
      <w:tr>
        <w:trPr>
          <w:trHeight w:hRule="exact" w:val="286"/>
        </w:trPr>
        <w:tc>
          <w:tcPr>
            <w:tcW w:type="dxa" w:w="39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MIGA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1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9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notional</w:t>
            </w:r>
          </w:p>
        </w:tc>
        <w:tc>
          <w:tcPr>
            <w:tcW w:type="dxa" w:w="5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54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5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3,611 </w:t>
            </w:r>
          </w:p>
        </w:tc>
        <w:tc>
          <w:tcPr>
            <w:tcW w:type="dxa" w:w="5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3,609 </w:t>
            </w:r>
          </w:p>
        </w:tc>
      </w:tr>
    </w:tbl>
    <w:p>
      <w:pPr>
        <w:autoSpaceDN w:val="0"/>
        <w:autoSpaceDE w:val="0"/>
        <w:widowControl/>
        <w:spacing w:line="240" w:lineRule="exact" w:before="4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exposure on its guarantees was $7.4 billion as of June 30, 2025 compared to $7.1 billion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2024 (Table 20). Exposure is measured by discounting each guaranteed amount from its next </w:t>
      </w:r>
      <w:r>
        <w:rPr>
          <w:rFonts w:ascii="ArialMT" w:hAnsi="ArialMT" w:eastAsia="ArialMT"/>
          <w:b w:val="0"/>
          <w:i w:val="0"/>
          <w:color w:val="000000"/>
          <w:sz w:val="20"/>
        </w:rPr>
        <w:t>call date.</w:t>
      </w:r>
    </w:p>
    <w:p>
      <w:pPr>
        <w:autoSpaceDN w:val="0"/>
        <w:autoSpaceDE w:val="0"/>
        <w:widowControl/>
        <w:spacing w:line="22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20: Guarantees Exposure</w:t>
      </w:r>
    </w:p>
    <w:p>
      <w:pPr>
        <w:autoSpaceDN w:val="0"/>
        <w:autoSpaceDE w:val="0"/>
        <w:widowControl/>
        <w:spacing w:line="178" w:lineRule="exact" w:before="66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66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5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  <w:tr>
        <w:trPr>
          <w:trHeight w:hRule="exact" w:val="230"/>
        </w:trPr>
        <w:tc>
          <w:tcPr>
            <w:tcW w:type="dxa" w:w="66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(project, policy and enclave)</w:t>
            </w:r>
          </w:p>
        </w:tc>
        <w:tc>
          <w:tcPr>
            <w:tcW w:type="dxa" w:w="52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3,818 </w:t>
            </w:r>
          </w:p>
        </w:tc>
        <w:tc>
          <w:tcPr>
            <w:tcW w:type="dxa" w:w="5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</w:p>
        </w:tc>
      </w:tr>
      <w:tr>
        <w:trPr>
          <w:trHeight w:hRule="exact" w:val="250"/>
        </w:trPr>
        <w:tc>
          <w:tcPr>
            <w:tcW w:type="dxa" w:w="66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 Exchange Agreements</w:t>
            </w:r>
          </w:p>
        </w:tc>
        <w:tc>
          <w:tcPr>
            <w:tcW w:type="dxa" w:w="188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</w:tr>
      <w:tr>
        <w:trPr>
          <w:trHeight w:hRule="exact" w:val="220"/>
        </w:trPr>
        <w:tc>
          <w:tcPr>
            <w:tcW w:type="dxa" w:w="66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7,427 $$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7,097 </w:t>
            </w:r>
          </w:p>
        </w:tc>
      </w:tr>
    </w:tbl>
    <w:p>
      <w:pPr>
        <w:autoSpaceDN w:val="0"/>
        <w:autoSpaceDE w:val="0"/>
        <w:widowControl/>
        <w:spacing w:line="268" w:lineRule="exact" w:before="4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Guarantees received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part of its development activities, IBRD also receives third-party guarantees to enhance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quality of its loan portfolio and increase its lending capacity.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Credit enhancement arrangements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As of June 30, 2025, IBRD had $11.3 billion of outstanding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which bilateral guarantees were received from highly rated member countries or other Multilateral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Banks ($8.9 billion as of 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as of June 30, 2025, IBRD received total notional value of $1.1 billion portfolio guarantees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2 highly rated member countries, under its new Portfolio Guarantee Platform (PGP).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bilateral guarantees and guarantees under the PGP serve as credit enhancements and reduce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IBRD's internal risk capital requirements. Guarantees that are contractually attached to the loan reduce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exposure at risk in computing the loan loss provision. Guarantees that are not contractually attached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loan (including the PGP), are recorded as a recoverable asset and included in Other assets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Sheet (see Notes to the Financial Statements, Note D - Loans and Other Exposures).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also received other forms of credit enhancements for loans outstanding totaling $2.5 billion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June 30, 2025 ($2.0 billion as of June 30, 2024), that protect IBRD against the risk of loss on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in IBRD's portfolio. These credit enhancements are accounted for as derivatives at fair value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included in Other assets - Miscellaneous on IBRD’s Balance Sheet as they do not meet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accounting definition of guarantees.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51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29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</w:tbl>
    <w:p>
      <w:pPr>
        <w:autoSpaceDN w:val="0"/>
        <w:autoSpaceDE w:val="0"/>
        <w:widowControl/>
        <w:spacing w:line="224" w:lineRule="exact" w:before="41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21: Credit Enhancements Received</w:t>
      </w:r>
    </w:p>
    <w:p>
      <w:pPr>
        <w:autoSpaceDN w:val="0"/>
        <w:autoSpaceDE w:val="0"/>
        <w:widowControl/>
        <w:spacing w:line="180" w:lineRule="exact" w:before="64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2"/>
        </w:trPr>
        <w:tc>
          <w:tcPr>
            <w:tcW w:type="dxa" w:w="8036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4018"/>
              <w:gridCol w:w="4018"/>
            </w:tblGrid>
            <w:tr>
              <w:trPr>
                <w:trHeight w:hRule="exact" w:val="192"/>
              </w:trPr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6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As of June 30,</w:t>
                  </w:r>
                </w:p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0" w:right="3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4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Bi-lateral Guarantees Received</w:t>
      </w:r>
    </w:p>
    <w:p>
      <w:pPr>
        <w:autoSpaceDN w:val="0"/>
        <w:autoSpaceDE w:val="0"/>
        <w:widowControl/>
        <w:spacing w:line="180" w:lineRule="exact" w:before="60" w:after="1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Loan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9"/>
        <w:gridCol w:w="3149"/>
        <w:gridCol w:w="3149"/>
      </w:tblGrid>
      <w:tr>
        <w:trPr>
          <w:trHeight w:hRule="exact" w:val="2416"/>
        </w:trPr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2" w:right="27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Iraq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  <w:p>
            <w:pPr>
              <w:autoSpaceDN w:val="0"/>
              <w:autoSpaceDE w:val="0"/>
              <w:widowControl/>
              <w:spacing w:line="180" w:lineRule="exact" w:before="3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Portfolio Guarantees Received</w:t>
            </w:r>
          </w:p>
        </w:tc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60.0" w:type="dxa"/>
            </w:tblPr>
            <w:tblGrid>
              <w:gridCol w:w="2440"/>
              <w:gridCol w:w="2440"/>
            </w:tblGrid>
            <w:tr>
              <w:trPr>
                <w:trHeight w:hRule="exact" w:val="1922"/>
              </w:trPr>
              <w:tc>
                <w:tcPr>
                  <w:tcW w:type="dxa" w:w="1346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72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185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138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324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333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9,685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720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7,057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346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58" w:val="left"/>
                    </w:tabs>
                    <w:autoSpaceDE w:val="0"/>
                    <w:widowControl/>
                    <w:spacing w:line="180" w:lineRule="exact" w:before="16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11,338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36" w:val="left"/>
                    </w:tabs>
                    <w:autoSpaceDE w:val="0"/>
                    <w:widowControl/>
                    <w:spacing w:line="180" w:lineRule="exact" w:before="16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8,850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506"/>
            <w:tcBorders>
              <w:end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1,070 </w:t>
            </w:r>
          </w:p>
        </w:tc>
        <w:tc>
          <w:tcPr>
            <w:tcW w:type="dxa" w:w="1374"/>
            <w:tcBorders>
              <w:start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80" w:lineRule="exact" w:before="26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Other Credit Enhancements Received</w:t>
      </w:r>
    </w:p>
    <w:p>
      <w:pPr>
        <w:autoSpaceDN w:val="0"/>
        <w:autoSpaceDE w:val="0"/>
        <w:widowControl/>
        <w:spacing w:line="180" w:lineRule="exact" w:before="60" w:after="1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Other Credit Enhancements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808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2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40.0" w:type="dxa"/>
            </w:tblPr>
            <w:tblGrid>
              <w:gridCol w:w="2680"/>
              <w:gridCol w:w="2680"/>
            </w:tblGrid>
            <w:tr>
              <w:trPr>
                <w:trHeight w:hRule="exact" w:val="482"/>
              </w:trPr>
              <w:tc>
                <w:tcPr>
                  <w:tcW w:type="dxa" w:w="1346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0" w:after="0"/>
                    <w:ind w:left="72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1,500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0" w:after="0"/>
                    <w:ind w:left="720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1,016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346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48" w:val="left"/>
                    </w:tabs>
                    <w:autoSpaceDE w:val="0"/>
                    <w:widowControl/>
                    <w:spacing w:line="180" w:lineRule="exact" w:before="16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2,500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36" w:val="left"/>
                    </w:tabs>
                    <w:autoSpaceDE w:val="0"/>
                    <w:widowControl/>
                    <w:spacing w:line="180" w:lineRule="exact" w:before="16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2,016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5"/>
        </w:trPr>
        <w:tc>
          <w:tcPr>
            <w:tcW w:type="dxa" w:w="8036"/>
            <w:vMerge w:val="restart"/>
            <w:tcBorders>
              <w:end w:sz="24.0" w:val="single" w:color="#FFFFFF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679"/>
              <w:gridCol w:w="2679"/>
              <w:gridCol w:w="2679"/>
            </w:tblGrid>
            <w:tr>
              <w:trPr>
                <w:trHeight w:hRule="exact" w:val="232"/>
              </w:trPr>
              <w:tc>
                <w:tcPr>
                  <w:tcW w:type="dxa" w:w="5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 Guarantees and Credit Enhancements Received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2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14,908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4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8" w:val="left"/>
              </w:tabs>
              <w:autoSpaceDE w:val="0"/>
              <w:widowControl/>
              <w:spacing w:line="180" w:lineRule="exact" w:before="1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10,866 </w:t>
            </w:r>
          </w:p>
        </w:tc>
      </w:tr>
      <w:tr>
        <w:trPr>
          <w:trHeight w:hRule="exact" w:val="235"/>
        </w:trPr>
        <w:tc>
          <w:tcPr>
            <w:tcW w:type="dxa" w:w="4723"/>
            <w:vMerge/>
            <w:tcBorders>
              <w:end w:sz="24.0" w:val="single" w:color="#FFFFFF"/>
              <w:bottom w:sz="8.0" w:val="single" w:color="#929292"/>
            </w:tcBorders>
          </w:tcPr>
          <w:p/>
        </w:tc>
        <w:tc>
          <w:tcPr>
            <w:tcW w:type="dxa" w:w="1344"/>
            <w:tcBorders>
              <w:start w:sz="24.0" w:val="single" w:color="#FFFFFF"/>
              <w:top w:sz="8.0" w:val="single" w:color="#6C6C6C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2" w:lineRule="exact" w:before="29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Grant Making Facilities</w:t>
      </w:r>
    </w:p>
    <w:p>
      <w:pPr>
        <w:autoSpaceDN w:val="0"/>
        <w:autoSpaceDE w:val="0"/>
        <w:widowControl/>
        <w:spacing w:line="240" w:lineRule="exact" w:before="1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Grant Making Facilities (GMFs) are funded by IBRD's contributions to specific trust funds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complementary to IBRD’s work. IBRD deployed $17 million under this program in FY25 ($17 million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FY24). These amounts are reflected in Contributions to Special Programs in IBRD’s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Income, after IDA’s share is determined in accordance with the cost sharing ratio.</w:t>
      </w:r>
    </w:p>
    <w:p>
      <w:pPr>
        <w:autoSpaceDN w:val="0"/>
        <w:autoSpaceDE w:val="0"/>
        <w:widowControl/>
        <w:spacing w:line="312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Externally-Funded Activities </w:t>
      </w:r>
    </w:p>
    <w:p>
      <w:pPr>
        <w:autoSpaceDN w:val="0"/>
        <w:autoSpaceDE w:val="0"/>
        <w:widowControl/>
        <w:spacing w:line="240" w:lineRule="exact" w:before="1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Mobilization of external funds from third-party partners includes trust funds. Additional external funds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reimbursable funds and revenues from fee-based services to member countries, which are 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EFOs (Externally Financed Outputs), RAS (Reimbursable Advisory Services), and other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 and services, including RAMP. </w:t>
      </w:r>
    </w:p>
    <w:p>
      <w:pPr>
        <w:autoSpaceDN w:val="0"/>
        <w:autoSpaceDE w:val="0"/>
        <w:widowControl/>
        <w:spacing w:line="268" w:lineRule="exact" w:before="12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Trust Funds</w:t>
      </w:r>
    </w:p>
    <w:p>
      <w:pPr>
        <w:autoSpaceDN w:val="0"/>
        <w:autoSpaceDE w:val="0"/>
        <w:widowControl/>
        <w:spacing w:line="240" w:lineRule="exact" w:before="11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Trust Funds receive money from donors that provide development solutions that serve member recipients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donors. Trust funded partnerships often serve as a platform for IBRD and the partners to access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WBG’s diverse technical and financial resources, and achieve development goals whose complexity,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scale, and scope exceed any individual partner’s capabilities. IBRD’s roles and responsibilities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managing trust funds depend on the type of fund, outlined as follows: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Bank-executed activities for trust funds: IBRD, alone or jointly with one or more of its affiliated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organizations, manages the funds and implements the activities financed. These trust funds support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work program. IBRD disbursed $604 million in FY25 ($612 million in FY24) of trust fund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 funds, which was included in Non-interest expenses, Administrative in IBRD's Statements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Income with corresponding revenue included in Non-interest revenue, Revenue from externally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funded activities (Table 6).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Recipient-executed activities for trust funds: Funds are provided to a third party, normally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form of project grant financing, and are supervised by IBRD.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80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54"/>
        </w:trPr>
        <w:tc>
          <w:tcPr>
            <w:tcW w:type="dxa" w:w="3970"/>
            <w:gridSpan w:val="2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  <w:tr>
        <w:trPr>
          <w:trHeight w:hRule="exact" w:val="590"/>
        </w:trPr>
        <w:tc>
          <w:tcPr>
            <w:tcW w:type="dxa" w:w="39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040"/>
            <w:gridSpan w:val="2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Financial Intermediary Funds (FIFs): IBRD, as trustee, administrator, or treasury manager, offers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55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 administrative or financial services with a limited operational role. Arrangements include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of debt service trust funds, fiscal agency funds and other more specialized limited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 management roles.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a cost recovery framework for trust funds, to recover the costs of performing agreed roles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administering trust funds, and is guided by principles of transparency, fairness, simplification,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standardization, predictability and consistent treatment across all trust fund donors.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continues to implement measures to improve planning, support sustainability and enhance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>alignment of external funds with mission priorities through greater use of umbrella trust fund programs.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IBRD’s share of fees from trust fund administration was $91 million ($99 million in FY24),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is included in Revenue from externally funded activities (Table 3) on the Reported basis. On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Allocable income basis, this amount is part of Net non-interest expenses (Table 6). See Notes to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Statements, Note L: Trust Funds Administration and Other Services. The decrease in fees was mainly </w:t>
      </w:r>
      <w:r>
        <w:rPr>
          <w:rFonts w:ascii="ArialMT" w:hAnsi="ArialMT" w:eastAsia="ArialMT"/>
          <w:b w:val="0"/>
          <w:i w:val="0"/>
          <w:color w:val="000000"/>
          <w:sz w:val="20"/>
        </w:rPr>
        <w:t>driven by lower disbursements to the trust funds.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Reimbursable Advisory Services (RAS)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most of IBRD’s advisory and analytical work is financed by its own budget or donor contributions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(e.g., Trust Funds), clients may also pay for services. IBRD offers technical assistance and other advisory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 to its member countries, in connection with, and independent of, lending operations. Available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 include, for example, assigning qualified professionals to survey developmental opportunities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countries; analyzing member countries fiscal, economic, and developmental environments;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helping members devise coordinated development programs; and improving their asset and 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techniques. In FY25, IBRD earned revenue of $49 million ($47 million in FY24) from RAS,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is included in Revenue from externally funded activities (Table 3) on the Reported basis. On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>Allocable income basis, this amount is part of Net non-interest expenses (Table 6).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Externally Financed Outputs (EFOs) 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donors the ability to contribute to specific projects and programs. EFO contributions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recorded as restricted revenue when received because they are grants for contractually specified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purposes. In FY25, IBRD had $5 million of restricted revenue, compared with $8 million in FY24,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included in Net non-interest expenses – reported basis in Table 6.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Restrictions are released once the funds are used for the purposes specified by donors. In FY25, there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a release of $8 million ($8 million in FY24).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Other Financial Products and Services</w:t>
      </w:r>
    </w:p>
    <w:p>
      <w:pPr>
        <w:autoSpaceDN w:val="0"/>
        <w:autoSpaceDE w:val="0"/>
        <w:widowControl/>
        <w:spacing w:line="246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Managing Financial Risks for Clients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helps member countries build resilience by facilitating access to risk management solutions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mitigate the financial effects of currency, interest rate, and commodity price volatility, disasters,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extreme weather events.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388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</w:tbl>
    <w:p>
      <w:pPr>
        <w:autoSpaceDN w:val="0"/>
        <w:autoSpaceDE w:val="0"/>
        <w:widowControl/>
        <w:spacing w:line="224" w:lineRule="exact" w:before="3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Box 4 below lists some financial solutions and disaster risk financing instruments IBRD offers:</w:t>
      </w:r>
    </w:p>
    <w:p>
      <w:pPr>
        <w:autoSpaceDN w:val="0"/>
        <w:autoSpaceDE w:val="0"/>
        <w:widowControl/>
        <w:spacing w:line="224" w:lineRule="exact" w:before="136" w:after="17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4: Financing Instruments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446"/>
      </w:tblGrid>
      <w:tr>
        <w:trPr>
          <w:trHeight w:hRule="exact" w:val="7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Hedging Transactions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446"/>
      </w:tblGrid>
      <w:tr>
        <w:trPr>
          <w:trHeight w:hRule="exact" w:val="60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Interest Rate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446"/>
      </w:tblGrid>
      <w:tr>
        <w:trPr>
          <w:trHeight w:hRule="exact" w:val="60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Currency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1.9999999999999" w:type="dxa"/>
      </w:tblPr>
      <w:tblGrid>
        <w:gridCol w:w="9446"/>
      </w:tblGrid>
      <w:tr>
        <w:trPr>
          <w:trHeight w:hRule="exact" w:val="58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Commodity Price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6" w:right="1364" w:bottom="288" w:left="1430" w:header="720" w:footer="720" w:gutter="0"/>
          <w:cols w:num="2" w:equalWidth="0">
            <w:col w:w="4698" w:space="0"/>
            <w:col w:w="47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2.0000000000005" w:type="dxa"/>
      </w:tblPr>
      <w:tblGrid>
        <w:gridCol w:w="9446"/>
      </w:tblGrid>
      <w:tr>
        <w:trPr>
          <w:trHeight w:hRule="exact" w:val="7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6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Disaster Risk Financing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2.0000000000005" w:type="dxa"/>
      </w:tblPr>
      <w:tblGrid>
        <w:gridCol w:w="9446"/>
      </w:tblGrid>
      <w:tr>
        <w:trPr>
          <w:trHeight w:hRule="exact" w:val="60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Catastrophe Derivatives and Bonds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2.0000000000005" w:type="dxa"/>
      </w:tblPr>
      <w:tblGrid>
        <w:gridCol w:w="9446"/>
      </w:tblGrid>
      <w:tr>
        <w:trPr>
          <w:trHeight w:hRule="exact" w:val="60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Insurance and Reinsurance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000000000009" w:type="dxa"/>
      </w:tblPr>
      <w:tblGrid>
        <w:gridCol w:w="9446"/>
      </w:tblGrid>
      <w:tr>
        <w:trPr>
          <w:trHeight w:hRule="exact" w:val="580"/>
        </w:trPr>
        <w:tc>
          <w:tcPr>
            <w:tcW w:type="dxa" w:w="36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Regional Pooling Facilities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84"/>
        <w:ind w:left="0" w:right="0"/>
      </w:pPr>
    </w:p>
    <w:p>
      <w:pPr>
        <w:sectPr>
          <w:type w:val="nextColumn"/>
          <w:pgSz w:w="12240" w:h="15840"/>
          <w:pgMar w:top="216" w:right="1364" w:bottom="288" w:left="1430" w:header="720" w:footer="720" w:gutter="0"/>
          <w:cols w:num="2" w:equalWidth="0">
            <w:col w:w="4698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also intermediates the following risk management transactions for clients: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Affiliated Organization: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 assist IDA with its asset/liability management IBRD executed currency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forward contracts on its behalf. There were no open trades as of June 30, 2025.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Unaffiliated Organization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To assist the International Finance Facility for Immunization (IFFIm) with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asset/liability management strategy, IBRD executes currency and interest rate swaps on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behalf. In addition, IBRD, as Treasury Manager, is a counterparty to IFFIm and enters into offsetting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swaps with market counterparties. During FY25, IBRD did not execute any swaps under this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(See Section IX: Risk Management, for a detailed discussion of IBRD’s risk mitigation of these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transactions).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Asset Management 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Reserves Advisory and Management Partnership (RAMP) provides services that build clients’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to support the sound management of their official sector assets. Clients include central banks,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sovereign wealth funds, national pension funds, and supranational organizations. RAMP helps clients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upgrade their asset management capabilities, including portfolio and risk management, operational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infrastructure, and human resources capacity. Under most of these arrangements, IBRD is responsible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managing a portion of the institution’s assets and, in return, receives a fee based on the average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portfolio managed (Table 22). The fees earned are used to provide training and capacity-building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services. In addition to RAMP, IBRD invests and manages investments on behalf of IDA, MIGA, and trust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funds; those investments are not included in IBRD’s assets. 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22: RAMP - Assets and Revenues</w:t>
      </w:r>
    </w:p>
    <w:p>
      <w:pPr>
        <w:autoSpaceDN w:val="0"/>
        <w:autoSpaceDE w:val="0"/>
        <w:widowControl/>
        <w:spacing w:line="180" w:lineRule="exact" w:before="64" w:after="4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90"/>
        </w:trPr>
        <w:tc>
          <w:tcPr>
            <w:tcW w:type="dxa" w:w="47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28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70"/>
        </w:trPr>
        <w:tc>
          <w:tcPr>
            <w:tcW w:type="dxa" w:w="47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Assets managed under RAMP</w:t>
            </w:r>
          </w:p>
        </w:tc>
        <w:tc>
          <w:tcPr>
            <w:tcW w:type="dxa" w:w="28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27,772 </w:t>
            </w:r>
          </w:p>
        </w:tc>
        <w:tc>
          <w:tcPr>
            <w:tcW w:type="dxa" w:w="3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24,851 </w:t>
            </w:r>
          </w:p>
        </w:tc>
      </w:tr>
      <w:tr>
        <w:trPr>
          <w:trHeight w:hRule="exact" w:val="300"/>
        </w:trPr>
        <w:tc>
          <w:tcPr>
            <w:tcW w:type="dxa" w:w="47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RAMP </w:t>
            </w:r>
          </w:p>
        </w:tc>
        <w:tc>
          <w:tcPr>
            <w:tcW w:type="dxa" w:w="28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noted in the discussion of Trust Fund Activities above, IBRD, alone or jointly with one or more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affiliated organizations, administers funds restricted for specific uses on the donors’ behalf.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is governed by agreements with donors, who include members, their agencies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entities. These funds are held in trust and are not included on IBRD’s Balance Sheets, except for $575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of undisbursed third-party contributions made to trust funds executed by IBRD, individually or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affiliated organizations, which are recognized on the Balance Sheets. The funds held in trust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as administrator and trustee totaled $64.3 billion in FY25, of which $0.5 billion ($0.1 billion in FY24)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relates to IBRD’s own contributions to these trust funds (Table 23).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00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type w:val="continuous"/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0"/>
        <w:gridCol w:w="4700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V: Other Development Activities </w:t>
            </w:r>
          </w:p>
        </w:tc>
      </w:tr>
    </w:tbl>
    <w:p>
      <w:pPr>
        <w:autoSpaceDN w:val="0"/>
        <w:autoSpaceDE w:val="0"/>
        <w:widowControl/>
        <w:spacing w:line="224" w:lineRule="exact" w:before="41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23: Funds Held in Trust by IBRD</w:t>
      </w:r>
    </w:p>
    <w:p>
      <w:pPr>
        <w:autoSpaceDN w:val="0"/>
        <w:autoSpaceDE w:val="0"/>
        <w:widowControl/>
        <w:spacing w:line="180" w:lineRule="exact" w:before="64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244"/>
        </w:trPr>
        <w:tc>
          <w:tcPr>
            <w:tcW w:type="dxa" w:w="72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3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35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  <w:tr>
        <w:trPr>
          <w:trHeight w:hRule="exact" w:val="194"/>
        </w:trPr>
        <w:tc>
          <w:tcPr>
            <w:tcW w:type="dxa" w:w="72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</w:t>
            </w:r>
          </w:p>
        </w:tc>
        <w:tc>
          <w:tcPr>
            <w:tcW w:type="dxa" w:w="32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 </w:t>
            </w:r>
          </w:p>
        </w:tc>
        <w:tc>
          <w:tcPr>
            <w:tcW w:type="dxa" w:w="356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258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Jointly executed with affiliated organizations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1,059 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1,085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Recipient-executed activities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6,035 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3,330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Financial intermediary funds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48,478 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29,826 </w:t>
            </w:r>
          </w:p>
        </w:tc>
      </w:tr>
      <w:tr>
        <w:trPr>
          <w:trHeight w:hRule="exact" w:val="286"/>
        </w:trPr>
        <w:tc>
          <w:tcPr>
            <w:tcW w:type="dxa" w:w="72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Execution not yet assigned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8,468 </w:t>
            </w:r>
          </w:p>
        </w:tc>
        <w:tc>
          <w:tcPr>
            <w:tcW w:type="dxa" w:w="18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7,807 </w:t>
            </w:r>
          </w:p>
        </w:tc>
      </w:tr>
      <w:tr>
        <w:trPr>
          <w:trHeight w:hRule="exact" w:val="220"/>
        </w:trPr>
        <w:tc>
          <w:tcPr>
            <w:tcW w:type="dxa" w:w="72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fiduciary assets</w:t>
            </w:r>
          </w:p>
        </w:tc>
        <w:tc>
          <w:tcPr>
            <w:tcW w:type="dxa" w:w="3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64,283 </w:t>
            </w:r>
          </w:p>
        </w:tc>
        <w:tc>
          <w:tcPr>
            <w:tcW w:type="dxa" w:w="3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42,306 </w:t>
            </w:r>
          </w:p>
        </w:tc>
      </w:tr>
    </w:tbl>
    <w:p>
      <w:pPr>
        <w:autoSpaceDN w:val="0"/>
        <w:autoSpaceDE w:val="0"/>
        <w:widowControl/>
        <w:spacing w:line="178" w:lineRule="exact" w:before="2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a.These represent assets held in trust for which the determination as to the type of execution is yet to be finalized.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132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33</w:t>
      </w: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Investment Activities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VI: Investment Activities </w:t>
      </w:r>
    </w:p>
    <w:p>
      <w:pPr>
        <w:autoSpaceDN w:val="0"/>
        <w:autoSpaceDE w:val="0"/>
        <w:widowControl/>
        <w:spacing w:line="240" w:lineRule="exact" w:before="21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held by IBRD are designated as trading and used mostly for liquidity purposes.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2025, Investments - Trading totaled $102.7 billion ($82.7 billion as of June 30, 2024). See Note </w:t>
      </w:r>
      <w:r>
        <w:rPr>
          <w:rFonts w:ascii="ArialMT" w:hAnsi="ArialMT" w:eastAsia="ArialMT"/>
          <w:b w:val="0"/>
          <w:i w:val="0"/>
          <w:color w:val="000000"/>
          <w:sz w:val="20"/>
        </w:rPr>
        <w:t>C—Investments in the Notes to the Financial Statements.</w:t>
      </w:r>
    </w:p>
    <w:p>
      <w:pPr>
        <w:autoSpaceDN w:val="0"/>
        <w:autoSpaceDE w:val="0"/>
        <w:widowControl/>
        <w:spacing w:line="312" w:lineRule="exact" w:before="28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Liquid Asset Portfolio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 raised through IBRD’s borrowing activities that have not yet been deployed for lending are held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liquid asset portfolio to provide liquidity for IBRD’s operations. The portfolio is managed with the goal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ensuring sufficient cash flows to meet all of IBRD’s financial commitments. While it seeks a reasonable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return on this portfolio, IBRD restricts its liquid assets to high-quality investments, consistent with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objective of prioritizing principal protection over yield. Liquid assets are managed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conservatively and are primarily held against disruptions in IBRD’s access to capital markets.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liquid assets are held mainly in highly rated, fixed-income instruments (see Box 7: Eligibility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Criteria for IBRD's Investments) and include the following: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Government, agency, and corporate obligations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Time deposits and other unconditional obligations of banks and financial institutions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Asset-backed securities (including agency mortgage-backed securities)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Currency, interest rate and other risk management derivatives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Exchange-traded options and futures</w:t>
      </w:r>
    </w:p>
    <w:p>
      <w:pPr>
        <w:autoSpaceDN w:val="0"/>
        <w:autoSpaceDE w:val="0"/>
        <w:widowControl/>
        <w:spacing w:line="222" w:lineRule="exact" w:before="3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24: Liquid Asset Portfolio by Asset Class</w:t>
      </w:r>
    </w:p>
    <w:p>
      <w:pPr>
        <w:autoSpaceDN w:val="0"/>
        <w:autoSpaceDE w:val="0"/>
        <w:widowControl/>
        <w:spacing w:line="180" w:lineRule="exact" w:before="84" w:after="6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68"/>
        </w:trPr>
        <w:tc>
          <w:tcPr>
            <w:tcW w:type="dxa" w:w="3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3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Liquid asset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24"/>
        </w:trPr>
        <w:tc>
          <w:tcPr>
            <w:tcW w:type="dxa" w:w="6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3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52,279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55 %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45,984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58 %</w:t>
            </w:r>
          </w:p>
        </w:tc>
      </w:tr>
      <w:tr>
        <w:trPr>
          <w:trHeight w:hRule="exact" w:val="240"/>
        </w:trPr>
        <w:tc>
          <w:tcPr>
            <w:tcW w:type="dxa" w:w="6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41,626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30,701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39 </w:t>
            </w:r>
          </w:p>
        </w:tc>
      </w:tr>
      <w:tr>
        <w:trPr>
          <w:trHeight w:hRule="exact" w:val="254"/>
        </w:trPr>
        <w:tc>
          <w:tcPr>
            <w:tcW w:type="dxa" w:w="61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&amp; Others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2,138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2,107 </w:t>
            </w:r>
          </w:p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</w:t>
            </w:r>
          </w:p>
        </w:tc>
      </w:tr>
      <w:tr>
        <w:trPr>
          <w:trHeight w:hRule="exact" w:val="220"/>
        </w:trPr>
        <w:tc>
          <w:tcPr>
            <w:tcW w:type="dxa" w:w="61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96,043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78,792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240" w:lineRule="exact" w:before="50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keeps liquidity volumes above a Prudential Minimum which is defined by its financial policies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80% of the twelve-month Target Liquidity Level. The twelve-month Target Liquidity Level is calculated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before the end of each fiscal year based on Management’s estimates of projected net loan disbursements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at the time of projection and debt-service for the upcoming fiscal year. This twelve-month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 becomes the target for the upcoming fiscal year and the Prudential Minimum is 80%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>target (see Section IX: Risk Management, for details of how IBRD manages liquidity risk).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liquid asset portfolio is composed largely of assets denominated in, or swapped into, U.S. dollars,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net exposure to short-term interest rates after derivatives. The portfolio has an average duration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less than three months, and the debt funding these liquid assets has a similar currency and duration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profile. This is a direct result of IBRD’s exchange-rate and interest-rate-risk-management policies (see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Section IX: Risk Management), combined with appropriate investment guidelines (Box 7).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maturity profile of IBRD’s liquid asset portfolio reflects a high degree of liquidity. As of June 30, 2025,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$77.9 billion (approximately 81% of total volume) was due to mature within six months, of which $24.3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 was expected to mature within one month.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IBRD’s total return on the liquid asset portfolio was 5.19%, a marginal decrease compared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FY24 total return of 5.81%, and consistent with the decreasing interest rate environment. In addition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gross investment returns relative to their benchmarks, IBRD also monitors overall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investment portfolio, net of funding costs. In FY25, IBRD had $65 million of revenue, net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funding costs on the investment portfolio as discussed in Section III: Financial Results.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50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Investment Activities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Other Investments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 liquid asset portfolio, the investment portfolio also includes holdings related to the PEBP,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PCRF, and other investments (see Note C—Investments). Table 25 below summarizes the net carrying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of other investments: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25: Net Carrying Value of Other Investments</w:t>
      </w:r>
    </w:p>
    <w:p>
      <w:pPr>
        <w:autoSpaceDN w:val="0"/>
        <w:autoSpaceDE w:val="0"/>
        <w:widowControl/>
        <w:spacing w:line="180" w:lineRule="exact" w:before="64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A6A6A6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22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As of June 30,</w:t>
            </w:r>
          </w:p>
        </w:tc>
        <w:tc>
          <w:tcPr>
            <w:tcW w:type="dxa" w:w="6520"/>
            <w:gridSpan w:val="3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2025</w:t>
            </w:r>
          </w:p>
        </w:tc>
        <w:tc>
          <w:tcPr>
            <w:tcW w:type="dxa" w:w="5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</w:tr>
      <w:tr>
        <w:trPr>
          <w:trHeight w:hRule="exact" w:val="200"/>
        </w:trPr>
        <w:tc>
          <w:tcPr>
            <w:tcW w:type="dxa" w:w="22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</w:t>
            </w:r>
          </w:p>
        </w:tc>
        <w:tc>
          <w:tcPr>
            <w:tcW w:type="dxa" w:w="53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3,252 </w:t>
            </w:r>
          </w:p>
        </w:tc>
        <w:tc>
          <w:tcPr>
            <w:tcW w:type="dxa" w:w="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2,939 </w:t>
            </w:r>
          </w:p>
        </w:tc>
      </w:tr>
      <w:tr>
        <w:trPr>
          <w:trHeight w:hRule="exact" w:val="280"/>
        </w:trPr>
        <w:tc>
          <w:tcPr>
            <w:tcW w:type="dxa" w:w="22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PCRF and others</w:t>
            </w:r>
          </w:p>
        </w:tc>
        <w:tc>
          <w:tcPr>
            <w:tcW w:type="dxa" w:w="6520"/>
            <w:gridSpan w:val="3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1,803 </w:t>
            </w:r>
          </w:p>
        </w:tc>
        <w:tc>
          <w:tcPr>
            <w:tcW w:type="dxa" w:w="5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 </w:t>
            </w:r>
          </w:p>
        </w:tc>
      </w:tr>
      <w:tr>
        <w:trPr>
          <w:trHeight w:hRule="exact" w:val="220"/>
        </w:trPr>
        <w:tc>
          <w:tcPr>
            <w:tcW w:type="dxa" w:w="22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3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5,055 </w:t>
            </w:r>
          </w:p>
        </w:tc>
        <w:tc>
          <w:tcPr>
            <w:tcW w:type="dxa" w:w="4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3,888 </w:t>
            </w:r>
          </w:p>
        </w:tc>
      </w:tr>
      <w:tr>
        <w:trPr>
          <w:trHeight w:hRule="exact" w:val="11404"/>
        </w:trPr>
        <w:tc>
          <w:tcPr>
            <w:tcW w:type="dxa" w:w="22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0"/>
            <w:gridSpan w:val="3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190" w:after="0"/>
              <w:ind w:left="10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5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19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6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VII: Borrowing Activities 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VII: Borrowing Activities </w:t>
      </w:r>
    </w:p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been issuing bonds in the international capital markets since 1947. The proceeds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bonds support IBRD’s lending operations which are aimed at promoting sustainable development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borrowing member countries.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Borrowings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borrows at attractive rates underpinned by its strong financial profile and shareholder support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together are the basis for its triple-A credit rating. As a result of its financial strength and triple-A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rating, IBRD is recognized as a premier borrower and its bonds and notes are viewed as a high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quality investment in the global capital markets.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the proceeds to finance development activities in creditworthy middle-income and low-income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eligible to borrow from IBRD at market-based rates. Funding raised in any given year is used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operations, including loan disbursements, replacement of maturing debt, and prefunding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lending activities. IBRD determines its funding requirements based on a three-year rolling horizon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 about one-third of the projected amount in the current fiscal year.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discussed in Section I: Overview, IBRD uses currency and interest rate derivatives in connection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borrowings for asset and liability management purposes. New medium and long-term funding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swapped into variable-rate U.S. dollar instruments, with conversion to other currencies carried 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subsequently, as needed. This is in accordance with loan funding requirements, so that IBRD 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minimize interest rate and currency risk. IBRD also uses derivatives to manage the re-pricing risks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loans and borrowings. Further discussion on how IBRD manages this risk is included in Section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IX: Risk Management.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issues short-term debt (maturing in one year or less), and medium- and long-term debt (with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maturity greater than one year). In FY25, IBRD raised a total of $64.5 billion of medium- and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(Table 28). From time to time, IBRD exercises the call option in its callable bond issues; it may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repurchase its debt to meet other operational or strategic needs such as providing liquidity to its investors </w:t>
      </w:r>
      <w:r>
        <w:rPr>
          <w:rFonts w:ascii="ArialMT" w:hAnsi="ArialMT" w:eastAsia="ArialMT"/>
          <w:b w:val="0"/>
          <w:i w:val="0"/>
          <w:color w:val="000000"/>
          <w:sz w:val="20"/>
        </w:rPr>
        <w:t>(Table 28).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borrowings totaled $306.2 billion, $44.4 billion higher than June 30, 2024 (see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Note E: Borrowings in the Notes to the Financial Statements). The increase was primarily due to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>medium-and long-term debt issuances during the year (Table 28).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26 illustrates the impact of derivatives on the currency composition of IBRD's borrowing portfolio. </w:t>
      </w:r>
    </w:p>
    <w:p>
      <w:pPr>
        <w:autoSpaceDN w:val="0"/>
        <w:autoSpaceDE w:val="0"/>
        <w:widowControl/>
        <w:spacing w:line="212" w:lineRule="exact" w:before="2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Table 26: Effect of Derivatives on Currency Composition of the Borrowing Portfolio – June 30, 2025</w:t>
      </w:r>
    </w:p>
    <w:p>
      <w:pPr>
        <w:autoSpaceDN w:val="0"/>
        <w:autoSpaceDE w:val="0"/>
        <w:widowControl/>
        <w:spacing w:line="180" w:lineRule="exact" w:before="80" w:after="68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2"/>
        </w:trPr>
        <w:tc>
          <w:tcPr>
            <w:tcW w:type="dxa" w:w="517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 2025</w:t>
            </w:r>
          </w:p>
        </w:tc>
        <w:tc>
          <w:tcPr>
            <w:tcW w:type="dxa" w:w="2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Borrowings excluding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Borrowings including </w:t>
            </w:r>
          </w:p>
        </w:tc>
      </w:tr>
      <w:tr>
        <w:trPr>
          <w:trHeight w:hRule="exact" w:val="218"/>
        </w:trPr>
        <w:tc>
          <w:tcPr>
            <w:tcW w:type="dxa" w:w="3149"/>
            <w:vMerge/>
            <w:tcBorders>
              <w:bottom w:sz="8.0" w:val="single" w:color="#000000"/>
            </w:tcBorders>
          </w:tcPr>
          <w:p/>
        </w:tc>
        <w:tc>
          <w:tcPr>
            <w:tcW w:type="dxa" w:w="2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</w:t>
            </w:r>
          </w:p>
        </w:tc>
        <w:tc>
          <w:tcPr>
            <w:tcW w:type="dxa" w:w="1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</w:t>
            </w:r>
          </w:p>
        </w:tc>
      </w:tr>
      <w:tr>
        <w:trPr>
          <w:trHeight w:hRule="exact" w:val="222"/>
        </w:trPr>
        <w:tc>
          <w:tcPr>
            <w:tcW w:type="dxa" w:w="51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  <w:tc>
          <w:tcPr>
            <w:tcW w:type="dxa" w:w="2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62 %</w:t>
            </w:r>
          </w:p>
        </w:tc>
        <w:tc>
          <w:tcPr>
            <w:tcW w:type="dxa" w:w="1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86 %</w:t>
            </w:r>
          </w:p>
        </w:tc>
      </w:tr>
      <w:tr>
        <w:trPr>
          <w:trHeight w:hRule="exact" w:val="24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2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58"/>
        </w:trPr>
        <w:tc>
          <w:tcPr>
            <w:tcW w:type="dxa" w:w="51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2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 </w:t>
            </w:r>
          </w:p>
        </w:tc>
        <w:tc>
          <w:tcPr>
            <w:tcW w:type="dxa" w:w="1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</w:tr>
      <w:tr>
        <w:trPr>
          <w:trHeight w:hRule="exact" w:val="220"/>
        </w:trPr>
        <w:tc>
          <w:tcPr>
            <w:tcW w:type="dxa" w:w="51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0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240" w:lineRule="exact" w:before="59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IBRD’s total borrowings, after the effects of derivatives, carried variable rates 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weighted average cost of 4.4% (5.5% as of June 30, 2024). The decrease in the weighted average cost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prior year reflects the decrease in the short-term market interest rates during the year. This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resulted in a decrease in IBRD’s weighted average loan rates, which are also based on IBRD’s funding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cost. IBRD’s lending spread was therefore not impacted by the decrease in short-term interest 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>(Figure 2).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29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VII: Borrowing Activities 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Short-Term Borrowings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27 summarizes IBRD’s short-term borrowings, which mainly include discount notes, securities lent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or sold under securities lending and repurchase agreements, and other short-term borrowings.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Discount Notes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short-term borrowings consist mainly of discount notes issued in U.S. dollars. These borrowings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a weighted average maturity of approximately 136 days.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Securities Lent or Sold under Repurchase Agreements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short-term borrowings are secured mainly by highly-rated collateral in the form of securities,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including government-issued debt, and have an average maturity of less than 30 days.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Other Short-Term Borrowings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short-term borrowings are mostly money market instruments that have maturities of one year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less. 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27: Short-Term Borrowings</w:t>
      </w:r>
    </w:p>
    <w:p>
      <w:pPr>
        <w:autoSpaceDN w:val="0"/>
        <w:autoSpaceDE w:val="0"/>
        <w:widowControl/>
        <w:spacing w:line="180" w:lineRule="exact" w:before="64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8"/>
        <w:gridCol w:w="3148"/>
        <w:gridCol w:w="3148"/>
      </w:tblGrid>
      <w:tr>
        <w:trPr>
          <w:trHeight w:hRule="exact" w:val="232"/>
        </w:trPr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2" w:lineRule="exact" w:before="1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Discount notes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4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daily balance during the fiscal year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13,166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10,374 </w:t>
            </w:r>
          </w:p>
        </w:tc>
      </w:tr>
      <w:tr>
        <w:trPr>
          <w:trHeight w:hRule="exact" w:val="276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4.72 %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5.39 %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Securities lent or sold under repurchase agreements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4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monthly balance during the fiscal year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449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723 </w:t>
            </w:r>
          </w:p>
        </w:tc>
      </w:tr>
      <w:tr>
        <w:trPr>
          <w:trHeight w:hRule="exact" w:val="276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4.88 %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1.24 %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Other short-term borrowings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4"/>
        </w:trPr>
        <w:tc>
          <w:tcPr>
            <w:tcW w:type="dxa" w:w="4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daily balance during the fiscal year</w:t>
            </w:r>
          </w:p>
        </w:tc>
        <w:tc>
          <w:tcPr>
            <w:tcW w:type="dxa" w:w="202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7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486"/>
        </w:trPr>
        <w:tc>
          <w:tcPr>
            <w:tcW w:type="dxa" w:w="45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0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4.69 %</w:t>
            </w:r>
          </w:p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0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5.44 %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At amortized cost which approximates fair value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securities related to PEBP and PCRF.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579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37</w:t>
      </w:r>
    </w:p>
    <w:p>
      <w:pPr>
        <w:sectPr>
          <w:pgSz w:w="12240" w:h="15840"/>
          <w:pgMar w:top="216" w:right="1366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VII: Borrowing Activities 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Medium- and Long-Term Borrowings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medium- and long-term debt raised directly by IBRD in the capital markets amounted to $64.0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with an average maturity to first call of 5.5 years (Table 28). The increase in medium- and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>debt raised in FY25 is primarily due to higher debt servicing and refinancing requirements.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IBRD started issuing debt in the form of perpetual hybrid capital. As of June 30, 2025,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amount raised was $0.5 billion.</w:t>
      </w:r>
    </w:p>
    <w:p>
      <w:pPr>
        <w:autoSpaceDN w:val="0"/>
        <w:autoSpaceDE w:val="0"/>
        <w:widowControl/>
        <w:spacing w:line="224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28: Funding Operations Indicators</w:t>
      </w:r>
    </w:p>
    <w:p>
      <w:pPr>
        <w:autoSpaceDN w:val="0"/>
        <w:autoSpaceDE w:val="0"/>
        <w:widowControl/>
        <w:spacing w:line="180" w:lineRule="exact" w:before="64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maturities which are in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6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For the fiscal year ended June 30,</w:t>
            </w:r>
          </w:p>
        </w:tc>
        <w:tc>
          <w:tcPr>
            <w:tcW w:type="dxa" w:w="13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Issuances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2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raised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64,545 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52,380 </w:t>
            </w:r>
          </w:p>
        </w:tc>
      </w:tr>
      <w:tr>
        <w:trPr>
          <w:trHeight w:hRule="exact" w:val="240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Average maturity to first call date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5.5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5.9 </w:t>
            </w:r>
          </w:p>
        </w:tc>
      </w:tr>
      <w:tr>
        <w:trPr>
          <w:trHeight w:hRule="exact" w:val="288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Average maturity to contractual final maturity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8.0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6.8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Maturities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2"/>
        </w:trPr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matured</w:t>
            </w:r>
          </w:p>
        </w:tc>
        <w:tc>
          <w:tcPr>
            <w:tcW w:type="dxa" w:w="2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33,879 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29,786 </w:t>
            </w:r>
          </w:p>
        </w:tc>
      </w:tr>
      <w:tr>
        <w:trPr>
          <w:trHeight w:hRule="exact" w:val="288"/>
        </w:trPr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Average maturity of debt matured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6.4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4.4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Called/Repurchased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482"/>
        </w:trPr>
        <w:tc>
          <w:tcPr>
            <w:tcW w:type="dxa" w:w="51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called/repurchased</w:t>
            </w:r>
          </w:p>
        </w:tc>
        <w:tc>
          <w:tcPr>
            <w:tcW w:type="dxa" w:w="19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4,676 </w:t>
            </w:r>
          </w:p>
        </w:tc>
        <w:tc>
          <w:tcPr>
            <w:tcW w:type="dxa" w:w="5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1,960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Expected life of IBRD’s bonds are generally between first call date and the contractual final maturity.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hybrid capital that has no defined maturity period.</w:t>
      </w:r>
    </w:p>
    <w:p>
      <w:pPr>
        <w:autoSpaceDN w:val="0"/>
        <w:autoSpaceDE w:val="0"/>
        <w:widowControl/>
        <w:spacing w:line="222" w:lineRule="exact" w:before="27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29: Maturity Profile of Medium Long-Term Debt</w:t>
      </w:r>
    </w:p>
    <w:p>
      <w:pPr>
        <w:autoSpaceDN w:val="0"/>
        <w:autoSpaceDE w:val="0"/>
        <w:widowControl/>
        <w:spacing w:line="178" w:lineRule="exact" w:before="6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4"/>
        <w:ind w:left="0" w:right="277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hRule="exact" w:val="214"/>
        </w:trPr>
        <w:tc>
          <w:tcPr>
            <w:tcW w:type="dxa" w:w="255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gridSpan w:val="2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Less than 1 </w:t>
            </w:r>
          </w:p>
        </w:tc>
        <w:tc>
          <w:tcPr>
            <w:tcW w:type="dxa" w:w="264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1 to 2 </w:t>
            </w:r>
          </w:p>
        </w:tc>
        <w:tc>
          <w:tcPr>
            <w:tcW w:type="dxa" w:w="264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2 to 3 </w:t>
            </w:r>
          </w:p>
        </w:tc>
        <w:tc>
          <w:tcPr>
            <w:tcW w:type="dxa" w:w="264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3 to 4 </w:t>
            </w:r>
          </w:p>
        </w:tc>
        <w:tc>
          <w:tcPr>
            <w:tcW w:type="dxa" w:w="264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4 to 5 </w:t>
            </w:r>
          </w:p>
        </w:tc>
        <w:tc>
          <w:tcPr>
            <w:tcW w:type="dxa" w:w="10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5 </w:t>
            </w:r>
          </w:p>
        </w:tc>
        <w:tc>
          <w:tcPr>
            <w:tcW w:type="dxa" w:w="96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996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</w:t>
            </w:r>
          </w:p>
        </w:tc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034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675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480"/>
        </w:trPr>
        <w:tc>
          <w:tcPr>
            <w:tcW w:type="dxa" w:w="25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 and Long-Term Debt</w:t>
            </w:r>
          </w:p>
        </w:tc>
        <w:tc>
          <w:tcPr>
            <w:tcW w:type="dxa" w:w="3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34,173 </w:t>
            </w:r>
          </w:p>
        </w:tc>
        <w:tc>
          <w:tcPr>
            <w:tcW w:type="dxa" w:w="26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37,482 </w:t>
            </w:r>
          </w:p>
        </w:tc>
        <w:tc>
          <w:tcPr>
            <w:tcW w:type="dxa" w:w="26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36,816 </w:t>
            </w:r>
          </w:p>
        </w:tc>
        <w:tc>
          <w:tcPr>
            <w:tcW w:type="dxa" w:w="26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32,710 </w:t>
            </w:r>
          </w:p>
        </w:tc>
        <w:tc>
          <w:tcPr>
            <w:tcW w:type="dxa" w:w="26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39,117 </w:t>
            </w:r>
          </w:p>
        </w:tc>
        <w:tc>
          <w:tcPr>
            <w:tcW w:type="dxa" w:w="30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112,874 </w:t>
            </w:r>
          </w:p>
        </w:tc>
        <w:tc>
          <w:tcPr>
            <w:tcW w:type="dxa" w:w="9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$ 293,172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shown below, 74% of IBRD’s medium-and long-term borrowings issued during the year were in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dollars: </w:t>
      </w:r>
    </w:p>
    <w:p>
      <w:pPr>
        <w:autoSpaceDN w:val="0"/>
        <w:autoSpaceDE w:val="0"/>
        <w:widowControl/>
        <w:spacing w:line="200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30: Medium and Long-Term Borrowings Raised by Currency during the year, Excluding Derivatives</w:t>
      </w:r>
    </w:p>
    <w:p>
      <w:pPr>
        <w:autoSpaceDN w:val="0"/>
        <w:autoSpaceDE w:val="0"/>
        <w:widowControl/>
        <w:spacing w:line="180" w:lineRule="exact" w:before="78" w:after="6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68"/>
        </w:trPr>
        <w:tc>
          <w:tcPr>
            <w:tcW w:type="dxa" w:w="64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7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40"/>
        </w:trPr>
        <w:tc>
          <w:tcPr>
            <w:tcW w:type="dxa" w:w="64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74 %</w:t>
            </w:r>
          </w:p>
        </w:tc>
        <w:tc>
          <w:tcPr>
            <w:tcW w:type="dxa" w:w="1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61 %</w:t>
            </w:r>
          </w:p>
        </w:tc>
      </w:tr>
      <w:tr>
        <w:trPr>
          <w:trHeight w:hRule="exact" w:val="240"/>
        </w:trPr>
        <w:tc>
          <w:tcPr>
            <w:tcW w:type="dxa" w:w="6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40"/>
        </w:trPr>
        <w:tc>
          <w:tcPr>
            <w:tcW w:type="dxa" w:w="64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1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</w:t>
            </w:r>
          </w:p>
        </w:tc>
      </w:tr>
      <w:tr>
        <w:trPr>
          <w:trHeight w:hRule="exact" w:val="220"/>
        </w:trPr>
        <w:tc>
          <w:tcPr>
            <w:tcW w:type="dxa" w:w="64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</w:tr>
      <w:tr>
        <w:trPr>
          <w:trHeight w:hRule="exact" w:val="3724"/>
        </w:trPr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6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1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VIII: Capital Activities 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VIII: Capital Activities </w:t>
      </w:r>
    </w:p>
    <w:p>
      <w:pPr>
        <w:autoSpaceDN w:val="0"/>
        <w:autoSpaceDE w:val="0"/>
        <w:widowControl/>
        <w:spacing w:line="314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Capital Structure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Principal Shareholders and Voting Power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 had 189 member countries, with the top six accounting for 40% of the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voting power (Figure 11). The United States is IBRD’s largest shareholder, with 15.79% of total voting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power. Accordingly, it also has the largest share of IBRD’s uncalled capital, $50,627 million, or 17%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uncalled capital.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member countries holding a credit rating of AA and above accounted for 34%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total voting power.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Subscribed Capital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subscribed capital is comprised of paid-in capital and uncalled subscribed capital. See Statement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Subscriptions to Capital Stock and Voting Power in IBRD’s Financial Statements for balances by country. </w:t>
      </w:r>
    </w:p>
    <w:p>
      <w:pPr>
        <w:autoSpaceDN w:val="0"/>
        <w:autoSpaceDE w:val="0"/>
        <w:widowControl/>
        <w:spacing w:line="240" w:lineRule="exact" w:before="180" w:after="270"/>
        <w:ind w:left="10" w:right="504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11: Voting Power of Top Six Members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39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8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States</w:t>
            </w:r>
          </w:p>
        </w:tc>
        <w:tc>
          <w:tcPr>
            <w:tcW w:type="dxa" w:w="5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8.0000000000001" w:type="dxa"/>
            </w:tblPr>
            <w:tblGrid>
              <w:gridCol w:w="1430"/>
              <w:gridCol w:w="1430"/>
              <w:gridCol w:w="1430"/>
              <w:gridCol w:w="1430"/>
            </w:tblGrid>
            <w:tr>
              <w:trPr>
                <w:trHeight w:hRule="exact" w:val="190"/>
              </w:trPr>
              <w:tc>
                <w:tcPr>
                  <w:tcW w:type="dxa" w:w="3090"/>
                  <w:tcBorders>
                    <w:start w:sz="6.0000128746032715" w:val="single" w:color="#6D6D6D"/>
                    <w:bottom w:sz="6.0000128746032715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0" w:val="left"/>
                      <w:tab w:pos="944" w:val="left"/>
                      <w:tab w:pos="1124" w:val="left"/>
                      <w:tab w:pos="2474" w:val="left"/>
                    </w:tabs>
                    <w:autoSpaceDE w:val="0"/>
                    <w:widowControl/>
                    <w:spacing w:line="364" w:lineRule="exact" w:before="0" w:after="0"/>
                    <w:ind w:left="63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15.79%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7.00%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5.85%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4.16%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3.82%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3.82%</w:t>
                  </w:r>
                </w:p>
              </w:tc>
              <w:tc>
                <w:tcPr>
                  <w:tcW w:type="dxa" w:w="1430"/>
                  <w:tcBorders>
                    <w:start w:sz="6.0000128746032715" w:val="single" w:color="#6D6D6D"/>
                    <w:bottom w:sz="6.000012874603271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0"/>
                  <w:tcBorders>
                    <w:start w:sz="6.0000128746032715" w:val="single" w:color="#6D6D6D"/>
                    <w:bottom w:sz="6.000012874603271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0"/>
                  <w:tcBorders>
                    <w:start w:sz="6.0000128746032715" w:val="single" w:color="#6D6D6D"/>
                    <w:bottom w:sz="6.000012874603271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7870"/>
            <w:gridSpan w:val="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7870"/>
            <w:gridSpan w:val="5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7870"/>
            <w:gridSpan w:val="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7870"/>
            <w:gridSpan w:val="5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Kingdom</w:t>
            </w:r>
          </w:p>
        </w:tc>
        <w:tc>
          <w:tcPr>
            <w:tcW w:type="dxa" w:w="7870"/>
            <w:gridSpan w:val="5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1574"/>
            <w:vMerge/>
            <w:tcBorders/>
          </w:tcPr>
          <w:p/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20%</w:t>
            </w:r>
          </w:p>
        </w:tc>
      </w:tr>
    </w:tbl>
    <w:p>
      <w:pPr>
        <w:autoSpaceDN w:val="0"/>
        <w:autoSpaceDE w:val="0"/>
        <w:widowControl/>
        <w:spacing w:line="224" w:lineRule="exact" w:before="39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31: Breakdown of IBRD Subscribed Capital</w:t>
      </w:r>
    </w:p>
    <w:p>
      <w:pPr>
        <w:autoSpaceDN w:val="0"/>
        <w:autoSpaceDE w:val="0"/>
        <w:widowControl/>
        <w:spacing w:line="178" w:lineRule="exact" w:before="66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27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25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</w:t>
            </w:r>
          </w:p>
        </w:tc>
        <w:tc>
          <w:tcPr>
            <w:tcW w:type="dxa" w:w="17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1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0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30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Subscribed capital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30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7 %</w:t>
            </w:r>
          </w:p>
        </w:tc>
        <w:tc>
          <w:tcPr>
            <w:tcW w:type="dxa" w:w="62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22,911 </w:t>
            </w:r>
          </w:p>
        </w:tc>
        <w:tc>
          <w:tcPr>
            <w:tcW w:type="dxa" w:w="6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49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459 </w:t>
            </w:r>
          </w:p>
        </w:tc>
      </w:tr>
      <w:tr>
        <w:trPr>
          <w:trHeight w:hRule="exact" w:val="254"/>
        </w:trPr>
        <w:tc>
          <w:tcPr>
            <w:tcW w:type="dxa" w:w="41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Uncalled Subscribed capital</w:t>
            </w:r>
          </w:p>
        </w:tc>
        <w:tc>
          <w:tcPr>
            <w:tcW w:type="dxa" w:w="6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93 %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0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303,924 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0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300,620 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7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3,304 </w:t>
            </w:r>
          </w:p>
        </w:tc>
      </w:tr>
      <w:tr>
        <w:trPr>
          <w:trHeight w:hRule="exact" w:val="220"/>
        </w:trPr>
        <w:tc>
          <w:tcPr>
            <w:tcW w:type="dxa" w:w="41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subscribed capital</w:t>
            </w:r>
          </w:p>
        </w:tc>
        <w:tc>
          <w:tcPr>
            <w:tcW w:type="dxa" w:w="6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2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326,835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323,072 </w:t>
            </w:r>
          </w:p>
        </w:tc>
        <w:tc>
          <w:tcPr>
            <w:tcW w:type="dxa" w:w="4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3,763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4670"/>
        </w:trPr>
        <w:tc>
          <w:tcPr>
            <w:tcW w:type="dxa" w:w="88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92" w:after="0"/>
              <w:ind w:left="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Uncalled Subscribed Capital</w:t>
            </w:r>
          </w:p>
          <w:p>
            <w:pPr>
              <w:autoSpaceDN w:val="0"/>
              <w:autoSpaceDE w:val="0"/>
              <w:widowControl/>
              <w:spacing w:line="224" w:lineRule="exact" w:before="158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or for administrative purposes.</w:t>
            </w:r>
          </w:p>
          <w:p>
            <w:pPr>
              <w:autoSpaceDN w:val="0"/>
              <w:autoSpaceDE w:val="0"/>
              <w:widowControl/>
              <w:spacing w:line="224" w:lineRule="exact" w:before="166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4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understanding among members that this amount will not be called for use by IBRD in its lending activities </w:t>
      </w:r>
    </w:p>
    <w:p>
      <w:pPr>
        <w:autoSpaceDN w:val="0"/>
        <w:autoSpaceDE w:val="0"/>
        <w:widowControl/>
        <w:spacing w:line="304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call has ever been made on IBRD’s capital. Any such calls are required to be uniform, but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of IBRD’s members to make payment on such calls are independent of one another. If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received on a call is insufficient to meet the obligations of IBRD for which the call is made,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the right to make further calls until the amounts received are sufficient to meet such obligations.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total uncalled portion of subscriptions was $303,924 million. The amount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called only when required to meet IBRD’s obligations for funds borrowed or loans guaranteed and 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thus, not available for use by IBRD when making loans. Of this amount, $42,456 million was restricted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pursuant to resolutions of the Board of Governors (though such conditions are not required by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Articles). While these resolutions are not legally binding on future Board of Governors, they do record an 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VIII: Capital Activities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any such call or calls, however, no member is required to pay more than the unpaid balance of its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Bretton Woods Agreements Act and other U.S. legislation, the Secretary of the U.S. Treasury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permitted to pay approximately $7,663 million of the uncalled portion of the subscription of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States, if called for use by IBRD, without need for further congressional action.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balance of the uncalled portion of the U.S. subscription, $42,964 million, has been authorized but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appropriated by the U.S. Congress. Further action by the U.S. Congress is required to enable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Secretary of the U.S. Treasury to pay any portion of this balance. The General Counsel of the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Treasury has rendered an opinion that the entire uncalled portion of the U.S. subscription is an obligation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backed by the full faith and credit of the U.S., notwithstanding that congressional appropriations have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>been obtained with respect to certain portions of the subscription.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Capital Increases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2018, the Governors approved a new GCI and SCI as part of a capital package that includes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institutional and financial reforms designed to ensure long-term financial sustainability. The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increases would result in additional subscribed capital of up to $60.1 billion, with $7.5 billion of paid-in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and $52.6 billion of callable capital. The subscription period for the GCI and SCI ends on October </w:t>
      </w:r>
      <w:r>
        <w:rPr>
          <w:rFonts w:ascii="ArialMT" w:hAnsi="ArialMT" w:eastAsia="ArialMT"/>
          <w:b w:val="0"/>
          <w:i w:val="0"/>
          <w:color w:val="000000"/>
          <w:sz w:val="20"/>
        </w:rPr>
        <w:t>1, 2025.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Paid-In Capital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Paid-in capital has two components:</w:t>
      </w:r>
    </w:p>
    <w:p>
      <w:pPr>
        <w:autoSpaceDN w:val="0"/>
        <w:tabs>
          <w:tab w:pos="550" w:val="left"/>
        </w:tabs>
        <w:autoSpaceDE w:val="0"/>
        <w:widowControl/>
        <w:spacing w:line="224" w:lineRule="exact" w:before="136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 U.S. dollar portion, which is freely available for use by IBRD.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 Currency Paid-In Capital (NCPIC) portion, usage of which is subject to certain restrictions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Articles and is subject to Maintenance-Of-Value (MOV) requirements. For additional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see the Notes to the Financial Statements, Note A: Summary of Significant Accounting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Related Policies.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Usable Paid-in Capital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Usable paid-in capital represents the portion of paid-in capital that is available to support IBRD’s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bearing capacity and includes all U.S. dollar paid-in capital, as well as NCPIC for which use restrictions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lifted (referred to as released NCPIC). The adjustments made to paid-in capital to arrive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usable paid-in capital are provided in Table 32.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$736 million increase in usable paid-in capital during FY25 was primarily due to the receipt of $333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for GCI and $126 million for SCI during FY25. </w:t>
      </w:r>
    </w:p>
    <w:p>
      <w:pPr>
        <w:autoSpaceDN w:val="0"/>
        <w:autoSpaceDE w:val="0"/>
        <w:widowControl/>
        <w:spacing w:line="202" w:lineRule="exact" w:before="19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32: Usable Paid-in Capital</w:t>
      </w:r>
    </w:p>
    <w:p>
      <w:pPr>
        <w:autoSpaceDN w:val="0"/>
        <w:autoSpaceDE w:val="0"/>
        <w:widowControl/>
        <w:spacing w:line="180" w:lineRule="exact" w:before="58" w:after="30"/>
        <w:ind w:left="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4"/>
        </w:trPr>
        <w:tc>
          <w:tcPr>
            <w:tcW w:type="dxa" w:w="47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10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4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3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Variance</w:t>
            </w:r>
          </w:p>
        </w:tc>
      </w:tr>
      <w:tr>
        <w:trPr>
          <w:trHeight w:hRule="exact" w:val="200"/>
        </w:trPr>
        <w:tc>
          <w:tcPr>
            <w:tcW w:type="dxa" w:w="47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100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22,911 </w:t>
            </w:r>
          </w:p>
        </w:tc>
        <w:tc>
          <w:tcPr>
            <w:tcW w:type="dxa" w:w="44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36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459 </w:t>
            </w:r>
          </w:p>
        </w:tc>
      </w:tr>
      <w:tr>
        <w:trPr>
          <w:trHeight w:hRule="exact" w:val="276"/>
        </w:trPr>
        <w:tc>
          <w:tcPr>
            <w:tcW w:type="dxa" w:w="4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amounts to maintain value of currency holdings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(298) 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32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for unreleased NCPIC: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6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cash</w:t>
            </w:r>
          </w:p>
        </w:tc>
        <w:tc>
          <w:tcPr>
            <w:tcW w:type="dxa" w:w="46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</w:tc>
        <w:tc>
          <w:tcPr>
            <w:tcW w:type="dxa" w:w="5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6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Nonnegotiable, noninterest-bearing demand obligations on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(313)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(310)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2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 of subscribed capital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 amounts to maintain value of currency holdings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(325)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94"/>
        </w:trPr>
        <w:tc>
          <w:tcPr>
            <w:tcW w:type="dxa" w:w="53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payable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Adjustments for unreleased NCPIC</w:t>
            </w:r>
          </w:p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(694) </w:t>
            </w:r>
          </w:p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(711)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</w:tr>
      <w:tr>
        <w:trPr>
          <w:trHeight w:hRule="exact" w:val="220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21,919 </w:t>
            </w:r>
          </w:p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736 </w:t>
            </w:r>
          </w:p>
        </w:tc>
      </w:tr>
      <w:tr>
        <w:trPr>
          <w:trHeight w:hRule="exact" w:val="306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MOV (Maintenance-Of-Value) on released National Currency Paid-In Capital (NCPIC) is considered to be deferred.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3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VIII: Capital Activities 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Usable Equity</w:t>
      </w:r>
    </w:p>
    <w:p>
      <w:pPr>
        <w:autoSpaceDN w:val="0"/>
        <w:autoSpaceDE w:val="0"/>
        <w:widowControl/>
        <w:spacing w:line="224" w:lineRule="exact" w:before="15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Usable equity represents the amount of equity that is available to support IBRD’s lending operations. </w:t>
      </w:r>
    </w:p>
    <w:p>
      <w:pPr>
        <w:autoSpaceDN w:val="0"/>
        <w:autoSpaceDE w:val="0"/>
        <w:widowControl/>
        <w:spacing w:line="224" w:lineRule="exact" w:before="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Usable equity is central to the three frameworks IBRD uses to manage its capital adequacy, credit risk, </w:t>
      </w:r>
    </w:p>
    <w:p>
      <w:pPr>
        <w:autoSpaceDN w:val="0"/>
        <w:autoSpaceDE w:val="0"/>
        <w:widowControl/>
        <w:spacing w:line="224" w:lineRule="exact" w:before="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equity earnings. These frameworks, described in Section IX: Risk Management, are: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Strategic Capital Adequacy Framework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7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and Loan Loss Provisioning Framework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4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Other ALM Framework</w:t>
      </w:r>
    </w:p>
    <w:p>
      <w:pPr>
        <w:autoSpaceDN w:val="0"/>
        <w:autoSpaceDE w:val="0"/>
        <w:widowControl/>
        <w:spacing w:line="224" w:lineRule="exact" w:before="1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Table 33 for the components of Usable Equity and see Table 34 for a reconciliation of Total Equity </w:t>
      </w: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and Usable Equity</w:t>
      </w:r>
      <w:r>
        <w:rPr>
          <w:rFonts w:ascii="ArialMT" w:hAnsi="ArialMT" w:eastAsia="ArialMT"/>
          <w:b w:val="0"/>
          <w:i w:val="0"/>
          <w:color w:val="BF2115"/>
          <w:sz w:val="20"/>
        </w:rPr>
        <w:t>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1196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IX: Risk Management 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Risk Governance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risk management processes and practices evolve to reflect changes in activities in response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market, credit, product, operational, and other developments. The Board, particularly the Audit Committee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(AC), periodically reviews trends in IBRD’s risk profiles and performance, and any major developments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management policies and controls.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believes that effective risk management is critical for its overall operations. Accordingly,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management governance structure is designed to manage the principal risks IBRD assumes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activities, and supports Management in its oversight function, particularly in coordinating different aspects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risk management and in connection with risks that are common across functional areas.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risk governance structure is built on the “three lines model” where: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 units, with support from specialized functions, are responsible for directly managing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risks in their respective functional areas;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Vice President and WBG Chief Risk Officer (CRO) provides direction, challenge,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oversight over risk management practices; and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 Audit provides independent assurance and advice on the effectiveness of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risk management process comprises of risk identification, assessment, response and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and reporting. IBRD has policies and procedures under which risk owners are responsible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identifying, assessing, responding to, monitoring and reporting risks.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Risk Oversight and Coverage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and Operational Risk Management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CRO (Vice President and WBG Chief Risk Officer) oversees both financial and operational risks.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risks include (i) country credit risks in the core sovereign-lending business, (ii) market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counterparty risks, including liquidity and model risks, and (iii) operational risks relating to people,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processes and systems, or from external events. In addition, the CRO works closely with IFC, MIGA,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Management, to review, measure, aggregate, and report on risks, and share best practices across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WBG. The CRO also helps enhance cooperation between the entities and facilitates knowledge </w:t>
      </w:r>
      <w:r>
        <w:rPr>
          <w:rFonts w:ascii="ArialMT" w:hAnsi="ArialMT" w:eastAsia="ArialMT"/>
          <w:b w:val="0"/>
          <w:i w:val="0"/>
          <w:color w:val="000000"/>
          <w:sz w:val="20"/>
        </w:rPr>
        <w:t>sharing in the risk management function.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three departments report directly to the CRO: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Credit Risk Department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4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Identifies, measures, monitors, and manages country credit risk faced by IBRD. By agreement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Board, the individual country credit risk ratings are not shared with the Board and are not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made public.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Assesses loan portfolio risk, determines the adequacy of provisions for losses on loans and 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exposures, and monitors borrowers that are vulnerable to crises in the near term. These reviews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taken into account when determining the overall country programs and lending operations,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and they are included in the assessment of IBRD’s capital adequacy.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Reviews proposed new financial products for any implications for country credit risk.</w:t>
      </w:r>
    </w:p>
    <w:p>
      <w:pPr>
        <w:autoSpaceDN w:val="0"/>
        <w:autoSpaceDE w:val="0"/>
        <w:widowControl/>
        <w:spacing w:line="246" w:lineRule="exact" w:before="29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Market and Counterparty Risk Department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4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market, liquidity, and counterparty credit risk oversight, assessment,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reporting. It does these in coordination with IBRD’s financial managers who are responsible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day-to-day execution of trades for the liquid asset and derivative portfolios, within applicable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policy and guideline limits.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5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54"/>
        </w:trPr>
        <w:tc>
          <w:tcPr>
            <w:tcW w:type="dxa" w:w="3970"/>
            <w:gridSpan w:val="2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  <w:tr>
        <w:trPr>
          <w:trHeight w:hRule="exact" w:val="590"/>
        </w:trPr>
        <w:tc>
          <w:tcPr>
            <w:tcW w:type="dxa" w:w="57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2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Ensures effective oversight, including: (i) maintaining sound credit assessments, (ii) addressing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76"/>
        <w:ind w:left="73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and product risk issues, (iii) providing an independent review function, (iv) monitoring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and counterparty risk in the investment, borrowing and client operation portfolios, and (v)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model risk for financial and capital models. It also provides reports to the Audit Committee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the Board on the extent and nature of risks, risk management, and oversight.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23"/>
        <w:gridCol w:w="4723"/>
      </w:tblGrid>
      <w:tr>
        <w:trPr>
          <w:trHeight w:hRule="exact" w:val="79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Responsible for validation of market data and models used for fair valuation of financial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instruments. Undertakes model verification to ensure robust implementation of the models for fair-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valued products.</w:t>
            </w:r>
          </w:p>
        </w:tc>
      </w:tr>
    </w:tbl>
    <w:p>
      <w:pPr>
        <w:autoSpaceDN w:val="0"/>
        <w:autoSpaceDE w:val="0"/>
        <w:widowControl/>
        <w:spacing w:line="246" w:lineRule="exact" w:before="2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Operational Risk Department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42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Provides direction and oversight for operational risk activities by business function.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Key operational risk management responsibilities include: (i) administering the Operational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(ORC) for IBRD, (ii) implementing the operational risk management framework which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aligned with Basel principles and provides direction to business unit partners to ensure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application, (iii) assisting and guiding business units in identifying and prioritizing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 operational risks and enabling monitoring and reporting of risks through suitable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metrics (or risk indicators), (iv) helping identify emerging risks and trends through monitoring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 and external risk events, (v) supporting risk response and mitigating actions,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preparing a corporate Operational Risk Report for review and discussion by the ORC.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the oversight of the enterprise risk, operational risk, business continuity,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operational resilience, corporate insurance, and data privacy functions.</w:t>
      </w:r>
    </w:p>
    <w:p>
      <w:pPr>
        <w:autoSpaceDN w:val="0"/>
        <w:autoSpaceDE w:val="0"/>
        <w:widowControl/>
        <w:spacing w:line="240" w:lineRule="exact" w:before="2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risk of IBRD’s operations not meeting their development outcomes (development outcome risk)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lending activities is monitored at the corporate level by Operations Policy and Country Services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(OPCS). Where fraud and corruption risks may impact IBRD-financed projects, OPCS, the regions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practice groups, and the Integrity Vice Presidency jointly address such issues.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Committees</w:t>
      </w:r>
    </w:p>
    <w:p>
      <w:pPr>
        <w:autoSpaceDN w:val="0"/>
        <w:autoSpaceDE w:val="0"/>
        <w:widowControl/>
        <w:spacing w:line="224" w:lineRule="exact" w:before="146" w:after="17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12: Management Risk Committee Structure for Financial and Operational Risks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540"/>
        </w:trPr>
        <w:tc>
          <w:tcPr>
            <w:tcW w:type="dxa" w:w="5700"/>
            <w:gridSpan w:val="2"/>
            <w:tcBorders/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Financial Risk</w:t>
            </w:r>
          </w:p>
        </w:tc>
      </w:tr>
      <w:tr>
        <w:trPr>
          <w:trHeight w:hRule="exact" w:val="442"/>
        </w:trPr>
        <w:tc>
          <w:tcPr>
            <w:tcW w:type="dxa" w:w="29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940"/>
            </w:tblGrid>
            <w:tr>
              <w:trPr>
                <w:trHeight w:hRule="exact" w:val="314"/>
              </w:trPr>
              <w:tc>
                <w:tcPr>
                  <w:tcW w:type="dxa" w:w="2636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FRC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60"/>
            </w:tblGrid>
            <w:tr>
              <w:trPr>
                <w:trHeight w:hRule="exact" w:val="284"/>
              </w:trPr>
              <w:tc>
                <w:tcPr>
                  <w:tcW w:type="dxa" w:w="2636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ALCO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29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Finance and Risk Committee</w:t>
            </w:r>
          </w:p>
        </w:tc>
        <w:tc>
          <w:tcPr>
            <w:tcW w:type="dxa" w:w="27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Asset and Liability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Management Committee</w:t>
            </w:r>
          </w:p>
        </w:tc>
      </w:tr>
      <w:tr>
        <w:trPr>
          <w:trHeight w:hRule="exact" w:val="362"/>
        </w:trPr>
        <w:tc>
          <w:tcPr>
            <w:tcW w:type="dxa" w:w="29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  <w:tc>
          <w:tcPr>
            <w:tcW w:type="dxa" w:w="27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9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446"/>
      </w:tblGrid>
      <w:tr>
        <w:trPr>
          <w:trHeight w:hRule="exact" w:val="570"/>
        </w:trPr>
        <w:tc>
          <w:tcPr>
            <w:tcW w:type="dxa" w:w="263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NBC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446"/>
      </w:tblGrid>
      <w:tr>
        <w:trPr>
          <w:trHeight w:hRule="exact" w:val="558"/>
        </w:trPr>
        <w:tc>
          <w:tcPr>
            <w:tcW w:type="dxa" w:w="263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New Business Committee</w:t>
            </w:r>
          </w:p>
        </w:tc>
      </w:tr>
    </w:tbl>
    <w:p>
      <w:pPr>
        <w:autoSpaceDN w:val="0"/>
        <w:autoSpaceDE w:val="0"/>
        <w:widowControl/>
        <w:spacing w:line="246" w:lineRule="exact" w:before="30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Financial Risk Committees:</w:t>
      </w:r>
    </w:p>
    <w:p>
      <w:pPr>
        <w:sectPr>
          <w:type w:val="continuous"/>
          <w:pgSz w:w="12240" w:h="15840"/>
          <w:pgMar w:top="216" w:right="1364" w:bottom="288" w:left="1430" w:header="720" w:footer="720" w:gutter="0"/>
          <w:cols w:num="2" w:equalWidth="0">
            <w:col w:w="5800" w:space="0"/>
            <w:col w:w="36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46"/>
      </w:tblGrid>
      <w:tr>
        <w:trPr>
          <w:trHeight w:hRule="exact" w:val="540"/>
        </w:trPr>
        <w:tc>
          <w:tcPr>
            <w:tcW w:type="dxa" w:w="3480"/>
            <w:tcBorders/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Operational Risk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46"/>
      </w:tblGrid>
      <w:tr>
        <w:trPr>
          <w:trHeight w:hRule="exact" w:val="506"/>
        </w:trPr>
        <w:tc>
          <w:tcPr>
            <w:tcW w:type="dxa" w:w="348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ERC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446"/>
      </w:tblGrid>
      <w:tr>
        <w:trPr>
          <w:trHeight w:hRule="exact" w:val="298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Enterprise Risk Committee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446"/>
      </w:tblGrid>
      <w:tr>
        <w:trPr>
          <w:trHeight w:hRule="exact" w:val="402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446"/>
      </w:tblGrid>
      <w:tr>
        <w:trPr>
          <w:trHeight w:hRule="exact" w:val="858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ORC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446"/>
      </w:tblGrid>
      <w:tr>
        <w:trPr>
          <w:trHeight w:hRule="exact" w:val="538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Operational Risk Committee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26"/>
        <w:ind w:left="0" w:right="0"/>
      </w:pPr>
    </w:p>
    <w:p>
      <w:pPr>
        <w:sectPr>
          <w:type w:val="nextColumn"/>
          <w:pgSz w:w="12240" w:h="15840"/>
          <w:pgMar w:top="216" w:right="1364" w:bottom="288" w:left="1430" w:header="720" w:footer="720" w:gutter="0"/>
          <w:cols w:num="2" w:equalWidth="0">
            <w:col w:w="5800" w:space="0"/>
            <w:col w:w="364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The Finance and Risk Committee (FRC)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 Vice President level committee, provides a high-level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governance structure for decisions that may have financial risks. The FRC was created under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authority of the Managing Director and WBG Chief Financial Officer (MDCFO) to approve, clear,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discuss: (a) risk policy and procedure documents related to financial integrity, income sustainability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sheet strength, and (b) issues and new business initiatives with policy implications related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risks, including country credit, market, counterparty, liquidity and model risks,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risks related to the finance business functions. The FRC helps to integrate individual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components of finance and risk management activities by building on mechanisms and processes already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place and provides a forum for discussing and communicating significant risk related issues. The FRC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33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43</w:t>
      </w:r>
    </w:p>
    <w:p>
      <w:pPr>
        <w:sectPr>
          <w:type w:val="continuous"/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meets regularly to discuss the financial performance, new products and services, and risk management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New Business Committee (NBC)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 standing subcommittee of the FRC. The NBC provides advice,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guidance and recommendations to the FRC, by performing due diligence over new financial products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 to ensure that Management has a full understanding of the rationale, costs, risks and rewards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product or service being considered.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Asset and Liability Management Committee (ALCO)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 Vice President-level committee chaired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MDCFO, provides a high-level forum to ensure prudent balance sheet management of IBRD by: 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its financial positions and ALM activities for compliance with its respective guidelines, policies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procedures, including borrowing and investment activities; b) identifying and providing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recommendations on emerging ALM issues for IBRD, as well as those related to capital, balance-sheet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planning, and financial sustainability and c) serving as a reviewing and recommending body for ongoing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decisions as part of implementing the ALM policies and procedures of IBRD, including those that impact </w:t>
      </w:r>
      <w:r>
        <w:rPr>
          <w:rFonts w:ascii="ArialMT" w:hAnsi="ArialMT" w:eastAsia="ArialMT"/>
          <w:b w:val="0"/>
          <w:i w:val="0"/>
          <w:color w:val="000000"/>
          <w:sz w:val="20"/>
        </w:rPr>
        <w:t>lending rates and net income.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Operational Risk Committees: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The Enterprise Risk Committee (ERC)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a Vice President-level committee chaired by the Managing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Director and Chief Administrative Officer (MDCAO) that oversees IBRD’s non-financial risks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reviewing, discussing and/or formulating proposed policies, procedures, directives, guidance,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matters requested by its members. ERC’s scope comprises of: a) operational risk, including business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continuity, corporate security, cyber security, and IT service continuity; b) enterprise risk; c) Integrity 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Presidency (INT) and Ethics and Business Conduct (EBC) policies and methodologies; d) shared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services; and e) any other matters brought by the MDCAO. The ERC leverages existing risk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mechanisms that are in place to provide a corporate view of operational and non-financial risks.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Operational Risk Committee (ORC)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the main governance committee for operational risk and provides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mechanism for an integrated review and response across IBRD units on operational risks associated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people, processes, and systems, including business continuity, and recognizing that business units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 responsible for managing operational risks. The Committee’s key responsibilities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significant operational risk matters and events on a quarterly basis to ensure that appropriate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risk-response measures are taken and reviewing and concluding on IBRD’s overall operational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profile. The ORC is chaired by the CROVP and escalates significant risks and decisions to the FRC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ERC.</w:t>
      </w:r>
    </w:p>
    <w:p>
      <w:pPr>
        <w:autoSpaceDN w:val="0"/>
        <w:autoSpaceDE w:val="0"/>
        <w:widowControl/>
        <w:spacing w:line="224" w:lineRule="exact" w:before="76" w:after="17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5: Summary of IBRD's Specific Risk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314"/>
        </w:trPr>
        <w:tc>
          <w:tcPr>
            <w:tcW w:type="dxa" w:w="214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Types of Risk</w:t>
            </w:r>
          </w:p>
        </w:tc>
        <w:tc>
          <w:tcPr>
            <w:tcW w:type="dxa" w:w="71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10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How the Risk is Managed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826"/>
        </w:trPr>
        <w:tc>
          <w:tcPr>
            <w:tcW w:type="dxa" w:w="263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06" w:right="576" w:hanging="8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Credit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Country Credit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Counterparty Credit Risk</w:t>
            </w:r>
          </w:p>
        </w:tc>
        <w:tc>
          <w:tcPr>
            <w:tcW w:type="dxa" w:w="663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65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credit-risk-bearing capacity and individual country exposure limits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Counterparty credit limits and collateral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1160"/>
        </w:trPr>
        <w:tc>
          <w:tcPr>
            <w:tcW w:type="dxa" w:w="261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06" w:right="576" w:hanging="8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Interest Rate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Exchange Rate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Liquidity Risk                 </w:t>
            </w:r>
          </w:p>
        </w:tc>
        <w:tc>
          <w:tcPr>
            <w:tcW w:type="dxa" w:w="665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2" w:after="0"/>
              <w:ind w:left="67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derivatives to match the sensitivity of assets and liabilities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derivatives to align the currency composition of assets and liabilities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</w:tr>
      <w:tr>
        <w:trPr>
          <w:trHeight w:hRule="exact" w:val="208"/>
        </w:trPr>
        <w:tc>
          <w:tcPr>
            <w:tcW w:type="dxa" w:w="261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Operational Risk</w:t>
            </w:r>
          </w:p>
        </w:tc>
        <w:tc>
          <w:tcPr>
            <w:tcW w:type="dxa" w:w="665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Risk assessment and monitoring of key risk indicators and internal and external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30.0" w:type="dxa"/>
      </w:tblPr>
      <w:tblGrid>
        <w:gridCol w:w="9446"/>
      </w:tblGrid>
      <w:tr>
        <w:trPr>
          <w:trHeight w:hRule="exact" w:val="246"/>
        </w:trPr>
        <w:tc>
          <w:tcPr>
            <w:tcW w:type="dxa" w:w="552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operational risk events</w:t>
            </w:r>
          </w:p>
        </w:tc>
      </w:tr>
    </w:tbl>
    <w:p>
      <w:pPr>
        <w:autoSpaceDN w:val="0"/>
        <w:autoSpaceDE w:val="0"/>
        <w:widowControl/>
        <w:spacing w:line="268" w:lineRule="exact" w:before="18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Other Risk Councils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Financial Risk Council and Non-Financial Risk Council facilitate regular coordination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collaboration across WBG entities in financial and non-financial risk functions, respectively.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councils, chaired by the MDCFO and MDCAO, respectively, meet regularly to identify opportunities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collaboration across the risk functions that serve to enhance the effectiveness of each of the risk functions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respecting the fiduciary obligations of each entity and considering the different mandates, clients,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products, and business models. They also provide a common forum for the systematic exchange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and encourage joint reporting of risks across the entities to form an overall picture on risk and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47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purposes of information sharing, identifying interdependencies, connections, and concentrations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risk.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Management of IBRD’s Risks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assumes financial risks in order to achieve its development and strategic objectives.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risk management framework is designed to enable and support the institution in achieving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goals in a financially sustainable manner. IBRD manages credit, market and operational risks for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activities, which include lending, borrowing and investing (Box 5). The primary financial risk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the country credit risk inherent in its loan portfolio. IBRD is also exposed to risks in its liquid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derivative portfolios, where the major risks are interest rate, exchange rate, commercial counterparty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credit, and liquidity risks. IBRD’s operational risk management framework is based on a structured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uniform approach to identify, assess and monitor key operational risks across business units.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an effort to maximize IBRD’s capacity to lend to member countries for development purposes,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limits its exposure to market and counterparty credit risks. In addition, to ensure that the financial risks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associated with its loans and other exposures do not exceed its risk-bearing capacity, IBRD uses a </w:t>
      </w:r>
      <w:r>
        <w:rPr>
          <w:rFonts w:ascii="ArialMT" w:hAnsi="ArialMT" w:eastAsia="ArialMT"/>
          <w:b w:val="0"/>
          <w:i w:val="0"/>
          <w:color w:val="000000"/>
          <w:sz w:val="20"/>
        </w:rPr>
        <w:t>strategic capital adequacy framework as a key medium-term capital planning tool.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Capital Adequacy 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holds capital to cover the credit, market and operational risks inherent in its operating activities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assets. Country credit risk is the most substantive risk covered by IBRD’s equity.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capital adequacy is the degree to which its equity is sufficient to withstand unexpected shocks.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Board monitors IBRD’s capital adequacy within a strategic capital adequacy framework and uses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Equity-to-Loans ratio as a key indicator of capital adequacy. The framework seeks to ensure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equity is aligned with the financial risk associated with its loans and other exposures over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medium-term capital-planning horizon.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shown in Table 33, IBRD’s Equity-to-Loans ratio increased by 0.1% from 21.5% as of June 30, 2024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21.6% as of June 30, 2025, primarily due to the increase in usable equity, mainly driven by the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proposed transfer to general reserve out of the FY25 allocable income, which outpaced the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loan exposure, primarily due to the increase in outstanding loans. In October 2024, as part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WBG evolution process, the Board approved establishing the new Framework of Restoration Measures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(FRM) for capital adequacy, which further strengthens the protection for IBRD’s triple-A rating. The FRM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a set of capital adequacy-related metrics, along with indicative thresholds, as well as restoration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measures. Following the establishment of the FRM, the Board approved a reduction in the policy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minimum Equity-to-Loans ratio from 19% to 18% based on a review of IBRD's capital adequacy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framework, which became effective immediately after the Board approval. The minimum Equity-to-Loans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>ratio policy continues to support IBRD's triple-A rating and long-term financial sustainability.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2024, the Board also approved the offer of Enhanced Callable Capital (ECC), another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shareholder support instrument to expand IBRD's financing capacity. Shareholders can convert a portion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their existing callable capital to the enhanced terms so that it could be called earlier in the event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were to face an imminent threat of a rating downgrade, but had not yet reached a point where it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risk of defaulting to its bondholders, which is when a call on the current form of callable capital will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made. The ECC conversion is on a voluntary basis and upon bilateral agreement between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shareholder and IBRD. There were no signed ECC agreements as of June 30, 2025.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IBRD signed bilateral agreements for hybrid capital with 8 member countries for a total notional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$773 million, expected to be settled over the next 4 years. As of June 30, 2025, $482 million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settled and reported in the balance sheet. For capital adequacy purposes, hybrid capital is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 of usable equity in the equity-to-loans ratio (Table 33) in accordance with IBRD's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policies.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guarantees are risk management instruments that support additional financing capacity for IBRD.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IBRD's Balance Sheet, effective portfolio guarantees are recorded in Other assets measured 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the expected credit losses on the underlying portfolio. As of June 30, 2025, portfolio guarantee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with 2 member countries of $1.1 billion notional were effective. For capital adequacy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62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measures, effective portfolio guarantees are leveraged reductions to loan exposures in the equity-to-loans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>ratio to capture their first-loss and portfolio-wide loss-absorption features.</w:t>
      </w:r>
    </w:p>
    <w:p>
      <w:pPr>
        <w:autoSpaceDN w:val="0"/>
        <w:autoSpaceDE w:val="0"/>
        <w:widowControl/>
        <w:spacing w:line="224" w:lineRule="exact" w:before="136" w:after="128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13: Equity-to-Loans Ratio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86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26" w:right="5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16%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81300" cy="1117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11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157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</w:tr>
      <w:tr>
        <w:trPr>
          <w:trHeight w:hRule="exact" w:val="280"/>
        </w:trPr>
        <w:tc>
          <w:tcPr>
            <w:tcW w:type="dxa" w:w="157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330"/>
        </w:trPr>
        <w:tc>
          <w:tcPr>
            <w:tcW w:type="dxa" w:w="1574"/>
            <w:vMerge/>
            <w:tcBorders/>
          </w:tcPr>
          <w:p/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Equity-to-Loans ratio</w:t>
            </w:r>
          </w:p>
        </w:tc>
        <w:tc>
          <w:tcPr>
            <w:tcW w:type="dxa" w:w="4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5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Policy minimum</w:t>
            </w:r>
          </w:p>
        </w:tc>
      </w:tr>
    </w:tbl>
    <w:p>
      <w:pPr>
        <w:autoSpaceDN w:val="0"/>
        <w:autoSpaceDE w:val="0"/>
        <w:widowControl/>
        <w:spacing w:line="224" w:lineRule="exact" w:before="2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33: Equity-to-Loans Ratio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56" w:after="32"/>
        <w:ind w:left="0" w:right="1440" w:firstLine="0"/>
        <w:jc w:val="right"/>
      </w:pPr>
      <w:r>
        <w:rPr>
          <w:rFonts w:ascii="Arial" w:hAnsi="Arial" w:eastAsia="Arial"/>
          <w:b w:val="0"/>
          <w:i/>
          <w:color w:val="494949"/>
          <w:sz w:val="16"/>
        </w:rPr>
        <w:t>Variance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646"/>
        </w:trPr>
        <w:tc>
          <w:tcPr>
            <w:tcW w:type="dxa" w:w="4840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420"/>
              <w:gridCol w:w="2420"/>
            </w:tblGrid>
            <w:tr>
              <w:trPr>
                <w:trHeight w:hRule="exact" w:val="234"/>
              </w:trPr>
              <w:tc>
                <w:tcPr>
                  <w:tcW w:type="dxa" w:w="26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494949"/>
                      <w:sz w:val="16"/>
                    </w:rPr>
                    <w:t>As of June 30,</w:t>
                  </w: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0" w:right="9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494949"/>
                      <w:sz w:val="16"/>
                    </w:rPr>
                    <w:t>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start w:sz="24.0" w:val="single" w:color="#FFFFFF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8" w:after="0"/>
              <w:ind w:left="0" w:right="1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8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92" w:lineRule="exact" w:before="112" w:after="0"/>
              <w:ind w:left="398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to </w:t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Activities</w:t>
            </w:r>
          </w:p>
        </w:tc>
        <w:tc>
          <w:tcPr>
            <w:tcW w:type="dxa" w:w="112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228" w:right="18" w:firstLine="318"/>
              <w:jc w:val="both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to </w:t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Translation </w:t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Adjustment</w:t>
            </w:r>
          </w:p>
        </w:tc>
      </w:tr>
      <w:tr>
        <w:trPr>
          <w:trHeight w:hRule="exact" w:val="1440"/>
        </w:trPr>
        <w:tc>
          <w:tcPr>
            <w:tcW w:type="dxa" w:w="48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613"/>
              <w:gridCol w:w="1613"/>
              <w:gridCol w:w="1613"/>
            </w:tblGrid>
            <w:tr>
              <w:trPr>
                <w:trHeight w:hRule="exact" w:val="180"/>
              </w:trPr>
              <w:tc>
                <w:tcPr>
                  <w:tcW w:type="dxa" w:w="31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Usable paid-in capital</w:t>
                  </w:r>
                </w:p>
              </w:tc>
              <w:tc>
                <w:tcPr>
                  <w:tcW w:type="dxa" w:w="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9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21,919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4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Special reserve</w:t>
                  </w:r>
                </w:p>
              </w:tc>
              <w:tc>
                <w:tcPr>
                  <w:tcW w:type="dxa" w:w="1613"/>
                  <w:vMerge/>
                  <w:tcBorders/>
                </w:tcPr>
                <w:p/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4" w:after="0"/>
                    <w:ind w:left="0" w:right="10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293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General reserve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a</w:t>
                  </w:r>
                </w:p>
              </w:tc>
              <w:tc>
                <w:tcPr>
                  <w:tcW w:type="dxa" w:w="1613"/>
                  <w:vMerge/>
                  <w:tcBorders/>
                </w:tcPr>
                <w:p/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35,240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Cumulative translation adjustment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b</w:t>
                  </w:r>
                </w:p>
              </w:tc>
              <w:tc>
                <w:tcPr>
                  <w:tcW w:type="dxa" w:w="1613"/>
                  <w:vMerge/>
                  <w:tcBorders/>
                </w:tcPr>
                <w:p/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4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(224)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Hybrid capital</w:t>
                  </w:r>
                </w:p>
              </w:tc>
              <w:tc>
                <w:tcPr>
                  <w:tcW w:type="dxa" w:w="1613"/>
                  <w:vMerge/>
                  <w:tcBorders/>
                </w:tcPr>
                <w:p/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10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482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6" w:after="0"/>
                    <w:ind w:left="9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Other adjustments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c</w:t>
                  </w:r>
                </w:p>
              </w:tc>
              <w:tc>
                <w:tcPr>
                  <w:tcW w:type="dxa" w:w="1613"/>
                  <w:vMerge/>
                  <w:tcBorders/>
                </w:tcPr>
                <w:p/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4" w:after="0"/>
                    <w:ind w:left="0" w:right="10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70"/>
              <w:gridCol w:w="570"/>
            </w:tblGrid>
            <w:tr>
              <w:trPr>
                <w:trHeight w:hRule="exact" w:val="222"/>
              </w:trPr>
              <w:tc>
                <w:tcPr>
                  <w:tcW w:type="dxa" w:w="2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21,183 </w:t>
                  </w:r>
                </w:p>
              </w:tc>
            </w:tr>
          </w:tbl>
          <w:p>
            <w:pPr>
              <w:autoSpaceDN w:val="0"/>
              <w:tabs>
                <w:tab w:pos="446" w:val="left"/>
                <w:tab w:pos="634" w:val="left"/>
                <w:tab w:pos="740" w:val="left"/>
              </w:tabs>
              <w:autoSpaceDE w:val="0"/>
              <w:widowControl/>
              <w:spacing w:line="234" w:lineRule="exact" w:before="0" w:after="0"/>
              <w:ind w:left="412" w:right="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1140"/>
            <w:tcBorders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70"/>
              <w:gridCol w:w="570"/>
            </w:tblGrid>
            <w:tr>
              <w:trPr>
                <w:trHeight w:hRule="exact" w:val="222"/>
              </w:trPr>
              <w:tc>
                <w:tcPr>
                  <w:tcW w:type="dxa" w:w="4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0" w:after="0"/>
              <w:ind w:left="576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(79)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0"/>
              <w:gridCol w:w="570"/>
            </w:tblGrid>
            <w:tr>
              <w:trPr>
                <w:trHeight w:hRule="exact" w:val="224"/>
              </w:trPr>
              <w:tc>
                <w:tcPr>
                  <w:tcW w:type="dxa" w:w="4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0" w:after="0"/>
              <w:ind w:left="576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2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60"/>
              <w:gridCol w:w="560"/>
            </w:tblGrid>
            <w:tr>
              <w:trPr>
                <w:trHeight w:hRule="exact" w:val="224"/>
              </w:trPr>
              <w:tc>
                <w:tcPr>
                  <w:tcW w:type="dxa" w:w="4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0" w:after="0"/>
              <w:ind w:left="72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(79) </w:t>
            </w:r>
          </w:p>
        </w:tc>
      </w:tr>
      <w:tr>
        <w:trPr>
          <w:trHeight w:hRule="exact" w:val="247"/>
        </w:trPr>
        <w:tc>
          <w:tcPr>
            <w:tcW w:type="dxa" w:w="4840"/>
            <w:tcBorders>
              <w:end w:sz="24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613"/>
              <w:gridCol w:w="1613"/>
              <w:gridCol w:w="1613"/>
            </w:tblGrid>
            <w:tr>
              <w:trPr>
                <w:trHeight w:hRule="exact" w:val="192"/>
              </w:trPr>
              <w:tc>
                <w:tcPr>
                  <w:tcW w:type="dxa" w:w="3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Equity (usable equity) (Table 34)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9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57,878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3,223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2,129 </w:t>
            </w:r>
          </w:p>
        </w:tc>
        <w:tc>
          <w:tcPr>
            <w:tcW w:type="dxa" w:w="112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1,094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14"/>
        </w:trPr>
        <w:tc>
          <w:tcPr>
            <w:tcW w:type="dxa" w:w="4840"/>
            <w:vMerge w:val="restart"/>
            <w:tcBorders>
              <w:top w:sz="8.0" w:val="single" w:color="#6C6C6C"/>
              <w:end w:sz="24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420"/>
              <w:gridCol w:w="2420"/>
            </w:tblGrid>
            <w:tr>
              <w:trPr>
                <w:trHeight w:hRule="exact" w:val="2306"/>
              </w:trPr>
              <w:tc>
                <w:tcPr>
                  <w:tcW w:type="dxa" w:w="3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6" w:val="left"/>
                      <w:tab w:pos="212" w:val="left"/>
                    </w:tabs>
                    <w:autoSpaceDE w:val="0"/>
                    <w:widowControl/>
                    <w:spacing w:line="230" w:lineRule="exact" w:before="0" w:after="0"/>
                    <w:ind w:left="32" w:right="144" w:firstLine="0"/>
                    <w:jc w:val="left"/>
                  </w:pP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Loan exposures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Adjustments to reflect third-party guarantees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received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Adjustment for portfolio guarantees received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d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Present value of guarantees provided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Effective but undisbursed DDOs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Relevant accumulated provisions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Deferred loan income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Other exposures and adjustments, net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Loans (total exposure)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$ 283,090 </w:t>
                  </w:r>
                </w:p>
                <w:p>
                  <w:pPr>
                    <w:autoSpaceDN w:val="0"/>
                    <w:autoSpaceDE w:val="0"/>
                    <w:widowControl/>
                    <w:spacing w:line="178" w:lineRule="exact" w:before="160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(13,620) </w:t>
                  </w:r>
                </w:p>
                <w:p>
                  <w:pPr>
                    <w:autoSpaceDN w:val="0"/>
                    <w:tabs>
                      <w:tab w:pos="536" w:val="left"/>
                      <w:tab w:pos="590" w:val="left"/>
                      <w:tab w:pos="670" w:val="left"/>
                      <w:tab w:pos="724" w:val="left"/>
                    </w:tabs>
                    <w:autoSpaceDE w:val="0"/>
                    <w:widowControl/>
                    <w:spacing w:line="240" w:lineRule="exact" w:before="98" w:after="0"/>
                    <w:ind w:left="17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(4,280)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3,818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2,105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(2,813)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(681)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366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$ 267,985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  <w:p>
            <w:pPr>
              <w:autoSpaceDN w:val="0"/>
              <w:autoSpaceDE w:val="0"/>
              <w:widowControl/>
              <w:spacing w:line="178" w:lineRule="exact" w:before="16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(10,658) </w:t>
            </w:r>
          </w:p>
          <w:p>
            <w:pPr>
              <w:autoSpaceDN w:val="0"/>
              <w:tabs>
                <w:tab w:pos="470" w:val="left"/>
                <w:tab w:pos="550" w:val="left"/>
                <w:tab w:pos="604" w:val="left"/>
                <w:tab w:pos="710" w:val="left"/>
              </w:tabs>
              <w:autoSpaceDE w:val="0"/>
              <w:widowControl/>
              <w:spacing w:line="240" w:lineRule="exact" w:before="98" w:after="0"/>
              <w:ind w:left="41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(2,942)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(594)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0"/>
              <w:gridCol w:w="570"/>
            </w:tblGrid>
            <w:tr>
              <w:trPr>
                <w:trHeight w:hRule="exact" w:val="252"/>
              </w:trPr>
              <w:tc>
                <w:tcPr>
                  <w:tcW w:type="dxa" w:w="3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18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19,900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10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(2,962) </w:t>
            </w:r>
          </w:p>
          <w:p>
            <w:pPr>
              <w:autoSpaceDN w:val="0"/>
              <w:tabs>
                <w:tab w:pos="746" w:val="left"/>
                <w:tab w:pos="780" w:val="left"/>
              </w:tabs>
              <w:autoSpaceDE w:val="0"/>
              <w:widowControl/>
              <w:spacing w:line="240" w:lineRule="exact" w:before="98" w:after="0"/>
              <w:ind w:left="5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(4,280)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330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844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129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(87)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0"/>
              <w:gridCol w:w="570"/>
            </w:tblGrid>
            <w:tr>
              <w:trPr>
                <w:trHeight w:hRule="exact" w:val="252"/>
              </w:trPr>
              <w:tc>
                <w:tcPr>
                  <w:tcW w:type="dxa" w:w="3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18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14,795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10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(2,901)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  <w:p>
            <w:pPr>
              <w:autoSpaceDN w:val="0"/>
              <w:tabs>
                <w:tab w:pos="746" w:val="left"/>
                <w:tab w:pos="780" w:val="left"/>
              </w:tabs>
              <w:autoSpaceDE w:val="0"/>
              <w:widowControl/>
              <w:spacing w:line="240" w:lineRule="exact" w:before="98" w:after="0"/>
              <w:ind w:left="5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(4,280)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806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(72)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(11)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12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60"/>
              <w:gridCol w:w="560"/>
            </w:tblGrid>
            <w:tr>
              <w:trPr>
                <w:trHeight w:hRule="exact" w:val="252"/>
              </w:trPr>
              <w:tc>
                <w:tcPr>
                  <w:tcW w:type="dxa" w:w="3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4" w:after="0"/>
                    <w:ind w:left="0" w:right="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5,105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10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  <w:p>
            <w:pPr>
              <w:autoSpaceDN w:val="0"/>
              <w:tabs>
                <w:tab w:pos="780" w:val="left"/>
                <w:tab w:pos="834" w:val="left"/>
                <w:tab w:pos="852" w:val="left"/>
              </w:tabs>
              <w:autoSpaceDE w:val="0"/>
              <w:widowControl/>
              <w:spacing w:line="240" w:lineRule="exact" w:before="98" w:after="0"/>
              <w:ind w:left="74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(72)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7"/>
        </w:trPr>
        <w:tc>
          <w:tcPr>
            <w:tcW w:type="dxa" w:w="1889"/>
            <w:vMerge/>
            <w:tcBorders>
              <w:top w:sz="8.0" w:val="single" w:color="#6C6C6C"/>
              <w:end w:sz="24.0" w:val="single" w:color="#FFFFFF"/>
            </w:tcBorders>
          </w:tcPr>
          <w:p/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$ 254,122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13,863 </w:t>
            </w: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8,662 </w:t>
            </w:r>
          </w:p>
        </w:tc>
        <w:tc>
          <w:tcPr>
            <w:tcW w:type="dxa" w:w="112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5,201 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76"/>
        </w:trPr>
        <w:tc>
          <w:tcPr>
            <w:tcW w:type="dxa" w:w="4840"/>
            <w:tcBorders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420"/>
              <w:gridCol w:w="2420"/>
            </w:tblGrid>
            <w:tr>
              <w:trPr>
                <w:trHeight w:hRule="exact" w:val="256"/>
              </w:trPr>
              <w:tc>
                <w:tcPr>
                  <w:tcW w:type="dxa" w:w="29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Equity-to-Loans Ratio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21.6 %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21.5 % </w:t>
            </w:r>
          </w:p>
        </w:tc>
        <w:tc>
          <w:tcPr>
            <w:tcW w:type="dxa" w:w="340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78" w:lineRule="exact" w:before="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transfer to the General Reserve, which for FY25 (FY24) was approved by the Board on August 7, 2025 (August 6,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2024).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cumulative translation amounts associated with the unrealized mark-to-market gains/losses on non-trading portfolios,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net.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cumulative remeasurement gains on non-functional currencies of $216 million for FY25 ($295 million gains for FY24).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The adjustment for portfolio guarantees received is management’s estimate of the benefit of the PGP which covers losses 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the entire portfolio (first loss), and also the counterparty credit risk.</w:t>
      </w:r>
    </w:p>
    <w:p>
      <w:pPr>
        <w:autoSpaceDN w:val="0"/>
        <w:autoSpaceDE w:val="0"/>
        <w:widowControl/>
        <w:spacing w:line="240" w:lineRule="exact" w:before="198" w:after="606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IBRD received $0.5 billion of paid-in capital subscribed under the 2018 General and Selective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Increases (GCI and SCI), bringing the cumulative amounts received to $6.5 billion, representing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86% of the total amount expected over the subscription period. In line with IBRD's currency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policy, exchange rate movements during the year did not have an impact on IBRD's Equity-to-Loans ratio.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currency management policy, to minimize exchange rate risk, IBRD matches its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in any one currency (after derivatives) with assets in the same currency. In addition, IBRD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26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1"/>
        <w:gridCol w:w="4751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periodically undertakes currency conversions to align the currency composition of its equity with that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>outstanding loans, across major currencies.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34 provides a reconciliation of IBRD’s total equity (Table 2) to the usable equity amounts presented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discussed in the MD&amp;A (Table 33) as of June 30, 2025.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34: Usable Equity</w:t>
      </w:r>
    </w:p>
    <w:p>
      <w:pPr>
        <w:autoSpaceDN w:val="0"/>
        <w:autoSpaceDE w:val="0"/>
        <w:widowControl/>
        <w:spacing w:line="180" w:lineRule="exact" w:before="60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0"/>
        <w:gridCol w:w="1900"/>
        <w:gridCol w:w="1900"/>
        <w:gridCol w:w="1900"/>
        <w:gridCol w:w="1900"/>
      </w:tblGrid>
      <w:tr>
        <w:trPr>
          <w:trHeight w:hRule="exact" w:val="240"/>
        </w:trPr>
        <w:tc>
          <w:tcPr>
            <w:tcW w:type="dxa" w:w="5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years ended June 30,</w:t>
            </w:r>
          </w:p>
        </w:tc>
        <w:tc>
          <w:tcPr>
            <w:tcW w:type="dxa" w:w="1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5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</w:tr>
      <w:tr>
        <w:trPr>
          <w:trHeight w:hRule="exact" w:val="234"/>
        </w:trPr>
        <w:tc>
          <w:tcPr>
            <w:tcW w:type="dxa" w:w="5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Equity (Table 2)</w:t>
            </w:r>
          </w:p>
        </w:tc>
        <w:tc>
          <w:tcPr>
            <w:tcW w:type="dxa" w:w="1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72,012 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63,484 </w:t>
            </w:r>
          </w:p>
        </w:tc>
      </w:tr>
      <w:tr>
        <w:trPr>
          <w:trHeight w:hRule="exact" w:val="246"/>
        </w:trPr>
        <w:tc>
          <w:tcPr>
            <w:tcW w:type="dxa" w:w="5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Proposed transfer to general reserve (Table 11)</w:t>
            </w:r>
          </w:p>
        </w:tc>
        <w:tc>
          <w:tcPr>
            <w:tcW w:type="dxa" w:w="1900"/>
            <w:vMerge/>
            <w:tcBorders>
              <w:top w:sz="8.0" w:val="single" w:color="#000000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1,182 </w:t>
            </w:r>
          </w:p>
        </w:tc>
        <w:tc>
          <w:tcPr>
            <w:tcW w:type="dxa" w:w="1900"/>
            <w:vMerge/>
            <w:tcBorders>
              <w:top w:sz="8.0" w:val="single" w:color="#000000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834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Less - adjustments to retained earnings (Table 11):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67"/>
        <w:gridCol w:w="3167"/>
        <w:gridCol w:w="3167"/>
      </w:tblGrid>
      <w:tr>
        <w:trPr>
          <w:trHeight w:hRule="exact" w:val="234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Unallocated Net Income (Loss)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(2,915)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(2,513) </w:t>
            </w:r>
          </w:p>
        </w:tc>
      </w:tr>
      <w:tr>
        <w:trPr>
          <w:trHeight w:hRule="exact" w:val="240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Pension Reserve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(987)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(681) </w:t>
            </w:r>
          </w:p>
        </w:tc>
      </w:tr>
      <w:tr>
        <w:trPr>
          <w:trHeight w:hRule="exact" w:val="240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Surplus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</w:tr>
      <w:tr>
        <w:trPr>
          <w:trHeight w:hRule="exact" w:val="240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Cumulative fair value adjustments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(1,390)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(1,103) </w:t>
            </w:r>
          </w:p>
        </w:tc>
      </w:tr>
      <w:tr>
        <w:trPr>
          <w:trHeight w:hRule="exact" w:val="240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Other reserves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(729)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</w:tr>
      <w:tr>
        <w:trPr>
          <w:trHeight w:hRule="exact" w:val="246"/>
        </w:trPr>
        <w:tc>
          <w:tcPr>
            <w:tcW w:type="dxa" w:w="64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Restricted retained earnings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  <w:tc>
          <w:tcPr>
            <w:tcW w:type="dxa" w:w="1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(358) </w:t>
            </w:r>
          </w:p>
        </w:tc>
      </w:tr>
      <w:tr>
        <w:trPr>
          <w:trHeight w:hRule="exact" w:val="255"/>
        </w:trPr>
        <w:tc>
          <w:tcPr>
            <w:tcW w:type="dxa" w:w="64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adjustments to retained earnings 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(6,032) </w:t>
            </w:r>
          </w:p>
        </w:tc>
        <w:tc>
          <w:tcPr>
            <w:tcW w:type="dxa" w:w="1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(4,766) </w:t>
            </w:r>
          </w:p>
        </w:tc>
      </w:tr>
    </w:tbl>
    <w:p>
      <w:pPr>
        <w:autoSpaceDN w:val="0"/>
        <w:autoSpaceDE w:val="0"/>
        <w:widowControl/>
        <w:spacing w:line="178" w:lineRule="exact" w:before="330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Less - adjustments to accumulated other comprehensive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67"/>
        <w:gridCol w:w="3167"/>
        <w:gridCol w:w="3167"/>
      </w:tblGrid>
      <w:tr>
        <w:trPr>
          <w:trHeight w:hRule="exact" w:val="238"/>
        </w:trPr>
        <w:tc>
          <w:tcPr>
            <w:tcW w:type="dxa" w:w="6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Accumulated other comprehensive income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(9,654)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(3,954) </w:t>
            </w:r>
          </w:p>
        </w:tc>
      </w:tr>
      <w:tr>
        <w:trPr>
          <w:trHeight w:hRule="exact" w:val="240"/>
        </w:trPr>
        <w:tc>
          <w:tcPr>
            <w:tcW w:type="dxa" w:w="64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Cumulative translation adjustment (Table 33)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(224) </w:t>
            </w:r>
          </w:p>
        </w:tc>
        <w:tc>
          <w:tcPr>
            <w:tcW w:type="dxa" w:w="1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</w:p>
        </w:tc>
      </w:tr>
      <w:tr>
        <w:trPr>
          <w:trHeight w:hRule="exact" w:val="255"/>
        </w:trPr>
        <w:tc>
          <w:tcPr>
            <w:tcW w:type="dxa" w:w="64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adjustments to accumulated other comprehensive income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(9,878) </w:t>
            </w:r>
          </w:p>
        </w:tc>
        <w:tc>
          <w:tcPr>
            <w:tcW w:type="dxa" w:w="1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(5,080) </w:t>
            </w:r>
          </w:p>
        </w:tc>
      </w:tr>
    </w:tbl>
    <w:p>
      <w:pPr>
        <w:autoSpaceDN w:val="0"/>
        <w:autoSpaceDE w:val="0"/>
        <w:widowControl/>
        <w:spacing w:line="180" w:lineRule="exact" w:before="330" w:after="2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Other adjustments: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206"/>
        </w:trPr>
        <w:tc>
          <w:tcPr>
            <w:tcW w:type="dxa" w:w="6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Hybrid capital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482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60"/>
        </w:trPr>
        <w:tc>
          <w:tcPr>
            <w:tcW w:type="dxa" w:w="6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Cumulative remeasurement gains on non-functional currencies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216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 </w:t>
            </w:r>
          </w:p>
        </w:tc>
      </w:tr>
      <w:tr>
        <w:trPr>
          <w:trHeight w:hRule="exact" w:val="240"/>
        </w:trPr>
        <w:tc>
          <w:tcPr>
            <w:tcW w:type="dxa" w:w="6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Cumulative PEBP income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(48)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(48) </w:t>
            </w:r>
          </w:p>
        </w:tc>
      </w:tr>
      <w:tr>
        <w:trPr>
          <w:trHeight w:hRule="exact" w:val="254"/>
        </w:trPr>
        <w:tc>
          <w:tcPr>
            <w:tcW w:type="dxa" w:w="6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Adjustments for unreleased National Currency Paid-In Capital (NCPIC)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(56) </w:t>
            </w:r>
          </w:p>
        </w:tc>
        <w:tc>
          <w:tcPr>
            <w:tcW w:type="dxa" w:w="1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(64) </w:t>
            </w:r>
          </w:p>
        </w:tc>
      </w:tr>
      <w:tr>
        <w:trPr>
          <w:trHeight w:hRule="exact" w:val="240"/>
        </w:trPr>
        <w:tc>
          <w:tcPr>
            <w:tcW w:type="dxa" w:w="6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other adjustments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594 </w:t>
            </w:r>
          </w:p>
        </w:tc>
        <w:tc>
          <w:tcPr>
            <w:tcW w:type="dxa" w:w="1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183 </w:t>
            </w:r>
          </w:p>
        </w:tc>
      </w:tr>
      <w:tr>
        <w:trPr>
          <w:trHeight w:hRule="exact" w:val="536"/>
        </w:trPr>
        <w:tc>
          <w:tcPr>
            <w:tcW w:type="dxa" w:w="6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Usable Equity (Table 33)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57,878 </w:t>
            </w:r>
          </w:p>
        </w:tc>
        <w:tc>
          <w:tcPr>
            <w:tcW w:type="dxa" w:w="1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</w:tr>
      <w:tr>
        <w:trPr>
          <w:trHeight w:hRule="exact" w:val="260"/>
        </w:trPr>
        <w:tc>
          <w:tcPr>
            <w:tcW w:type="dxa" w:w="6466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4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Reflects a legacy treatment to exclude income earned on PEBP assets, as this income is intended to support PEBP liabilities only. </w:t>
      </w:r>
    </w:p>
    <w:p>
      <w:pPr>
        <w:autoSpaceDN w:val="0"/>
        <w:autoSpaceDE w:val="0"/>
        <w:widowControl/>
        <w:spacing w:line="314" w:lineRule="exact" w:before="8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Credit Risk </w:t>
      </w:r>
    </w:p>
    <w:p>
      <w:pPr>
        <w:autoSpaceDN w:val="0"/>
        <w:autoSpaceDE w:val="0"/>
        <w:widowControl/>
        <w:spacing w:line="240" w:lineRule="exact" w:before="140" w:after="0"/>
        <w:ind w:left="10" w:right="7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faces two types of credit risk: country credit risk and counterparty credit risk. Country credit risk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risk of loss due to a country not meeting its contractual obligations, and counterparty credit risk is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of loss attributable to a counterparty not honoring its contractual obligations. IBRD is exposed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commercial as well as non-commercial counterparty credit risk.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Country Credit Risk 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mandate is to take only sovereign credit risk in its lending activities. Within country credit risk,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three distinct types of risks can be identified: idiosyncratic risk, correlation risk, and concentration risk.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Idiosyncratic risk is the risk of an individual borrowing country’s exposure falling into nonaccrual status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country-specific reasons (such as policy slippage or political instability). Correlation risk is the risk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to two or more borrowing countries will fall into nonaccrual in response to common global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regional economic, political, or financial developments. Concentration risk is the risk resulting from having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large portion of exposure outstanding which, if the exposure fell into nonaccrual, would result in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financial health being excessively impaired. Concentration risk needs to be evaluated both on a stand-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alone basis (exposure of one borrowing country) and when taking into account correlation when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one borrowing country is affected by a common event, such that when combined, IBRD’s exposure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a common risk is elevated.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estimate idiosyncratic risk and stand-alone concentration risk, the Credit Risk Department looks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exposure to each borrowing country and each borrowing country’s expected default to IBRD as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9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47</w:t>
      </w:r>
    </w:p>
    <w:p>
      <w:pPr>
        <w:sectPr>
          <w:pgSz w:w="12240" w:h="15840"/>
          <w:pgMar w:top="216" w:right="130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captured in its credit rating. Credit ratings and default probabilities reflect country economic, financial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political circumstances, and also consider Environmental, Social and Governance (ESG) risk factors.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correlation risk, the Credit Risk Department models the potential common factors that could impact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countries simultaneously. The existence of correlation increases the likelihood of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events, as most of these nonaccrual events involve the joint default of two or more obligors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portfolio.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manages country credit risk by using individual country exposure limits and takes into account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factors such as population size and the economic situation of the country. In addition, IBRD conducts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stress tests of the effects of changes in market variables and of potential geopolitical events on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to complement its capital adequacy framework.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Portfolio Concentration Risk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concentration risk, which arises when a small group of borrowing countries account for a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 of loans outstanding, is a key concern for IBRD. It is carefully managed for each borrowing country,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part, through an exposure limit for the aggregate balance of loans outstanding, the present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guarantees, and the undisbursed portion of Deferred Drawdown Options (DDOs) that have become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effective, among other potential exposures. Under current guidelines, IBRD’s exposure to a single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country is restricted to the lower of an Equitable Access Limit (EAL) or the Single Borrower </w:t>
      </w:r>
      <w:r>
        <w:rPr>
          <w:rFonts w:ascii="ArialMT" w:hAnsi="ArialMT" w:eastAsia="ArialMT"/>
          <w:b w:val="0"/>
          <w:i w:val="0"/>
          <w:color w:val="000000"/>
          <w:sz w:val="20"/>
        </w:rPr>
        <w:t>Limit (SBL).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Equitable Access Limit (EAL) and Statutory Lending Limit (SLL)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EAL is equal to 10% of IBRD’s SLL. Under IBRD’s Articles, as applied, total loans outstanding,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participations in loans and callable guarantees, may not exceed the sum of unimpaired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subscribed capital, reserves and surplus, referred to as the SLL. As of June 30, 2025, the SLL totaled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$361.2 billion. The outstanding loans and callable guarantees totaled $286.9 billion, or 79% of the SLL.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EAL was $36.1 billion, as of June 30, 2025. The SLL was originally intended to ensure that sufficient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are available to meet IBRD’s obligations to bondholders in the highly unlikely event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substantial and historically unprecedented losses on IBRD’s loans. IBRD has subsequently adopted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 risk-based capital adequacy framework based on risk management practices that have evolved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 since the time the SLL was established. The SLL is not a risk-based metric, and could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constrain IBRD’s lending capacity below levels that are consistent with its risk-based framework.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Accordingly, IBRD is in the process of amending the Articles to remove the SLL. The Board of Governors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a Resolution to remove the SLL on July 10, 2023. IBRD is now going through the final stage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amendment process, which requires acceptance by three-fifths of the members having eighty-five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percent of the voting power.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Single Borrower Limit (SBL)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SBL amount is established, in part, by assessing its impact on overall portfolio risk relative to equity.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SBL caps the maximum exposure to IBRD’s most creditworthy and largest borrowing countries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of population and economic size. The SBL framework reflects a dual-SBL system, with the SBL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above the Graduation Discussion Income (GDI) threshold set lower than the SBL for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below GDI. GDI is the level of GNI (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Gross National Income)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capita of a member country above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graduation from IBRD starts being discussed. The GDI threshold was $7,895 as of July 1, 2024.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dual-SBL system, the SBL for FY25 was $30.9 billion for highly creditworthy countries below the GDI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$22.2 billion for highly creditworthy countries above the GDI. On July 22, 2025, the Board approved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FY26 SBL of $31.7 billion and $22.6 billion for countries below and above GDI, respectively.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ten countries with the highest exposures accounted for about 57% of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exposure (Figure 14). IBRD’s largest exposure to a single borrowing country was $23.1 billion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2025. Monitoring these exposures relative to the limit, however, requires consideration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repayment profiles of existing loans, as well as disbursement profiles and projected new loans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guarantees.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46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6" w:lineRule="exact" w:before="35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Sustainable Annual Lending Level (SALL)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“Financial Sustainability Framework” (FSF) requires IBRD to align its annual lending levels to its long-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sustainable capacity, while retaining flexibility to respond to crises by maintaining a crisis buffer.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SALL is the maximum annual commitment level sustainable, in real terms, for 10 years in line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IBRD’s prudential policies. Under the FSF, the Board annually approves a crisis buffer. The crisis buffer-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sustainable annual lending level (SALL-Adj) serves as the upper bound for regular lending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next year. For the fiscal year ending June 30, 2025, the Board had approved a crisis buffer of $10.0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 SALL-Adj of $39.0 billion. On June 23, 2025, the Board approved a crisis buffer of $10.0 billion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FY26. The corresponding SALL-Adj, which will be the core lending ceiling for FY26, is $42.0 billion.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lending capacity also includes additional capacity from the Global Solutions Accelerator Platform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(GSAP) as part of the Framework for Financial Incentives (FFI), as well as additional operations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>supported by highly rated bilateral guarantees and other balance sheet optimization measures.</w:t>
      </w:r>
    </w:p>
    <w:p>
      <w:pPr>
        <w:autoSpaceDN w:val="0"/>
        <w:autoSpaceDE w:val="0"/>
        <w:widowControl/>
        <w:spacing w:line="224" w:lineRule="exact" w:before="19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14: Country Exposures as of June 30, 2025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tabs>
          <w:tab w:pos="5648" w:val="left"/>
        </w:tabs>
        <w:autoSpaceDE w:val="0"/>
        <w:widowControl/>
        <w:spacing w:line="154" w:lineRule="exact" w:before="146" w:after="210"/>
        <w:ind w:left="2984" w:right="360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14"/>
        </w:rPr>
        <w:t xml:space="preserve">a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hRule="exact" w:val="32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7000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583"/>
              <w:gridCol w:w="583"/>
              <w:gridCol w:w="583"/>
              <w:gridCol w:w="583"/>
              <w:gridCol w:w="583"/>
              <w:gridCol w:w="583"/>
              <w:gridCol w:w="583"/>
              <w:gridCol w:w="583"/>
              <w:gridCol w:w="583"/>
              <w:gridCol w:w="583"/>
              <w:gridCol w:w="583"/>
              <w:gridCol w:w="583"/>
            </w:tblGrid>
            <w:tr>
              <w:trPr>
                <w:trHeight w:hRule="exact" w:val="116"/>
              </w:trPr>
              <w:tc>
                <w:tcPr>
                  <w:tcW w:type="dxa" w:w="6316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56" w:val="left"/>
                      <w:tab w:pos="3270" w:val="left"/>
                      <w:tab w:pos="3362" w:val="left"/>
                      <w:tab w:pos="3616" w:val="left"/>
                      <w:tab w:pos="3782" w:val="left"/>
                      <w:tab w:pos="4126" w:val="left"/>
                      <w:tab w:pos="4876" w:val="left"/>
                      <w:tab w:pos="5702" w:val="left"/>
                    </w:tabs>
                    <w:autoSpaceDE w:val="0"/>
                    <w:widowControl/>
                    <w:spacing w:line="234" w:lineRule="exact" w:before="0" w:after="0"/>
                    <w:ind w:left="2896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23.1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20.0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17.2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15.8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14.2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13.9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13.8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12.5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12.5</w:t>
                  </w:r>
                </w:p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8775"/>
            <w:gridSpan w:val="13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675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80" w:lineRule="exact" w:before="10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Exposure includes loans outstanding and guarantees provided and are net of guarantees received. </w:t>
      </w:r>
    </w:p>
    <w:p>
      <w:pPr>
        <w:autoSpaceDN w:val="0"/>
        <w:autoSpaceDE w:val="0"/>
        <w:widowControl/>
        <w:spacing w:line="240" w:lineRule="exact" w:before="108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IBRD's loans outstanding to Ukraine were $16.9 billion, and guarantees provided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Ukraine were $0.5 billion. Guarantees received from third parties for the benefit of Ukraine were $11.2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Credit-Risk-Bearing Capacity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uses risk models to estimate the size of a potential nonaccrual shock that IBRD could face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the next three years at a given confidence level. The model-estimated nonaccrual shock is a single </w:t>
      </w:r>
      <w:r>
        <w:rPr>
          <w:rFonts w:ascii="ArialMT" w:hAnsi="ArialMT" w:eastAsia="ArialMT"/>
          <w:b w:val="0"/>
          <w:i w:val="0"/>
          <w:color w:val="000000"/>
          <w:sz w:val="20"/>
        </w:rPr>
        <w:t>measure of the credit quality of the portfolio that combines the following: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country-credit-risk ratings and their associated expected risk of default;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Covariance risks;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 outstanding loan’s distribution across risk rating categories; and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exposure concentration.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shock estimated by this risk model is used in IBRD’s capital adequacy testing to determine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impact of potential nonaccrual events on equity and income earning capacity.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Expected Losses, Overdue Payments, and Non-Performing Loans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loan loss provision is calculated by taking into account IBRD’s total estimated exposure,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Default Frequency (EDF), i.e. probability of default, and the assumed loss in the event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default. Expected losses inherent in the loan portfolio attributable to country credit risk are covered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accumulated provision for losses on loans and other exposures, while unexpected losses owing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credit risk are covered by equity (see Notes to the Financial Statements, Note A: Summary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Accounting and Related Policies and Note D: Loans and Other Exposures).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57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49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 borrower fails to make payments due to IBRD on any principal, interest, or other charges,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suspend disbursements immediately on all loans to that borrower. IBRD’s current practice is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exercise this option using a graduated approach (Box 6). These practices also apply to member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eligible to borrow from both IBRD and IDA, and whose payments on IDA loans may become overdue. It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practice not to reschedule interest or principal payments on its loans or participate in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rescheduling agreements with respect to its loans. As of June 30, 2025, there were no principal or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>amounts on loans in accrual status, that were overdue by more than three months.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 had $283.1 billion of loans outstanding, of which 0.5% were in nonaccrual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status, all related to Zimbabwe and Belarus. IBRD’s accumulated provision for losses on loans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was $3.0 billion, which represents a provisioning rate of less than 1% of the underlying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exposures ($3.0 billion as of June 30, 2024, less than 1% of the underlying exposures).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year, IBRD received $2 million ($4 million in FY24) from borrowers in non-accrual status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payments towards principal amount overdue. Accordingly, none of these amounts were recognized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FY25 Statement of Income ($4 million recognized as interest in the FY24 Statement of Income).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to Zimbabwe was $425 million as of June 30, 2025, compared with $426 million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2024. The exposure to Belarus was $1,012 million as of June 30, 2025, compared with $984 million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2024.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year, no loans to any borrowing country were placed in nonaccrual status or restored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accrual status.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6: Treatment of Overdue Payments</w:t>
      </w:r>
    </w:p>
    <w:p>
      <w:pPr>
        <w:autoSpaceDN w:val="0"/>
        <w:tabs>
          <w:tab w:pos="1052" w:val="left"/>
        </w:tabs>
        <w:autoSpaceDE w:val="0"/>
        <w:widowControl/>
        <w:spacing w:line="192" w:lineRule="exact" w:before="216" w:after="6"/>
        <w:ind w:left="1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Where the borrower is the member country, no new loans to the member country, or to any other borrower in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country, will be presented to the Board for approval, nor will any previously approved loan be signed, until payments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all amounts 30 days overdue or longer have been received. Where the borrower is not the member country, no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new loans to that borrower will be signed or approved. In either case, the borrower will lose its eligibility for any </w:t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Overdue by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waiver of interest charges in effect at that time for loans signed before May 16, 2007, and those loans signed </w:t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30 days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May 16, 2007, and September 27, 2007, if the borrowers elected not to convert the terms of their loans to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pricing terms effective September 27, 2007. For loans with the pricing terms applicable from May 16, 2007, an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overdue interest penalty will be charged at a rate of 50 basis points on the overdue principal. That is, if an overdue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amount remains unpaid for a period of 30 days, then the borrower will pay a higher interest rate (Reference rate +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9446"/>
      </w:tblGrid>
      <w:tr>
        <w:trPr>
          <w:trHeight w:hRule="exact" w:val="308"/>
        </w:trPr>
        <w:tc>
          <w:tcPr>
            <w:tcW w:type="dxa" w:w="8390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spread) plus 50 basis points on the overdue principal amount until the overdue amount is fully paid.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9446"/>
      </w:tblGrid>
      <w:tr>
        <w:trPr>
          <w:trHeight w:hRule="exact" w:val="244"/>
        </w:trPr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provisions cited above for payments overdue by 30 days, to avoid proceeding further on the </w:t>
            </w:r>
          </w:p>
        </w:tc>
      </w:tr>
    </w:tbl>
    <w:p>
      <w:pPr>
        <w:autoSpaceDN w:val="0"/>
        <w:tabs>
          <w:tab w:pos="1052" w:val="left"/>
        </w:tabs>
        <w:autoSpaceDE w:val="0"/>
        <w:widowControl/>
        <w:spacing w:line="190" w:lineRule="exact" w:before="0" w:after="238"/>
        <w:ind w:left="1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notification process leading to suspension of disbursements, the country as borrower or guarantor and all borrowers </w:t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Overdue by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country must pay not only all payments overdue by 30 days or more, but also all payments due regardless of </w:t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45 days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number of days since they have fallen due. Where the borrower is not the member country, no new loans to, 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guaranteed by, the member country, will be signed or approved. Additionally, all borrowers in the country will lose </w:t>
      </w:r>
      <w:r>
        <w:rPr>
          <w:rFonts w:ascii="ArialMT" w:hAnsi="ArialMT" w:eastAsia="ArialMT"/>
          <w:b w:val="0"/>
          <w:i w:val="0"/>
          <w:color w:val="000000"/>
          <w:sz w:val="16"/>
        </w:rPr>
        <w:t>eligibility for any waivers of interest in effect at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630"/>
        </w:trPr>
        <w:tc>
          <w:tcPr>
            <w:tcW w:type="dxa" w:w="99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60 days</w:t>
            </w:r>
          </w:p>
        </w:tc>
        <w:tc>
          <w:tcPr>
            <w:tcW w:type="dxa" w:w="837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52" w:right="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approval for new loans and signing of previously approved loans, disbursements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all loans to, or guaranteed by, the member country are suspended until all overdue amounts are paid. This policy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applies even when the borrower is not the member country. Under exceptional circumstances, disbursements can be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9446"/>
      </w:tblGrid>
      <w:tr>
        <w:trPr>
          <w:trHeight w:hRule="exact" w:val="432"/>
        </w:trPr>
        <w:tc>
          <w:tcPr>
            <w:tcW w:type="dxa" w:w="8390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made to a member country upon the Board’s approval.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9446"/>
      </w:tblGrid>
      <w:tr>
        <w:trPr>
          <w:trHeight w:hRule="exact" w:val="246"/>
        </w:trPr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disbursements on all loans to, or guaranteed by, the member country, all loans made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723"/>
        <w:gridCol w:w="4723"/>
      </w:tblGrid>
      <w:tr>
        <w:trPr>
          <w:trHeight w:hRule="exact" w:val="960"/>
        </w:trPr>
        <w:tc>
          <w:tcPr>
            <w:tcW w:type="dxa" w:w="96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more than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six months</w:t>
            </w:r>
          </w:p>
        </w:tc>
        <w:tc>
          <w:tcPr>
            <w:tcW w:type="dxa" w:w="838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2" w:right="2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 or guaranteed by a member of IBRD are placed in nonaccrual status, unless IBRD's management determines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overdue amount will be collected in the immediate future. Unpaid interest and other charges accrued but not yet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paid on loans outstanding are deducted from the revenue for the current period. Interest and other charges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nonaccruing exposures are included in revenue only to the extent that payments have been received by IBRD.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decision on the restoration of accrual status is made upon arrears clearance. If collectability risk is considered to be 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0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particularly high at the time of arrears clearance, the member’s exposures may not automatically emerge from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nonaccrual status until a suitable period of payment performance has passed.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24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Counterparty Credit Risk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exposed to commercial and non-commercial counterparty credit risk.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terms of the contract or other financial instruments. Effective management of counterparty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is vital to the success of IBRD’s funding, investment, and asset/liability management activities. </w:t>
      </w:r>
    </w:p>
    <w:p>
      <w:pPr>
        <w:autoSpaceDN w:val="0"/>
        <w:autoSpaceDE w:val="0"/>
        <w:widowControl/>
        <w:spacing w:line="224" w:lineRule="exact" w:before="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monitoring and management of 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mitigates the counterparty credit risk from its investment and derivative holdings through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process, the use of collateral agreements and risk limits, and other monitoring procedures.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approval process involves evaluating counterparty and product-specific creditworthiness, assigning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 credit ratings and limits, and determining the risk profile of specific transactions. Credit limits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 and monitored throughout the year. Counterparty exposure is updated daily, considering the 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values of assets held, estimates of potential future movements of exposure for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instruments, and related counterparty collateral agreements, where collateral posting requirements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thresholds driven by public credit ratings. Collateral held includes cash and highly rated liquid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securities. Commercial credit risk management includes ESG related assessments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and monitoring of higher exposure counterparties for the liquid asset portfolio and for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counterparties. In addition, third-party ESG scores of the liquid asset portfolio and derivative exposures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monitored.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liquid asset investment portfolio consists mostly of sovereign government bonds, debt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issued by sovereign government agencies, corporates and bank time deposits. More than half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are with issuers and counterparties rated triple-A and AA (Table 35).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Derivative Instruments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normal course of its business, IBRD enters into various derivative instruments to manage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and interest rate risks. These derivatives are used mainly to meet the financial needs of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borrowers and to manage the institution’s exposure to fluctuations in interest and exchange rates.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are conducted with other financial institutions and, by their nature, entail commercial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counterparty credit risk.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the volume of derivative activity can be measured by the contracted notional value of derivatives,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notional value is not an accurate measure of credit or market risk. IBRD uses the estimated replacement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 of the derivative instrument, or potential future exposure to measure counterparty credit risk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these trading partners.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collateral arrangements, IBRD receives collateral when mark-to-market exposure is greater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the ratings based collateral threshold. As of June 30, 2025, IBRD had received collateral of cash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totaling $0.5 billion.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rating. (For the contractual value, notional amounts, related credit risk exposure amounts,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IBRD would be required to post in the event of a downgrade, see Notes to Financial Statements,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Note F: Derivative Instruments).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Investment Securities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Board-approved General Investment Authorization provides the basic authority for IBRD to invest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 assets. Furthermore, all investment activities are conducted in accordance with a more detailed 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Investment Guidelines. The Investment Guidelines are approved by the MDCFO and implemented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Treasurer. These Investment Guidelines set out detailed trading and operational rules,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eligible for investments, and establish risk parameters relative to benchmarks. These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overall consultative loss limit and duration deviation, specifying concentration limits on counterparties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instrument classes, as well as clear lines of responsibility for risk monitoring and compliance.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is controlled by applying eligibility criteria (Box 7).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overall market risk of the investment portfolio is subject to a consultative loss limit to reflect a level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tolerance for the risk of underperforming the benchmark in any fiscal year. IBRD has procedures in place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33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monitor performance against this limit and potential risks, and it takes appropriate actions if the limit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reached. All investments are subject to additional conditions specified by the Chief Risk Officer,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deemed necessary.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exposure to futures and options and resale agreements is marginal. For futures and options,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 closes out open positions prior to expiration. Futures are settled on a daily basis. In addition,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monitors the fair value of resale securities received and, if necessary, closes out transactions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enters into new repriced transactions.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has broadened its universe of investment assets in an effort to achieve greater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diversification in the portfolio and better risk-adjusted investment performance. This exposure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>monitored by the Market and Counterparty Risk Department.</w:t>
      </w:r>
    </w:p>
    <w:p>
      <w:pPr>
        <w:autoSpaceDN w:val="0"/>
        <w:autoSpaceDE w:val="0"/>
        <w:widowControl/>
        <w:spacing w:line="250" w:lineRule="exact" w:before="110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Box 7: Eligibility Criteria for IBRD's Investments </w:t>
      </w:r>
      <w:r>
        <w:rPr>
          <w:rFonts w:ascii="Arial" w:hAnsi="Arial" w:eastAsia="Arial"/>
          <w:b/>
          <w:i w:val="0"/>
          <w:color w:val="00000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86"/>
        </w:trPr>
        <w:tc>
          <w:tcPr>
            <w:tcW w:type="dxa" w:w="200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Instrument Securities</w:t>
            </w:r>
          </w:p>
        </w:tc>
        <w:tc>
          <w:tcPr>
            <w:tcW w:type="dxa" w:w="7316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418"/>
        </w:trPr>
        <w:tc>
          <w:tcPr>
            <w:tcW w:type="dxa" w:w="16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Sovereigns</w:t>
            </w:r>
          </w:p>
        </w:tc>
        <w:tc>
          <w:tcPr>
            <w:tcW w:type="dxa" w:w="765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8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only invest in obligations issued or unconditionally guaranteed by governments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member countries with a minimum credit rating of AA-. However, no rating is required if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6"/>
      </w:tblGrid>
      <w:tr>
        <w:trPr>
          <w:trHeight w:hRule="exact" w:val="228"/>
        </w:trPr>
        <w:tc>
          <w:tcPr>
            <w:tcW w:type="dxa" w:w="933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obligations are denominated in the national currency of the issuer.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406"/>
        </w:trPr>
        <w:tc>
          <w:tcPr>
            <w:tcW w:type="dxa" w:w="15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Agencies</w:t>
            </w:r>
          </w:p>
        </w:tc>
        <w:tc>
          <w:tcPr>
            <w:tcW w:type="dxa" w:w="778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8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invest only in obligations issued by an agency or instrumentality of a government of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member country, a multilateral organization, or any other official entity (other than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08"/>
        </w:trPr>
        <w:tc>
          <w:tcPr>
            <w:tcW w:type="dxa" w:w="235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698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of a member country), with a minimum credit rating of AA-.</w:t>
            </w:r>
          </w:p>
        </w:tc>
      </w:tr>
      <w:tr>
        <w:trPr>
          <w:trHeight w:hRule="exact" w:val="436"/>
        </w:trPr>
        <w:tc>
          <w:tcPr>
            <w:tcW w:type="dxa" w:w="235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Corporates and asset-backed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698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 may only invest in securities with a triple-A credit rating.</w:t>
            </w:r>
          </w:p>
        </w:tc>
      </w:tr>
      <w:tr>
        <w:trPr>
          <w:trHeight w:hRule="exact" w:val="404"/>
        </w:trPr>
        <w:tc>
          <w:tcPr>
            <w:tcW w:type="dxa" w:w="235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deposits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698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only invest in time deposits issued or guaranteed by financial institutions, whose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senior debt securities are rated at least A-.</w:t>
            </w:r>
          </w:p>
        </w:tc>
      </w:tr>
      <w:tr>
        <w:trPr>
          <w:trHeight w:hRule="exact" w:val="404"/>
        </w:trPr>
        <w:tc>
          <w:tcPr>
            <w:tcW w:type="dxa" w:w="235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Commercial Paper</w:t>
            </w:r>
          </w:p>
        </w:tc>
        <w:tc>
          <w:tcPr>
            <w:tcW w:type="dxa" w:w="698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only invest in short-term borrowings (less than 190 days) from commercial banks,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corporates, and financial institutions with at least two Prime-1 ratings.</w:t>
            </w:r>
          </w:p>
        </w:tc>
      </w:tr>
      <w:tr>
        <w:trPr>
          <w:trHeight w:hRule="exact" w:val="826"/>
        </w:trPr>
        <w:tc>
          <w:tcPr>
            <w:tcW w:type="dxa" w:w="235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8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lending,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borrowing, repurchases,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resales, and reverse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repurchases</w:t>
            </w:r>
          </w:p>
        </w:tc>
        <w:tc>
          <w:tcPr>
            <w:tcW w:type="dxa" w:w="698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6" w:after="0"/>
              <w:ind w:left="128" w:right="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engage in securities lending against adequate collateral, repurchases and reverse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repurchases, against adequate margin protection, of the securities described under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sovereigns, agencies, and corporates and asset-backed security categories.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604"/>
        </w:trPr>
        <w:tc>
          <w:tcPr>
            <w:tcW w:type="dxa" w:w="182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Assets</w:t>
            </w:r>
          </w:p>
        </w:tc>
        <w:tc>
          <w:tcPr>
            <w:tcW w:type="dxa" w:w="752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628" w:right="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may engage in collateralized forward transactions, such as swap, repurchase, resale,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lending, or equivalent transactions that involve certain underlying assets not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independently eligible for investment. In each case, adequate margin protection needs to be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24"/>
        </w:trPr>
        <w:tc>
          <w:tcPr>
            <w:tcW w:type="dxa" w:w="330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received.</w:t>
            </w:r>
          </w:p>
        </w:tc>
      </w:tr>
      <w:tr>
        <w:trPr>
          <w:trHeight w:hRule="exact" w:val="286"/>
        </w:trPr>
        <w:tc>
          <w:tcPr>
            <w:tcW w:type="dxa" w:w="330"/>
            <w:tcBorders>
              <w:top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9004"/>
            <w:tcBorders>
              <w:top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All investments are subject to approval by the Market and Counterparty Risk Department and must appear on the “Approved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44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List” created by the department.</w:t>
      </w:r>
    </w:p>
    <w:p>
      <w:pPr>
        <w:autoSpaceDN w:val="0"/>
        <w:tabs>
          <w:tab w:pos="444" w:val="left"/>
        </w:tabs>
        <w:autoSpaceDE w:val="0"/>
        <w:widowControl/>
        <w:spacing w:line="192" w:lineRule="exact" w:before="40" w:after="0"/>
        <w:ind w:left="84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Time deposits include certificates of deposit, bankers’ acceptances, and other obligations issued or unconditionally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guaranteed by banks or other financial institutions.</w:t>
      </w:r>
    </w:p>
    <w:p>
      <w:pPr>
        <w:autoSpaceDN w:val="0"/>
        <w:autoSpaceDE w:val="0"/>
        <w:widowControl/>
        <w:spacing w:line="246" w:lineRule="exact" w:before="16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result of IBRD’s use of collateral arrangements for swap transactions, its residual commercial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counterparty credit risk is concentrated in the investment portfolio, in instruments issued by sovereign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governments and non-sovereign holdings (including agencies, corporates, and asset-backed securities)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(Table 35).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407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06" w:lineRule="exact" w:before="406" w:after="0"/>
        <w:ind w:left="62" w:right="115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35: Commercial Credit Exposure, Net of Collateral Held, by Counterparty Rating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46" w:after="0"/>
        <w:ind w:left="0" w:right="3020" w:firstLine="0"/>
        <w:jc w:val="right"/>
      </w:pPr>
      <w:r>
        <w:rPr>
          <w:rFonts w:ascii="Arial" w:hAnsi="Arial" w:eastAsia="Arial"/>
          <w:b w:val="0"/>
          <w:i/>
          <w:color w:val="A6A6A6"/>
          <w:sz w:val="16"/>
        </w:rPr>
        <w:t>June 30, 2025</w:t>
      </w:r>
    </w:p>
    <w:p>
      <w:pPr>
        <w:autoSpaceDN w:val="0"/>
        <w:autoSpaceDE w:val="0"/>
        <w:widowControl/>
        <w:spacing w:line="178" w:lineRule="exact" w:before="42" w:after="30"/>
        <w:ind w:left="0" w:right="5142" w:firstLine="0"/>
        <w:jc w:val="right"/>
      </w:pPr>
      <w:r>
        <w:rPr>
          <w:rFonts w:ascii="Arial" w:hAnsi="Arial" w:eastAsia="Arial"/>
          <w:b w:val="0"/>
          <w:i/>
          <w:color w:val="494949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19"/>
        </w:trPr>
        <w:tc>
          <w:tcPr>
            <w:tcW w:type="dxa" w:w="246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494949"/>
                <w:sz w:val="10"/>
              </w:rPr>
              <w:t>a</w:t>
            </w:r>
          </w:p>
        </w:tc>
        <w:tc>
          <w:tcPr>
            <w:tcW w:type="dxa" w:w="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Sovereigns</w:t>
            </w:r>
          </w:p>
        </w:tc>
        <w:tc>
          <w:tcPr>
            <w:tcW w:type="dxa" w:w="150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Non-Sovereigns</w:t>
            </w:r>
          </w:p>
        </w:tc>
        <w:tc>
          <w:tcPr>
            <w:tcW w:type="dxa" w:w="2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Net Swap </w:t>
            </w:r>
          </w:p>
        </w:tc>
        <w:tc>
          <w:tcPr>
            <w:tcW w:type="dxa" w:w="3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of </w:t>
            </w:r>
          </w:p>
        </w:tc>
      </w:tr>
      <w:tr>
        <w:trPr>
          <w:trHeight w:hRule="exact" w:val="214"/>
        </w:trPr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890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06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8,334 </w:t>
            </w:r>
          </w:p>
        </w:tc>
        <w:tc>
          <w:tcPr>
            <w:tcW w:type="dxa" w:w="5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12,252 </w:t>
            </w:r>
          </w:p>
        </w:tc>
        <w:tc>
          <w:tcPr>
            <w:tcW w:type="dxa" w:w="28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20,586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21 %</w:t>
            </w:r>
          </w:p>
        </w:tc>
      </w:tr>
      <w:tr>
        <w:trPr>
          <w:trHeight w:hRule="exact" w:val="24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6,499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49,688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56,301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56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7,524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15,541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23,211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4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0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06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22,360 </w:t>
            </w:r>
          </w:p>
        </w:tc>
        <w:tc>
          <w:tcPr>
            <w:tcW w:type="dxa" w:w="564"/>
            <w:tcBorders>
              <w:top w:sz="8.0" w:val="single" w:color="#6C6C6C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77,523 </w:t>
            </w:r>
          </w:p>
        </w:tc>
        <w:tc>
          <w:tcPr>
            <w:tcW w:type="dxa" w:w="2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260 </w:t>
            </w:r>
          </w:p>
        </w:tc>
        <w:tc>
          <w:tcPr>
            <w:tcW w:type="dxa" w:w="3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100,143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80" w:lineRule="exact" w:before="264" w:after="0"/>
        <w:ind w:left="0" w:right="3020" w:firstLine="0"/>
        <w:jc w:val="right"/>
      </w:pPr>
      <w:r>
        <w:rPr>
          <w:rFonts w:ascii="Arial" w:hAnsi="Arial" w:eastAsia="Arial"/>
          <w:b w:val="0"/>
          <w:i/>
          <w:color w:val="A6A6A6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42" w:after="32"/>
        <w:ind w:left="0" w:right="5142" w:firstLine="0"/>
        <w:jc w:val="right"/>
      </w:pPr>
      <w:r>
        <w:rPr>
          <w:rFonts w:ascii="Arial" w:hAnsi="Arial" w:eastAsia="Arial"/>
          <w:b w:val="0"/>
          <w:i/>
          <w:color w:val="494949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19"/>
        </w:trPr>
        <w:tc>
          <w:tcPr>
            <w:tcW w:type="dxa" w:w="246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494949"/>
                <w:sz w:val="10"/>
              </w:rPr>
              <w:t>a</w:t>
            </w:r>
          </w:p>
        </w:tc>
        <w:tc>
          <w:tcPr>
            <w:tcW w:type="dxa" w:w="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Sovereigns</w:t>
            </w:r>
          </w:p>
        </w:tc>
        <w:tc>
          <w:tcPr>
            <w:tcW w:type="dxa" w:w="150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Non-Sovereigns</w:t>
            </w:r>
          </w:p>
        </w:tc>
        <w:tc>
          <w:tcPr>
            <w:tcW w:type="dxa" w:w="2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Net Swap </w:t>
            </w:r>
          </w:p>
        </w:tc>
        <w:tc>
          <w:tcPr>
            <w:tcW w:type="dxa" w:w="3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of </w:t>
            </w:r>
          </w:p>
        </w:tc>
      </w:tr>
      <w:tr>
        <w:trPr>
          <w:trHeight w:hRule="exact" w:val="214"/>
        </w:trPr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890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945"/>
            <w:vMerge/>
            <w:tcBorders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06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9,583 </w:t>
            </w:r>
          </w:p>
        </w:tc>
        <w:tc>
          <w:tcPr>
            <w:tcW w:type="dxa" w:w="5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8,844 </w:t>
            </w:r>
          </w:p>
        </w:tc>
        <w:tc>
          <w:tcPr>
            <w:tcW w:type="dxa" w:w="28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18,427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23 %</w:t>
            </w:r>
          </w:p>
        </w:tc>
      </w:tr>
      <w:tr>
        <w:trPr>
          <w:trHeight w:hRule="exact" w:val="24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6,778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36,481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43,313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7,240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11,505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18,876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4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0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5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06"/>
        </w:trPr>
        <w:tc>
          <w:tcPr>
            <w:tcW w:type="dxa" w:w="24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23,605 </w:t>
            </w:r>
          </w:p>
        </w:tc>
        <w:tc>
          <w:tcPr>
            <w:tcW w:type="dxa" w:w="5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56,865 </w:t>
            </w:r>
          </w:p>
        </w:tc>
        <w:tc>
          <w:tcPr>
            <w:tcW w:type="dxa" w:w="2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3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80,655 </w:t>
            </w:r>
          </w:p>
        </w:tc>
        <w:tc>
          <w:tcPr>
            <w:tcW w:type="dxa" w:w="136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92" w:lineRule="exact" w:before="270" w:after="0"/>
        <w:ind w:left="242" w:right="14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each of the three rating agencies, IBRD uses the average of the ratings available from any of such rating agencies or a </w:t>
      </w:r>
      <w:r>
        <w:rPr>
          <w:rFonts w:ascii="Arial" w:hAnsi="Arial" w:eastAsia="Arial"/>
          <w:b w:val="0"/>
          <w:i/>
          <w:color w:val="000000"/>
          <w:sz w:val="16"/>
        </w:rPr>
        <w:t>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180" w:lineRule="exact" w:before="7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percentage less than 0.5%.</w:t>
      </w:r>
    </w:p>
    <w:p>
      <w:pPr>
        <w:autoSpaceDN w:val="0"/>
        <w:autoSpaceDE w:val="0"/>
        <w:widowControl/>
        <w:spacing w:line="240" w:lineRule="exact" w:before="20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overall commercial counterparty credit exposure, net of collateral held, was $100.1 billion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2025. As shown on Table 35, the credit quality of IBRD’s portfolio remains concentrated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upper end of the credit spectrum, with 77% of the portfolio rated AA or above and the remaining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primarily rated A. The A-rated counterparties primarily consisted of sovereigns and financial institutions,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include collateralized swap exposures and short-term deposits.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Non-Commercial Counterparty Credit Risk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 addition to its derivative transactions with commercial counterparties, IBRD offers derivative-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intermediation and other services to borrowing member countries, as well as to affiliated and non-affiliated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organizations, to help meet their development needs or to carry out their development mandates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36):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36: Non-Commercial Counterparty Credit Risk </w:t>
      </w:r>
    </w:p>
    <w:p>
      <w:pPr>
        <w:autoSpaceDN w:val="0"/>
        <w:autoSpaceDE w:val="0"/>
        <w:widowControl/>
        <w:spacing w:line="180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132" w:after="18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Exposures 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2"/>
        </w:trPr>
        <w:tc>
          <w:tcPr>
            <w:tcW w:type="dxa" w:w="203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Non-Commercial </w:t>
            </w:r>
          </w:p>
        </w:tc>
        <w:tc>
          <w:tcPr>
            <w:tcW w:type="dxa" w:w="1312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Instrument used</w:t>
            </w:r>
          </w:p>
        </w:tc>
        <w:tc>
          <w:tcPr>
            <w:tcW w:type="dxa" w:w="3888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Purpose of derivative transaction</w:t>
            </w:r>
          </w:p>
        </w:tc>
        <w:tc>
          <w:tcPr>
            <w:tcW w:type="dxa" w:w="9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Notional</w:t>
            </w:r>
          </w:p>
        </w:tc>
        <w:tc>
          <w:tcPr>
            <w:tcW w:type="dxa" w:w="130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Net Exposure</w:t>
            </w:r>
          </w:p>
        </w:tc>
      </w:tr>
      <w:tr>
        <w:trPr>
          <w:trHeight w:hRule="exact" w:val="208"/>
        </w:trPr>
        <w:tc>
          <w:tcPr>
            <w:tcW w:type="dxa" w:w="203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Counterparty</w:t>
            </w:r>
          </w:p>
        </w:tc>
        <w:tc>
          <w:tcPr>
            <w:tcW w:type="dxa" w:w="2100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100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50"/>
            <w:vMerge/>
            <w:tcBorders>
              <w:bottom w:sz="8.0" w:val="single" w:color="#6C6C6C"/>
            </w:tcBorders>
          </w:tcPr>
          <w:p/>
        </w:tc>
        <w:tc>
          <w:tcPr>
            <w:tcW w:type="dxa" w:w="2100"/>
            <w:gridSpan w:val="2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208"/>
        </w:trPr>
        <w:tc>
          <w:tcPr>
            <w:tcW w:type="dxa" w:w="203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Member </w:t>
            </w:r>
          </w:p>
        </w:tc>
        <w:tc>
          <w:tcPr>
            <w:tcW w:type="dxa" w:w="11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3484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Assist borrowing member countries with </w:t>
            </w:r>
          </w:p>
        </w:tc>
        <w:tc>
          <w:tcPr>
            <w:tcW w:type="dxa" w:w="5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5,923 $ </w:t>
            </w:r>
          </w:p>
        </w:tc>
        <w:tc>
          <w:tcPr>
            <w:tcW w:type="dxa" w:w="130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2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Countries</w:t>
            </w:r>
          </w:p>
        </w:tc>
        <w:tc>
          <w:tcPr>
            <w:tcW w:type="dxa" w:w="7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managing risks</w:t>
            </w:r>
          </w:p>
        </w:tc>
      </w:tr>
      <w:tr>
        <w:trPr>
          <w:trHeight w:hRule="exact" w:val="240"/>
        </w:trPr>
        <w:tc>
          <w:tcPr>
            <w:tcW w:type="dxa" w:w="2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Non-Affiliated Organization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IFFIm with managing risks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1,844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476"/>
        </w:trPr>
        <w:tc>
          <w:tcPr>
            <w:tcW w:type="dxa" w:w="7230"/>
            <w:gridSpan w:val="6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7,767 $ </w:t>
            </w:r>
          </w:p>
        </w:tc>
        <w:tc>
          <w:tcPr>
            <w:tcW w:type="dxa" w:w="130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466"/>
        </w:trPr>
        <w:tc>
          <w:tcPr>
            <w:tcW w:type="dxa" w:w="5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8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2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Borrowing Member Countries: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Currency and interest rate swap transactions are executed </w:t>
            </w:r>
          </w:p>
        </w:tc>
      </w:tr>
      <w:tr>
        <w:trPr>
          <w:trHeight w:hRule="exact" w:val="1378"/>
        </w:trPr>
        <w:tc>
          <w:tcPr>
            <w:tcW w:type="dxa" w:w="94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0" w:right="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between IBRD and its borrowers under master derivative agreements. As of June 30, 2025,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notional amounts were $5.9 billion with no net exposure to IBRD under these agreements.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Expected losses inherent in these exposures due to country credit risk are incorporated in the fair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value of these instruments.</w:t>
            </w:r>
          </w:p>
        </w:tc>
      </w:tr>
      <w:tr>
        <w:trPr>
          <w:trHeight w:hRule="exact" w:val="724"/>
        </w:trPr>
        <w:tc>
          <w:tcPr>
            <w:tcW w:type="dxa" w:w="90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54"/>
        </w:trPr>
        <w:tc>
          <w:tcPr>
            <w:tcW w:type="dxa" w:w="3970"/>
            <w:gridSpan w:val="2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  <w:tr>
        <w:trPr>
          <w:trHeight w:hRule="exact" w:val="582"/>
        </w:trPr>
        <w:tc>
          <w:tcPr>
            <w:tcW w:type="dxa" w:w="57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2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8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Affiliated Organizations: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Derivative contracts were executed between IBRD and IDA, under an </w:t>
            </w:r>
          </w:p>
        </w:tc>
      </w:tr>
      <w:tr>
        <w:trPr>
          <w:trHeight w:hRule="exact" w:val="492"/>
        </w:trPr>
        <w:tc>
          <w:tcPr>
            <w:tcW w:type="dxa" w:w="9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agreement allowing IBRD to intermediate derivative contracts on behalf of IDA. As of June 30,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2025, IBRD did not have any exposure to IDA under these agreements. </w:t>
            </w:r>
          </w:p>
        </w:tc>
      </w:tr>
      <w:tr>
        <w:trPr>
          <w:trHeight w:hRule="exact" w:val="308"/>
        </w:trPr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Non-Affiliated Organizations: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IBRD has a master derivatives agreement with IFFIm, under which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73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transactions have been executed. As of June 30, 2025, the notional amounts were $1.8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with no net fair value exposures to IBRD under this agreement. IBRD has the right to call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collateral above an agreed specified threshold. As of June 30, 2025, IBRD had not exercised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right, but it reserves the right under the existing terms of the agreement. Rather than calling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collateral, IBRD and IFFIm have agreed to manage IBRD’s exposure by applying a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buffer to the gearing ratio limit. The gearing ratio limit represents the maximum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of IFFIm’s net financial obligations less cash and liquid assets, as a percentage of the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>present value of its financial assets.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Credit and Debit Valuation Adjustments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outstanding derivative positions are transacted over the counter and therefore valued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 developed valuation models. For commercial and non-commercial counterparties where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a net exposure (net receivable position), IBRD calculates a Credit Valuation Adjustment (CVA)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 credit risk. For net derivative positions with commercial and non-commercial counterparties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in a net payable position, IBRD calculates a Debit Valuation Adjustment (DVA) to reflect its own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CVA is calculated using future projected exposures of the derivative contracts, net of collateral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under credit support agreements, and the probability of counterparty default based on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Swaps (CDS) spread and, where applicable, proxy CDS spreads. IBRD does not currently hedge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exposure. The DVA calculation is generally consistent with the CVA methodology and incorporates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own credit spread as observed through the CDS market. As of June 30, 2025, IBRD recorded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>CVA on its Balance Sheet of $36 million, and a DVA of $319 million.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Changes in Credit Spreads</w:t>
      </w:r>
    </w:p>
    <w:p>
      <w:pPr>
        <w:autoSpaceDN w:val="0"/>
        <w:tabs>
          <w:tab w:pos="556" w:val="left"/>
        </w:tabs>
        <w:autoSpaceDE w:val="0"/>
        <w:widowControl/>
        <w:spacing w:line="240" w:lineRule="exact" w:before="130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Borrowings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IBRD’s own credit risk reflects the cost of funding relative to applicable reference rates.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IBRD’s credit spreads result in unrealized mark-to-market gains/losses, recorded 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Change in DVA on Fair Value Option elected liabilities in the Statements of Comprehensive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556" w:val="left"/>
        </w:tabs>
        <w:autoSpaceDE w:val="0"/>
        <w:widowControl/>
        <w:spacing w:line="240" w:lineRule="exact" w:before="120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Loans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IBRD’s fair value model mainly represents a hypothetical MDB market exit price of the loans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outstanding. It incorporates CDS spreads as an indicator of the credit risk for each borrower, after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adjusting recovery levels to incorporate IBRD’s institutional experience and assumptions. These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assumptions are reviewed annually. IBRD does not hedge its sovereign credit exposure but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assesses its credit risk through a loan loss provisioning framework. The loan loss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represents the expected losses inherent in its accrual and nonaccrual portfolios. IBRD’s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credit risk is managed by using individual country exposure limits and by monitoring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credit-risk-bearing capacity.</w:t>
      </w:r>
    </w:p>
    <w:p>
      <w:pPr>
        <w:autoSpaceDN w:val="0"/>
        <w:tabs>
          <w:tab w:pos="556" w:val="left"/>
        </w:tabs>
        <w:autoSpaceDE w:val="0"/>
        <w:widowControl/>
        <w:spacing w:line="240" w:lineRule="exact" w:before="120" w:after="0"/>
        <w:ind w:left="1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Investments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 purchases investment-grade securities for its liquid asset portfolio. Credit risk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controlled through appropriate eligibility criteria (Box 7). The overall risk of the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also constrained by a consultative loss limit. In line with these risk management strategies,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potential effect of default risk on IBRD’s investment portfolio is therefore small.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Derivatives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 uses derivatives to manage exposures to currency and interest rate risks in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investment, loan, other ALM and borrowing portfolios. It is therefore exposed to commercial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counterparty credit risk on these instruments. This risk is managed through:</w:t>
      </w:r>
    </w:p>
    <w:p>
      <w:pPr>
        <w:autoSpaceDN w:val="0"/>
        <w:tabs>
          <w:tab w:pos="1090" w:val="left"/>
        </w:tabs>
        <w:autoSpaceDE w:val="0"/>
        <w:widowControl/>
        <w:spacing w:line="224" w:lineRule="exact" w:before="13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Stringent selection of commercial derivative counterparties, </w:t>
      </w:r>
    </w:p>
    <w:p>
      <w:pPr>
        <w:autoSpaceDN w:val="0"/>
        <w:tabs>
          <w:tab w:pos="1090" w:val="left"/>
        </w:tabs>
        <w:autoSpaceDE w:val="0"/>
        <w:widowControl/>
        <w:spacing w:line="224" w:lineRule="exact" w:before="7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Daily marking-to-market of derivative positions, and </w:t>
      </w:r>
    </w:p>
    <w:p>
      <w:pPr>
        <w:autoSpaceDN w:val="0"/>
        <w:tabs>
          <w:tab w:pos="1090" w:val="left"/>
        </w:tabs>
        <w:autoSpaceDE w:val="0"/>
        <w:widowControl/>
        <w:spacing w:line="224" w:lineRule="exact" w:before="76" w:after="0"/>
        <w:ind w:left="7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Use of collateral and collateral thresholds for all commercial counterparties.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sensitivity of IBRD’s portfolios to changes in credit spreads is shown in Table 37, where the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represents the dollar change in fair value which corresponds to a one basis point parallel upward shift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credit spreads.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30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24" w:lineRule="exact" w:before="42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37: Effect of Credit on IBRD Portfolios</w:t>
      </w:r>
    </w:p>
    <w:p>
      <w:pPr>
        <w:autoSpaceDN w:val="0"/>
        <w:autoSpaceDE w:val="0"/>
        <w:widowControl/>
        <w:spacing w:line="180" w:lineRule="exact" w:before="60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192"/>
        </w:trPr>
        <w:tc>
          <w:tcPr>
            <w:tcW w:type="dxa" w:w="7246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 2025</w:t>
            </w:r>
          </w:p>
        </w:tc>
        <w:tc>
          <w:tcPr>
            <w:tcW w:type="dxa" w:w="264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Credit Effect on Portfolio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>
              <w:bottom w:sz="8.0" w:val="single" w:color="#6C6C6C"/>
            </w:tcBorders>
          </w:tcPr>
          <w:p/>
        </w:tc>
        <w:tc>
          <w:tcPr>
            <w:tcW w:type="dxa" w:w="3149"/>
            <w:vMerge/>
            <w:tcBorders>
              <w:bottom w:sz="8.0" w:val="single" w:color="#6C6C6C"/>
            </w:tcBorders>
          </w:tcPr>
          <w:p/>
        </w:tc>
        <w:tc>
          <w:tcPr>
            <w:tcW w:type="dxa" w:w="18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5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Sensitivity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00"/>
        </w:trPr>
        <w:tc>
          <w:tcPr>
            <w:tcW w:type="dxa" w:w="724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264"/>
            <w:vMerge w:val="restart"/>
            <w:tcBorders>
              <w:top w:sz="8.0" w:val="single" w:color="#6C6C6C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7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</w:tr>
      <w:tr>
        <w:trPr>
          <w:trHeight w:hRule="exact" w:val="260"/>
        </w:trPr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149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1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</w:tr>
      <w:tr>
        <w:trPr>
          <w:trHeight w:hRule="exact" w:val="260"/>
        </w:trPr>
        <w:tc>
          <w:tcPr>
            <w:tcW w:type="dxa" w:w="724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149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187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20"/>
        </w:trPr>
        <w:tc>
          <w:tcPr>
            <w:tcW w:type="dxa" w:w="724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gains</w:t>
            </w:r>
          </w:p>
        </w:tc>
        <w:tc>
          <w:tcPr>
            <w:tcW w:type="dxa" w:w="26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7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116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CVA and DVA on derivatives.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If loans were measured at fair value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Excludes PEBP and PCRF holdings and investments related to LPF1 and GFPP.</w:t>
      </w:r>
    </w:p>
    <w:p>
      <w:pPr>
        <w:autoSpaceDN w:val="0"/>
        <w:autoSpaceDE w:val="0"/>
        <w:widowControl/>
        <w:spacing w:line="314" w:lineRule="exact" w:before="2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Market Risk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exposed to changes in interest and exchange rates, and it uses various strategies to minimize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to market risk.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Interest Rate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its current interest rate risk management strategy, IBRD seeks to match the interest rate sensitivity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its assets (loan and investment trading portfolios) with those of its liabilities (borrowing portfolio)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using derivatives, such as interest rate swaps. These derivatives effectively convert IBRD’s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and liabilities into variable-rate instruments. Before these derivatives, 90% of the outstanding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had fixed interest rates, and 11% of the loans had fixed interest rates as of June 30, 2025.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considering the effects of these derivatives, virtually the entire borrowing and loan portfolios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reported at variable interest rates.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Loan and Borrowing Portfolios: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line with IBRD’s financial risk management strategies,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sensitivity of IBRD’s loan and borrowing portfolios to changes in interest rates is managed through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derivatives. As noted earlier, IBRD intends to maintain its positions in these portfolios until maturity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and thus manages these instruments on a cash flow basis. The resulting net unrealized mark-to-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gains and losses on these portfolios, associated with the sensitivity to interest rates, are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therefore not expected to be realized.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Other ALM: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IBRD uses derivatives to convert the variable rate cash flows on loans funded by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back to fixed rate cash flows, thereby stabilizing loan interest revenue over time. Other ALM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classified as a non-trading portfolio and these derivatives are recorded at fair value.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Investments: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After the effects of derivatives, the duration of the investment trading portfolio is less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three months. As a result, the portfolio has a low sensitivity to changes in interest rates,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resulting in small fair value adjustments to income.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sensitivity of these portfolios to interest rate movements, after the effect of derivatives, is shown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38 below where the amount represents the dollar change in fair value corresponding to a one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>point parallel upward shift in interest rates as of June 30, 2025.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38: Effect of Interest Rates on IBRD's Portfolios</w:t>
      </w:r>
    </w:p>
    <w:p>
      <w:pPr>
        <w:autoSpaceDN w:val="0"/>
        <w:autoSpaceDE w:val="0"/>
        <w:widowControl/>
        <w:spacing w:line="180" w:lineRule="exact" w:before="60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06"/>
        </w:trPr>
        <w:tc>
          <w:tcPr>
            <w:tcW w:type="dxa" w:w="6554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 2025</w:t>
            </w:r>
          </w:p>
        </w:tc>
        <w:tc>
          <w:tcPr>
            <w:tcW w:type="dxa" w:w="376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Interest Rates Effect on </w:t>
            </w:r>
          </w:p>
        </w:tc>
      </w:tr>
      <w:tr>
        <w:trPr>
          <w:trHeight w:hRule="exact" w:val="226"/>
        </w:trPr>
        <w:tc>
          <w:tcPr>
            <w:tcW w:type="dxa" w:w="3149"/>
            <w:vMerge/>
            <w:tcBorders>
              <w:bottom w:sz="8.0" w:val="single" w:color="#6C6C6C"/>
            </w:tcBorders>
          </w:tcPr>
          <w:p/>
        </w:tc>
        <w:tc>
          <w:tcPr>
            <w:tcW w:type="dxa" w:w="3149"/>
            <w:vMerge/>
            <w:tcBorders>
              <w:bottom w:sz="8.0" w:val="single" w:color="#6C6C6C"/>
            </w:tcBorders>
          </w:tcPr>
          <w:p/>
        </w:tc>
        <w:tc>
          <w:tcPr>
            <w:tcW w:type="dxa" w:w="243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Portfolio Sensitivity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196"/>
        </w:trPr>
        <w:tc>
          <w:tcPr>
            <w:tcW w:type="dxa" w:w="6554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376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43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80"/>
        </w:trPr>
        <w:tc>
          <w:tcPr>
            <w:tcW w:type="dxa" w:w="65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1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00"/>
        </w:trPr>
        <w:tc>
          <w:tcPr>
            <w:tcW w:type="dxa" w:w="65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</w:t>
            </w:r>
          </w:p>
        </w:tc>
        <w:tc>
          <w:tcPr>
            <w:tcW w:type="dxa" w:w="31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</w:tr>
      <w:tr>
        <w:trPr>
          <w:trHeight w:hRule="exact" w:val="284"/>
        </w:trPr>
        <w:tc>
          <w:tcPr>
            <w:tcW w:type="dxa" w:w="655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1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43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655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losses</w:t>
            </w:r>
          </w:p>
        </w:tc>
        <w:tc>
          <w:tcPr>
            <w:tcW w:type="dxa" w:w="37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43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(27)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After the effects of derivatives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If loans were measured at fair value.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Excludes PEBP and PCRF holdings and investments related to LPF1 and GFPP.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426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6565900</wp:posOffset>
            </wp:positionV>
            <wp:extent cx="5956300" cy="2616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15 depicts the effect of derivatives on the overall sensitivity of borrowing, loan, other ALM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portfolios. It indicates the extent to which each portfolio is economically hedged.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example, for the borrowing portfolio, a one basis point increase in interest rates would result in $118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of unrealized mark-to-market gains on bonds, which would be offset by the impact of $121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unrealized mark-to-market losses on swaps. Loan sensitivities are illustrative as loans are reported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>amortized cost on the Balance Sheets.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15: Sensitivity to Interest Rates</w:t>
      </w:r>
    </w:p>
    <w:p>
      <w:pPr>
        <w:autoSpaceDN w:val="0"/>
        <w:autoSpaceDE w:val="0"/>
        <w:widowControl/>
        <w:spacing w:line="192" w:lineRule="exact" w:before="70" w:after="0"/>
        <w:ind w:left="10" w:right="23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(Dollar change in fair value corresponding to a one-basis-point upward parallel shift in interest rates)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78" w:lineRule="exact" w:before="134" w:after="24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>
        <w:trPr>
          <w:trHeight w:hRule="exact" w:val="38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2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Borrowing Portfolio </w:t>
            </w:r>
          </w:p>
        </w:tc>
        <w:tc>
          <w:tcPr>
            <w:tcW w:type="dxa" w:w="2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Loan Portfolio </w:t>
            </w:r>
          </w:p>
        </w:tc>
        <w:tc>
          <w:tcPr>
            <w:tcW w:type="dxa" w:w="2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Other ALM </w:t>
            </w:r>
          </w:p>
        </w:tc>
        <w:tc>
          <w:tcPr>
            <w:tcW w:type="dxa" w:w="2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Investment Portfolio </w:t>
            </w:r>
          </w:p>
        </w:tc>
      </w:tr>
      <w:tr>
        <w:trPr>
          <w:trHeight w:hRule="exact" w:val="260"/>
        </w:trPr>
        <w:tc>
          <w:tcPr>
            <w:tcW w:type="dxa" w:w="450"/>
            <w:vMerge/>
            <w:tcBorders/>
          </w:tcPr>
          <w:p/>
        </w:tc>
        <w:tc>
          <w:tcPr>
            <w:tcW w:type="dxa" w:w="2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Swaps   Bonds</w:t>
            </w:r>
          </w:p>
        </w:tc>
        <w:tc>
          <w:tcPr>
            <w:tcW w:type="dxa" w:w="2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  Swaps</w:t>
            </w:r>
          </w:p>
        </w:tc>
        <w:tc>
          <w:tcPr>
            <w:tcW w:type="dxa" w:w="2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3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Swaps </w:t>
            </w:r>
          </w:p>
        </w:tc>
        <w:tc>
          <w:tcPr>
            <w:tcW w:type="dxa" w:w="2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  Swaps </w:t>
            </w:r>
          </w:p>
        </w:tc>
      </w:tr>
      <w:tr>
        <w:trPr>
          <w:trHeight w:hRule="exact" w:val="580"/>
        </w:trPr>
        <w:tc>
          <w:tcPr>
            <w:tcW w:type="dxa" w:w="450"/>
            <w:vMerge/>
            <w:tcBorders/>
          </w:tcPr>
          <w:p/>
        </w:tc>
        <w:tc>
          <w:tcPr>
            <w:tcW w:type="dxa" w:w="23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585"/>
              <w:gridCol w:w="585"/>
              <w:gridCol w:w="585"/>
              <w:gridCol w:w="585"/>
            </w:tblGrid>
            <w:tr>
              <w:trPr>
                <w:trHeight w:hRule="exact" w:val="1104"/>
              </w:trPr>
              <w:tc>
                <w:tcPr>
                  <w:tcW w:type="dxa" w:w="1006"/>
                  <w:gridSpan w:val="2"/>
                  <w:tcBorders>
                    <w:end w:sz="6.006378173828125" w:val="single" w:color="#585958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5.99999999999994" w:type="dxa"/>
                  </w:tblPr>
                  <w:tblGrid>
                    <w:gridCol w:w="100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798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-121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1.9999999999999" w:type="dxa"/>
                  </w:tblPr>
                  <w:tblGrid>
                    <w:gridCol w:w="1006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662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-100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8"/>
                  <w:gridSpan w:val="2"/>
                  <w:tcBorders>
                    <w:start w:sz="6.006378173828125" w:val="single" w:color="#585958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6.00000000000023" w:type="dxa"/>
                  </w:tblPr>
                  <w:tblGrid>
                    <w:gridCol w:w="100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1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0" w:right="8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595959"/>
                            <w:sz w:val="20"/>
                          </w:rPr>
                          <w:t>118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6.00000000000023" w:type="dxa"/>
                  </w:tblPr>
                  <w:tblGrid>
                    <w:gridCol w:w="1008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474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595959"/>
                            <w:sz w:val="20"/>
                          </w:rPr>
                          <w:t>99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530"/>
              <w:gridCol w:w="530"/>
              <w:gridCol w:w="530"/>
              <w:gridCol w:w="530"/>
            </w:tblGrid>
            <w:tr>
              <w:trPr>
                <w:trHeight w:hRule="exact" w:val="1104"/>
              </w:trPr>
              <w:tc>
                <w:tcPr>
                  <w:tcW w:type="dxa" w:w="930"/>
                  <w:gridSpan w:val="2"/>
                  <w:tcBorders>
                    <w:end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66" w:after="268"/>
                    <w:ind w:left="0" w:right="19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595959"/>
                      <w:sz w:val="20"/>
                    </w:rPr>
                    <w:t>-35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1.9999999999999" w:type="dxa"/>
                  </w:tblPr>
                  <w:tblGrid>
                    <w:gridCol w:w="93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51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595959"/>
                            <w:sz w:val="20"/>
                          </w:rPr>
                          <w:t>-33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44"/>
                  <w:gridSpan w:val="2"/>
                  <w:tcBorders>
                    <w:start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944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56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36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944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510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33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530"/>
              <w:gridCol w:w="530"/>
              <w:gridCol w:w="530"/>
              <w:gridCol w:w="530"/>
            </w:tblGrid>
            <w:tr>
              <w:trPr>
                <w:trHeight w:hRule="exact" w:val="1104"/>
              </w:trPr>
              <w:tc>
                <w:tcPr>
                  <w:tcW w:type="dxa" w:w="930"/>
                  <w:gridSpan w:val="2"/>
                  <w:tcBorders>
                    <w:end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2.00000000000045" w:type="dxa"/>
                  </w:tblPr>
                  <w:tblGrid>
                    <w:gridCol w:w="93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750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-24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2.00000000000045" w:type="dxa"/>
                  </w:tblPr>
                  <w:tblGrid>
                    <w:gridCol w:w="93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750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-24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44"/>
                  <w:gridSpan w:val="2"/>
                  <w:tcBorders>
                    <w:start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3.9999999999998" w:type="dxa"/>
            </w:tblPr>
            <w:tblGrid>
              <w:gridCol w:w="585"/>
              <w:gridCol w:w="585"/>
              <w:gridCol w:w="585"/>
              <w:gridCol w:w="585"/>
            </w:tblGrid>
            <w:tr>
              <w:trPr>
                <w:trHeight w:hRule="exact" w:val="1104"/>
              </w:trPr>
              <w:tc>
                <w:tcPr>
                  <w:tcW w:type="dxa" w:w="964"/>
                  <w:gridSpan w:val="2"/>
                  <w:tcBorders>
                    <w:end w:sz="6.011756420135498" w:val="single" w:color="#585958"/>
                    <w:bottom w:sz="6.011756420135498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8.00000000000068" w:type="dxa"/>
                  </w:tblPr>
                  <w:tblGrid>
                    <w:gridCol w:w="964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768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20"/>
                          </w:rPr>
                          <w:t>-4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3.9999999999998" w:type="dxa"/>
                  </w:tblPr>
                  <w:tblGrid>
                    <w:gridCol w:w="964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392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20"/>
                          </w:rPr>
                          <w:t>-2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gridSpan w:val="2"/>
                  <w:tcBorders>
                    <w:start w:sz="6.011756420135498" w:val="single" w:color="#585958"/>
                    <w:bottom w:sz="6.011756420135498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98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72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6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FFFFFF"/>
                            <w:sz w:val="20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98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196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FFFFFF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2250"/>
            <w:gridSpan w:val="5"/>
            <w:vMerge/>
            <w:tcBorders/>
          </w:tcPr>
          <w:p/>
        </w:tc>
        <w:tc>
          <w:tcPr>
            <w:tcW w:type="dxa" w:w="2250"/>
            <w:gridSpan w:val="5"/>
            <w:vMerge/>
            <w:tcBorders/>
          </w:tcPr>
          <w:p/>
        </w:tc>
        <w:tc>
          <w:tcPr>
            <w:tcW w:type="dxa" w:w="2250"/>
            <w:gridSpan w:val="5"/>
            <w:vMerge/>
            <w:tcBorders/>
          </w:tcPr>
          <w:p/>
        </w:tc>
        <w:tc>
          <w:tcPr>
            <w:tcW w:type="dxa" w:w="2250"/>
            <w:gridSpan w:val="5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5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-150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-75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75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-60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-30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-30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-15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-5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-3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Alignment of Assets and Liabilities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– IBRD borrows in multiple currency and interest rate bases worldwide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lends the proceeds of those borrowings to eligible member countries. IBRD offers its borrowers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 of converting the currency and interest rate bases on their loans where there is a liquid swap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market, thereby enabling them to select loan terms that are best suited to their circumstances.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options meet borrowers’ preferences and help mitigate their currency and interest rate risk.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absence of active risk management, IBRD would be exposed to substantial market risk and asset-liability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imbalances. To address such imbalances, IBRD uses derivatives to swap its payment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on bonds to a currency and interest rate basis that is aligned with its loan portfolio. Likewise,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 borrower exercises a conversion option on a loan to change its currency or interest rate basis,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derivatives to convert its exposure back to a currency and interest rate basis, that is aligned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its loan portfolio. Thus, IBRD’s payment obligations on its borrowings are aligned with its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funded by such borrowings – generally, after the effect of derivatives, IBRD primarily pays either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>dollar or euro, short-term variable rates on its borrowings, and receives either U.S. dollar or euro, short-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variable rates on its loans. Figure 16 below illustrates the use of derivatives in the loan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borrowing portfolios.</w:t>
      </w:r>
    </w:p>
    <w:p>
      <w:pPr>
        <w:autoSpaceDN w:val="0"/>
        <w:autoSpaceDE w:val="0"/>
        <w:widowControl/>
        <w:spacing w:line="224" w:lineRule="exact" w:before="136" w:after="25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16: Use of Derivatives for Loans and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55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5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Market Debt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58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After Derivatives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9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Currency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Loans</w:t>
            </w:r>
          </w:p>
        </w:tc>
      </w:tr>
      <w:tr>
        <w:trPr>
          <w:trHeight w:hRule="exact" w:val="520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4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Non-US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Currency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7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US dollars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</w:tr>
      <w:tr>
        <w:trPr>
          <w:trHeight w:hRule="exact" w:val="60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currencies of </w:t>
            </w:r>
          </w:p>
        </w:tc>
      </w:tr>
      <w:tr>
        <w:trPr>
          <w:trHeight w:hRule="exact" w:val="120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Currencies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and euros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borrowers' </w:t>
            </w:r>
          </w:p>
        </w:tc>
      </w:tr>
      <w:tr>
        <w:trPr>
          <w:trHeight w:hRule="exact" w:val="486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74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8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94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Reference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56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preference</w:t>
            </w:r>
          </w:p>
        </w:tc>
      </w:tr>
      <w:tr>
        <w:trPr>
          <w:trHeight w:hRule="exact" w:val="414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</w:tr>
      <w:tr>
        <w:trPr>
          <w:trHeight w:hRule="exact" w:val="80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Rate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</w:p>
        </w:tc>
      </w:tr>
      <w:tr>
        <w:trPr>
          <w:trHeight w:hRule="exact" w:val="94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rate-based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bases or fixed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Rate Swaps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bases or fixed </w:t>
            </w:r>
          </w:p>
        </w:tc>
      </w:tr>
      <w:tr>
        <w:trPr>
          <w:trHeight w:hRule="exact" w:val="114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floating rate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57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coupon rate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coupon rate</w:t>
            </w:r>
          </w:p>
        </w:tc>
      </w:tr>
      <w:tr>
        <w:trPr>
          <w:trHeight w:hRule="exact" w:val="904"/>
        </w:trPr>
        <w:tc>
          <w:tcPr>
            <w:tcW w:type="dxa" w:w="1574"/>
            <w:vMerge/>
            <w:tcBorders/>
          </w:tcPr>
          <w:p/>
        </w:tc>
        <w:tc>
          <w:tcPr>
            <w:tcW w:type="dxa" w:w="5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1866900</wp:posOffset>
            </wp:positionV>
            <wp:extent cx="5956300" cy="2552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552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 are also used to manage market risk in the liquidity portfolio. In line with its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mandate, IBRD maintains a large liquidity balance to ensure that it can make payments on its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and loan disbursements, even in the event of severe market disruptions. Pending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disbursement, the liquidity portfolio is invested on a global basis in multiple currencies and interest rates.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 are also used to align the currency and duration of investments with the debt funding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liquidity portfolio. Figure 17 below illustrates the use of derivatives in the liquidity portfolio:</w:t>
      </w:r>
    </w:p>
    <w:p>
      <w:pPr>
        <w:autoSpaceDN w:val="0"/>
        <w:autoSpaceDE w:val="0"/>
        <w:widowControl/>
        <w:spacing w:line="224" w:lineRule="exact" w:before="136" w:after="25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17: Use of Derivatives for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59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Market Debt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Currency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After Derivatives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4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Liquidity Portfolio</w:t>
            </w:r>
          </w:p>
        </w:tc>
      </w:tr>
      <w:tr>
        <w:trPr>
          <w:trHeight w:hRule="exact" w:val="57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Non-US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US dollars 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Currency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</w:tr>
      <w:tr>
        <w:trPr>
          <w:trHeight w:hRule="exact" w:val="188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Currencies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89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currencies</w:t>
            </w:r>
          </w:p>
        </w:tc>
      </w:tr>
      <w:tr>
        <w:trPr>
          <w:trHeight w:hRule="exact" w:val="472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Reference 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multiple </w:t>
            </w:r>
          </w:p>
        </w:tc>
      </w:tr>
      <w:tr>
        <w:trPr>
          <w:trHeight w:hRule="exact" w:val="180"/>
        </w:trPr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</w:p>
        </w:tc>
      </w:tr>
      <w:tr>
        <w:trPr>
          <w:trHeight w:hRule="exact" w:val="76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rate-based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Rate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bases or fixed </w:t>
            </w:r>
          </w:p>
        </w:tc>
      </w:tr>
      <w:tr>
        <w:trPr>
          <w:trHeight w:hRule="exact" w:val="55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bases or fixed 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floating rate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165"/>
        </w:trPr>
        <w:tc>
          <w:tcPr>
            <w:tcW w:type="dxa" w:w="1889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Rate Swaps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coupon rate</w:t>
            </w:r>
          </w:p>
        </w:tc>
      </w:tr>
      <w:tr>
        <w:trPr>
          <w:trHeight w:hRule="exact" w:val="30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coupon rate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784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Other ALM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– Given most loans carry variable rates, for the portion of loans that are funded by equity,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revenue, if left unmanaged, would be highly sensitive to fluctuations in short-term interest rates.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Equity-to-Loans ratio of 21.6% indicates the portion of loans funded by equity. To manage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exposure, Management has put in place a framework with the primary goal of stabilizing this revenue.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this framework, IBRD uses derivatives to convert the variable rate cash flows on loans funded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 back to fixed rate cash flows, thereby stabilizing loan interest revenue over time. See Figure 18 </w:t>
      </w:r>
      <w:r>
        <w:rPr>
          <w:rFonts w:ascii="ArialMT" w:hAnsi="ArialMT" w:eastAsia="ArialMT"/>
          <w:b w:val="0"/>
          <w:i w:val="0"/>
          <w:color w:val="000000"/>
          <w:sz w:val="20"/>
        </w:rPr>
        <w:t>below.</w:t>
      </w:r>
    </w:p>
    <w:p>
      <w:pPr>
        <w:autoSpaceDN w:val="0"/>
        <w:autoSpaceDE w:val="0"/>
        <w:widowControl/>
        <w:spacing w:line="224" w:lineRule="exact" w:before="136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18: Use of Derivatives for Other ALM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9"/>
        <w:gridCol w:w="3149"/>
        <w:gridCol w:w="3149"/>
      </w:tblGrid>
      <w:tr>
        <w:trPr>
          <w:trHeight w:hRule="exact" w:val="646"/>
        </w:trPr>
        <w:tc>
          <w:tcPr>
            <w:tcW w:type="dxa" w:w="4456"/>
            <w:gridSpan w:val="2"/>
            <w:tcBorders/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201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Equity-Funded Loans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(After Loan Derivatives)</w:t>
            </w:r>
          </w:p>
        </w:tc>
        <w:tc>
          <w:tcPr>
            <w:tcW w:type="dxa" w:w="2100"/>
            <w:tcBorders/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After Derivatives</w:t>
            </w:r>
          </w:p>
        </w:tc>
      </w:tr>
      <w:tr>
        <w:trPr>
          <w:trHeight w:hRule="exact" w:val="554"/>
        </w:trPr>
        <w:tc>
          <w:tcPr>
            <w:tcW w:type="dxa" w:w="4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5.99999999999994" w:type="dxa"/>
            </w:tblPr>
            <w:tblGrid>
              <w:gridCol w:w="4456"/>
            </w:tblGrid>
            <w:tr>
              <w:trPr>
                <w:trHeight w:hRule="exact" w:val="458"/>
              </w:trPr>
              <w:tc>
                <w:tcPr>
                  <w:tcW w:type="dxa" w:w="1582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25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 xml:space="preserve">Floating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1.99999999999932" w:type="dxa"/>
            </w:tblPr>
            <w:tblGrid>
              <w:gridCol w:w="2100"/>
            </w:tblGrid>
            <w:tr>
              <w:trPr>
                <w:trHeight w:hRule="exact" w:val="604"/>
              </w:trPr>
              <w:tc>
                <w:tcPr>
                  <w:tcW w:type="dxa" w:w="1584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7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 xml:space="preserve">Fixed Rate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3.99999999999977" w:type="dxa"/>
            </w:tblPr>
            <w:tblGrid>
              <w:gridCol w:w="2100"/>
            </w:tblGrid>
            <w:tr>
              <w:trPr>
                <w:trHeight w:hRule="exact" w:val="272"/>
              </w:trPr>
              <w:tc>
                <w:tcPr>
                  <w:tcW w:type="dxa" w:w="158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8" w:after="0"/>
                    <w:ind w:left="1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Cash Flows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64"/>
        </w:trPr>
        <w:tc>
          <w:tcPr>
            <w:tcW w:type="dxa" w:w="2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576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Cash Flows</w:t>
            </w:r>
          </w:p>
        </w:tc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2438"/>
            </w:tblGrid>
            <w:tr>
              <w:trPr>
                <w:trHeight w:hRule="exact" w:val="570"/>
              </w:trPr>
              <w:tc>
                <w:tcPr>
                  <w:tcW w:type="dxa" w:w="2296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28" w:after="0"/>
                    <w:ind w:left="14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Interest Rate Swaps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3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interest rates have been rising, low and negative interest rates present a challenge for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 portfolios.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Loans to borrowing countries: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loan agreements, if an interest rate formula yields a negative rate, the interest rate charged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zero.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Liquid Asset Portfolio: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existing guidelines allow for the investment in a wide variety of credit products in both developed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emerging market economies (see investment eligibility criteria in Box 7). In FY25, IBRD’s liquid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>portfolio incurred unrealized mark-to-market losses due to the sharp increase in interest rates.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77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57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interest rate risk on IBRD’s liquid asset portfolio, including the risk that the value of assets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will fluctuate in response to changes in market interest rates, is managed within specified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duration-mismatch limits. The liquid asset portfolio has spread exposure because IBRD holds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than short-term bank deposits. These investments generally yield positive returns over the risk-free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reference rate (Secured Overnight Financing Rate - SOFR) but can generate mark-to-market gains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losses if the credit spread moves.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Fixed Spread Loan Refinancing Risk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Refinancing risk for funding fixed-spread loans relates to the potential impact of any future deterioration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IBRD's funding spread relative to what was computed in the fixed-spread when the loan was initially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disbursed. IBRD does not match the maturity of its funding with that of its fixed spread loans as this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 in significantly higher financing costs for all loans. Instead, IBRD targets a shorter average funding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maturity and manages the refinancing risk by charging a risk premium.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Effective April 1, 2021, IBRD’s offering of loans on fixed spread terms has been suspended.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Other Interest Rate Risks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 risk also arises from other variables, including differences in timing between the contractual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maturities or re-pricing of IBRD’s assets, liabilities, and derivative instruments. On variable-rate assets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liabilities, IBRD is exposed to timing mismatches between the re-set dates on its variable-rate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receivables and payables. IBRD monitors these exposures and may execute overlay interest rates swaps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reduce sizable timing mismatches.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Exchange Rate Risk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holds the majority of its assets and liabilities in U.S. dollars and euro. However, the reported levels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its assets, liabilities, income, and expenses in the financial statements are affected by exchange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movements in all the currencies in which IBRD transacts, relative to its reporting currency, the U.S. dollar.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functional currencies are the U.S. dollar and euro. Currency translation adjustments relating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euro-denominated balances are reflected in other comprehensive income, a component of equity.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translation adjustments relating to non-euro denominated balances (non-functional currencies)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reported in the Statements of Income. While IBRD’s equity could be affected by exchange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movements, IBRD’s risk management policies work to minimize the exchange rate risk in its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>adequacy, by immunizing the Equity-to-Loans ratio against exchange rate movements.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minimize exchange risk, IBRD matches its borrowing obligations in any one currency (after derivatives)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assets in the same currency. In addition, IBRD undertakes periodic currency conversions to align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composition of its equity with that of its outstanding loans across major currencies. Together,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policies are designed to minimize the impact of exchange rate fluctuations on the Equity-to-Loans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ratio; thereby preserving IBRD’s ability to better absorb unexpected losses from arrears on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repayments, regardless of exchange rate movements. As a result, exchange rate movements during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year generally do not have an impact on the overall Equity-to-Loans ratio.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currency composition of the Loan portfolio (after the effect of associated derivatives)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2025 mainly consists of 79% U.S. Dollars and 20% euros.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currency composition of the Borrowing portfolio (after the effect of associated derivatives) funding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loans as of June 30, 2025 mainly consists of 79% U.S. Dollars and 20% euros.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Liquidity Risk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risk arises in the general funding of IBRD’s activities and in managing its financial position.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the risk of IBRD being unable to fund its portfolio of assets at appropriate maturities and rates,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risk of being 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liquidity management guidelines, aggregate liquid asset holdings are kept at or above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specified Prudential Minimum to safeguard against cash flow interruptions.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Target Liquidity Level represents twelve-months’ coverage as calculated at the start of every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year. The Prudential Minimum is defined as 80% of the Target Liquidity Level. The maximum guideline of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66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 xml:space="preserve">Section IX: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150% of the Target Liquidity Level continues to function as a guideline rather than a hard ceiling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39). </w:t>
      </w:r>
    </w:p>
    <w:p>
      <w:pPr>
        <w:autoSpaceDN w:val="0"/>
        <w:autoSpaceDE w:val="0"/>
        <w:widowControl/>
        <w:spacing w:line="224" w:lineRule="exact" w:before="204" w:after="2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39: Liquidity Levels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16"/>
        </w:trPr>
        <w:tc>
          <w:tcPr>
            <w:tcW w:type="dxa" w:w="327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 Effective for FY25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In billions of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% of Target </w:t>
            </w:r>
          </w:p>
        </w:tc>
      </w:tr>
      <w:tr>
        <w:trPr>
          <w:trHeight w:hRule="exact" w:val="220"/>
        </w:trPr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U.S. dollars</w:t>
            </w:r>
          </w:p>
        </w:tc>
        <w:tc>
          <w:tcPr>
            <w:tcW w:type="dxa" w:w="12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Liquidity Level</w:t>
            </w:r>
          </w:p>
        </w:tc>
      </w:tr>
      <w:tr>
        <w:trPr>
          <w:trHeight w:hRule="exact" w:val="242"/>
        </w:trPr>
        <w:tc>
          <w:tcPr>
            <w:tcW w:type="dxa" w:w="32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Target Liquidity Level</w:t>
            </w:r>
          </w:p>
        </w:tc>
        <w:tc>
          <w:tcPr>
            <w:tcW w:type="dxa" w:w="48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65.0 </w:t>
            </w:r>
          </w:p>
        </w:tc>
        <w:tc>
          <w:tcPr>
            <w:tcW w:type="dxa" w:w="1244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150 %</w:t>
            </w:r>
          </w:p>
        </w:tc>
      </w:tr>
      <w:tr>
        <w:trPr>
          <w:trHeight w:hRule="exact" w:val="238"/>
        </w:trPr>
        <w:tc>
          <w:tcPr>
            <w:tcW w:type="dxa" w:w="3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Guideline Maximum Liquidity Level</w:t>
            </w:r>
          </w:p>
        </w:tc>
        <w:tc>
          <w:tcPr>
            <w:tcW w:type="dxa" w:w="2361"/>
            <w:vMerge/>
            <w:tcBorders>
              <w:top w:sz="8.0" w:val="single" w:color="#6C6C6C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97.5 </w:t>
            </w:r>
          </w:p>
        </w:tc>
        <w:tc>
          <w:tcPr>
            <w:tcW w:type="dxa" w:w="2361"/>
            <w:vMerge/>
            <w:tcBorders>
              <w:top w:sz="8.0" w:val="single" w:color="#6C6C6C"/>
            </w:tcBorders>
          </w:tcPr>
          <w:p/>
        </w:tc>
      </w:tr>
      <w:tr>
        <w:trPr>
          <w:trHeight w:hRule="exact" w:val="242"/>
        </w:trPr>
        <w:tc>
          <w:tcPr>
            <w:tcW w:type="dxa" w:w="3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52.0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80 %</w:t>
            </w:r>
          </w:p>
        </w:tc>
      </w:tr>
      <w:tr>
        <w:trPr>
          <w:trHeight w:hRule="exact" w:val="238"/>
        </w:trPr>
        <w:tc>
          <w:tcPr>
            <w:tcW w:type="dxa" w:w="32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 Portfolio as of June 30, 2025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96.0 </w:t>
            </w:r>
          </w:p>
        </w:tc>
        <w:tc>
          <w:tcPr>
            <w:tcW w:type="dxa" w:w="12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148 %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FY26 Target Liquidity Level is set at $79.0 billion, $14.0 billion higher than FY25 Target Liquidity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Level due to higher projected debt service and net loan disbursements in FY26.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Operational Risk 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 is defined as the risk of financial loss or damage to IBRD’s reputation resulting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inadequate or failed internal processes, people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recognizes the importance of operational risk management activities, which are embedded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operations. As part of its business activities, IBRD is exposed to a range of operational risks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physical security, staff health and safety, information security and data privacy, business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continuity, and third-party risks. IBRD’s approach to identifying and managing operational risk includes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dedicated program for these risks and a robust process that includes assessing and prioritizing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risks, monitoring and reporting relevant key risk indicators, aggregating and analyzing internal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external events, identifying emerging risks that may affect business units, and developing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responses and mitigating actions.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Cybersecurity Risk Management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operations rely on the secure processing, storage and transmission of confidential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in computer systems and networks. Like other financial institutions, cybersecurity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continues to be significant for IBRD due to the evolving sophistication and complexity of the cyber threat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landscape. These risks are unavoidable and IBRD seeks to manage them on a cost-effective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consistent with its risk appetite.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protect the security of its computer systems, software, networks and other technology assets,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developed a cybersecurity risk management program, aligned with its Operational Risk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Framework. This program consists of cybersecurity policies, procedures, compliance and awareness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programs. A multi-layered approach for cybersecurity risk management is employed to prevent and detect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malicious activity, both from within the organization and from external sources. In response to emerging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cyber threats such as malware including ransomware, denial of service, phishing attacks and artificial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intelligence related risks, IBRD adapts its technical and process-level controls and enhances user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awareness to mitigate the risk. When relying on third-party vendors for technology-enabled services,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meaningful and diligent measures are applied to gain assurance regarding the security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and technology assets including, as appropriate, legal and cybersecurity contractual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safeguards in third-party vendor agreements and the review and monitoring of third-party control </w:t>
      </w:r>
      <w:r>
        <w:rPr>
          <w:rFonts w:ascii="ArialMT" w:hAnsi="ArialMT" w:eastAsia="ArialMT"/>
          <w:b w:val="0"/>
          <w:i w:val="0"/>
          <w:color w:val="000000"/>
          <w:sz w:val="20"/>
        </w:rPr>
        <w:t>environments.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periodically assesses the maturity and effectiveness of its cyber defenses through risk mitigation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techniques, including but not limited to, targeted testing, internal and external audits, incident response </w:t>
      </w:r>
      <w:r>
        <w:rPr>
          <w:rFonts w:ascii="ArialMT" w:hAnsi="ArialMT" w:eastAsia="ArialMT"/>
          <w:b w:val="0"/>
          <w:i w:val="0"/>
          <w:color w:val="000000"/>
          <w:sz w:val="20"/>
        </w:rPr>
        <w:t>desktop exercises and industry benchmarking.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36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59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X: Contractual Obligations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X: Contractual Obligations</w:t>
      </w:r>
    </w:p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conducting its business, IBRD takes on contractual obligations that may require future payments.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include borrowings, operating and finance leases, contractual purchases, capital expenditures,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long-term liabilities. Table 40 shows IBRD’s contractual obligations for the next five years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thereafter; it excludes the following obligations reflected on IBRD’s Balance Sheets: undisbursed loans,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payable for currency and interest rate swaps, amounts payable for investment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purchased, guarantees, and cash received under agency arrangements. </w:t>
      </w:r>
    </w:p>
    <w:p>
      <w:pPr>
        <w:autoSpaceDN w:val="0"/>
        <w:tabs>
          <w:tab w:pos="550" w:val="left"/>
        </w:tabs>
        <w:autoSpaceDE w:val="0"/>
        <w:widowControl/>
        <w:spacing w:line="222" w:lineRule="exact" w:before="138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Borrowings</w:t>
      </w:r>
      <w:r>
        <w:rPr>
          <w:rFonts w:ascii="ArialMT" w:hAnsi="ArialMT" w:eastAsia="ArialMT"/>
          <w:b w:val="0"/>
          <w:i w:val="0"/>
          <w:color w:val="000000"/>
          <w:sz w:val="20"/>
        </w:rPr>
        <w:t>: IBRD issues debt in the form of securities to private and governmental buyers.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Finance Leases: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reclassified a land lease as a finance lease following the execution of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 and sale agreement during the fiscal year ended June 30, 2025. The amount due in one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represents future cash payments for real estate-related obligations based on the contractual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amounts payable until the purchase is completed in June 2026 as planned.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Operating Leases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 leases real estate and equipment under lease agreements for varying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periods. Operating lease expenditures represents future cash payments for real estate-related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and equipment, based on contractual amounts.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Contractual Purchases: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IBRD is a party to various obligations to purchase products and services,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are purchase commitments in the ordinary course of business.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Other Long-Term Liabilities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IBRD provides a variety of benefits to its employees. As some of these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benefits are of a long-term nature, IBRD records the associated liability on its Balance Sheets.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payable represents expected benefit payments as well as contributions to the pension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plans. These include future service and pay accruals for current staff and new staff projections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 next 10 years.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leases, contractual purchases and capital expenditures, and other long-term obligations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shared with IDA, IFC, and MIGA under cost-sharing and service arrangements.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arrangements reflect the WBG strategy of maximizing synergies, to best leverage resources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development (see Notes to Financial Statements, Note H for Transactions with Affiliated Organizations).</w:t>
      </w:r>
    </w:p>
    <w:p>
      <w:pPr>
        <w:autoSpaceDN w:val="0"/>
        <w:autoSpaceDE w:val="0"/>
        <w:widowControl/>
        <w:spacing w:line="22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40: Contractual Obligations</w:t>
      </w:r>
    </w:p>
    <w:p>
      <w:pPr>
        <w:autoSpaceDN w:val="0"/>
        <w:autoSpaceDE w:val="0"/>
        <w:widowControl/>
        <w:spacing w:line="178" w:lineRule="exact" w:before="6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4"/>
        <w:ind w:left="0" w:right="248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20"/>
        </w:trPr>
        <w:tc>
          <w:tcPr>
            <w:tcW w:type="dxa" w:w="4370"/>
            <w:gridSpan w:val="4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1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in 1 year </w:t>
            </w:r>
          </w:p>
        </w:tc>
        <w:tc>
          <w:tcPr>
            <w:tcW w:type="dxa" w:w="126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1 </w:t>
            </w:r>
          </w:p>
        </w:tc>
        <w:tc>
          <w:tcPr>
            <w:tcW w:type="dxa" w:w="123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3 </w:t>
            </w:r>
          </w:p>
        </w:tc>
        <w:tc>
          <w:tcPr>
            <w:tcW w:type="dxa" w:w="23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5 </w:t>
            </w:r>
          </w:p>
        </w:tc>
        <w:tc>
          <w:tcPr>
            <w:tcW w:type="dxa" w:w="35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100"/>
        </w:trPr>
        <w:tc>
          <w:tcPr>
            <w:tcW w:type="dxa" w:w="3148"/>
            <w:gridSpan w:val="4"/>
            <w:vMerge/>
            <w:tcBorders>
              <w:top w:sz="8.0" w:val="single" w:color="#6C6C6C"/>
            </w:tcBorders>
          </w:tcPr>
          <w:p/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Year up to 3 </w:t>
            </w:r>
          </w:p>
        </w:tc>
        <w:tc>
          <w:tcPr>
            <w:tcW w:type="dxa" w:w="1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Years up to 5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80"/>
        </w:trPr>
        <w:tc>
          <w:tcPr>
            <w:tcW w:type="dxa" w:w="4370"/>
            <w:gridSpan w:val="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or Less</w:t>
            </w:r>
          </w:p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3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46"/>
        </w:trPr>
        <w:tc>
          <w:tcPr>
            <w:tcW w:type="dxa" w:w="3148"/>
            <w:gridSpan w:val="4"/>
            <w:vMerge/>
            <w:tcBorders>
              <w:bottom w:sz="8.0" w:val="single" w:color="#6C6C6C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23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34"/>
        </w:trPr>
        <w:tc>
          <w:tcPr>
            <w:tcW w:type="dxa" w:w="249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05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47,162 </w:t>
            </w:r>
          </w:p>
        </w:tc>
        <w:tc>
          <w:tcPr>
            <w:tcW w:type="dxa" w:w="4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74,298 </w:t>
            </w:r>
          </w:p>
        </w:tc>
        <w:tc>
          <w:tcPr>
            <w:tcW w:type="dxa" w:w="4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71,827 </w:t>
            </w:r>
          </w:p>
        </w:tc>
        <w:tc>
          <w:tcPr>
            <w:tcW w:type="dxa" w:w="23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112,874 </w:t>
            </w:r>
          </w:p>
        </w:tc>
        <w:tc>
          <w:tcPr>
            <w:tcW w:type="dxa" w:w="35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306,161 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Finance leases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Operating leases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1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 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Contractual purchases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676 </w:t>
            </w:r>
          </w:p>
        </w:tc>
      </w:tr>
      <w:tr>
        <w:trPr>
          <w:trHeight w:hRule="exact" w:val="246"/>
        </w:trPr>
        <w:tc>
          <w:tcPr>
            <w:tcW w:type="dxa" w:w="249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long-term liabilities</w:t>
            </w:r>
          </w:p>
        </w:tc>
        <w:tc>
          <w:tcPr>
            <w:tcW w:type="dxa" w:w="188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777 </w:t>
            </w:r>
          </w:p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 </w:t>
            </w:r>
          </w:p>
        </w:tc>
        <w:tc>
          <w:tcPr>
            <w:tcW w:type="dxa" w:w="123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 </w:t>
            </w:r>
          </w:p>
        </w:tc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9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1,317 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05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48,655 </w:t>
            </w:r>
          </w:p>
        </w:tc>
        <w:tc>
          <w:tcPr>
            <w:tcW w:type="dxa" w:w="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74,576 </w:t>
            </w:r>
          </w:p>
        </w:tc>
        <w:tc>
          <w:tcPr>
            <w:tcW w:type="dxa" w:w="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71,974 </w:t>
            </w:r>
          </w:p>
        </w:tc>
        <w:tc>
          <w:tcPr>
            <w:tcW w:type="dxa" w:w="23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113,115 </w:t>
            </w:r>
          </w:p>
        </w:tc>
        <w:tc>
          <w:tcPr>
            <w:tcW w:type="dxa" w:w="3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308,320 </w:t>
            </w:r>
          </w:p>
        </w:tc>
      </w:tr>
      <w:tr>
        <w:trPr>
          <w:trHeight w:hRule="exact" w:val="3838"/>
        </w:trPr>
        <w:tc>
          <w:tcPr>
            <w:tcW w:type="dxa" w:w="35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6510"/>
            <w:gridSpan w:val="7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2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23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Pension &amp; Other Post-Retirement Benefits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XI: Pension &amp; Other Post-Retirement Benefits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Governance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participates, along with IFC and MIGA, in pension and post-retirement benefit plans. The Staff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Retirement Plan and Trust (SRP), Retired Staff Benefits Plan and Trust (RSBP), and PEBP (collectively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called the “Plans”) are defined benefit plans and cover all WBG employees, retirees and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beneficiaries. Costs, assets, and liabilities associated with the Plans are allocated among IBRD, IFC,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MIGA, based on their employees' respective participation in the Plans. Costs allocated to IBRD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subsequently shared with IDA, based on an agreed cost-sharing ratio (see Notes to Financial Statements,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Note K: Pension and Other Post-Retirement Benefits).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benefits of the Plans at retirement are determined pursuant to the Plan Documents adopted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(Plan Document). IBRD has a contractual obligation to make benefit payments to the Plans’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beneficiaries. The governance mechanism of the Plans, including the funding and investment policies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described here, are designed to support this objective.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two committees that govern the Plans. From a governance standpoint, both committees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independent of IBRD and the Board.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Pension Finance Committee (PFC), which is responsible for the financial management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Plans and is supported by the Pension Finance Administrator.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Pension Benefits Administration Committee (PBAC), which is responsible for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of the benefits of the Plans.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to the SRP and RSBP are irrevocable, with assets held in separate trusts, and the PEBP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are included in IBRD's investment portfolio. IBRD acts as trustee for the Plans and the assets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for the exclusive benefit of the participants and their beneficiaries. The objective of the Plans is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accumulate sufficient assets to meet future pension benefit obligations. As of June 30, 2025, IBRD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share of the assets amounted to $34.7 billion (Table 41). This represents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paid into the plans net of benefit payments, together with the accumulated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earnings, net of related expenses.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Funding and Investment Policies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key policies underpinning the financial management of the Plans, including the determination of WBG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and the investment of Plan assets, are the funding and investment policies. The objective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policies is to ensure that the Plans have sufficient assets to meet benefit payments over the long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term. The funding policy, as approved by the PFC, establishes the rules that determine the WBG’s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contributions. The policy seeks to fund the Plans in a consistent and timely manner, while at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 avoiding excessive volatility in WBG contributions. The funding policy determines how much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WBG must contribute annually to sustain and ensure the accumulation of sufficient assets over time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meet the expected benefit payments. Under the Plan Document, the PFC determines the WBG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 based on actuarial valuations. IBRD is required to make the contribution determined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PFC. In FY25, the WBG’s rate for contributions to the Plans was 12.71% of salaries.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Projected Benefit Obligation (PBO) is derived from AA-rated corporate bonds, as required by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GAAP. The selection of this rate as the basis for the discount rate is to establish a liability equivalent to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that if invested in high-quality fixed income securities would match the benefit payment stream.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this measure is based on an objective, observable market rate, it does not necessarily reflect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realized or expected returns of the Plan which depend on how the Plans are managed and invested.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PBO for funding purposes is discounted using a 3.5% real discount rate since the funding strategy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Plans is based on a target of 3.5% real return on investments. This rate constitutes the long-term return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objective for the Plan’s assets, referred to as the Long-Term Real Return Objective (LTRRO),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has followed since the year ended June 30, 1999 and last reaffirmed under the strategic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 allocation review in April 2024. If the return on pension assets is 3.5% in real terms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are made at the actuarially required rates (which reflect the long-term cost of the plan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benefit), the Plan benefits will be funded over time.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566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61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Pension &amp; Other Post-Retirement Benefits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assets of the Plans are diversified across a variety of asset classes, with the objective of achieving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returns consistent with the LTRRO over the long term without taking undue risks. The returns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for the Plans have met or exceeded the LTRRO on a consistent basis in the long term as well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in recent years. The PFC periodically reviews the LTRRO for realism and appropriateness. See Notes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Financial Statements, Note K: Pension and Other Post-Retirement Benefits for asset allocation,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>expected return on Plan assets and assumptions used to determine the PBO.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Plan has a long-standing Environmental, Social and Governance (ESG) policy that reflects the latest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in and understanding of responsible investments and ESG integration. The ESG policy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a principled and pragmatic approach in accordance with and subject to the fiduciary standard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 to the administration and investment of Plan assets. The Plan’s ESG policy outlines a practical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approach to ESG integration and responsible ownership, providing an operational framework for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consideration of relevant ESG issues applicable to each asset class, as well as for the conduct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corporate engagement and proxy voting on the Plan’s applicable equity holdings.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Projected Benefit Obligations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Given that pension plan liabilities can be defined and measured in different ways, it is possible to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different funded status measures for the same plans. The most widely used and publicly disclosed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 of pension plan liabilities is the PBO measure required under U.S. GAAP. It reflects the present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all retirement benefits earned by participants (adjusted for assumed inflation) as of a given date,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projected salary increases to retirement. Therefore, the PBO measure is an appropriate metric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assessing the ability of the Plans to cover expected benefits as of a certain date. The underlying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actuarial assumptions used to determine the PBO, accumulated benefit obligations, and funded status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associated with the Plans are based on financial market interest rates, experience, and Management's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best estimate of future benefit changes, economic conditions and earnings from plan assets. </w:t>
      </w:r>
    </w:p>
    <w:p>
      <w:pPr>
        <w:autoSpaceDN w:val="0"/>
        <w:autoSpaceDE w:val="0"/>
        <w:widowControl/>
        <w:spacing w:line="224" w:lineRule="exact" w:before="20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41: Funded Status of the Plans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2156" w:firstLine="0"/>
        <w:jc w:val="right"/>
      </w:pPr>
      <w:r>
        <w:rPr>
          <w:rFonts w:ascii="Arial" w:hAnsi="Arial" w:eastAsia="Arial"/>
          <w:b w:val="0"/>
          <w:i/>
          <w:color w:val="B6B6B6"/>
          <w:sz w:val="16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SRP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RSBP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PEBP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PBO</w:t>
            </w:r>
          </w:p>
        </w:tc>
        <w:tc>
          <w:tcPr>
            <w:tcW w:type="dxa" w:w="45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(21,555) $ </w:t>
            </w:r>
          </w:p>
        </w:tc>
        <w:tc>
          <w:tcPr>
            <w:tcW w:type="dxa" w:w="14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(2,725) $ </w:t>
            </w:r>
          </w:p>
        </w:tc>
        <w:tc>
          <w:tcPr>
            <w:tcW w:type="dxa" w:w="13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(2,070) $ </w:t>
            </w:r>
          </w:p>
        </w:tc>
        <w:tc>
          <w:tcPr>
            <w:tcW w:type="dxa" w:w="9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(26,350)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Plan assets</w:t>
            </w:r>
          </w:p>
        </w:tc>
        <w:tc>
          <w:tcPr>
            <w:tcW w:type="dxa" w:w="157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44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27,400 </w:t>
            </w:r>
          </w:p>
        </w:tc>
        <w:tc>
          <w:tcPr>
            <w:tcW w:type="dxa" w:w="14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4,921 </w:t>
            </w:r>
          </w:p>
        </w:tc>
        <w:tc>
          <w:tcPr>
            <w:tcW w:type="dxa" w:w="13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  <w:tc>
          <w:tcPr>
            <w:tcW w:type="dxa" w:w="9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34,680 </w:t>
            </w:r>
          </w:p>
        </w:tc>
      </w:tr>
      <w:tr>
        <w:trPr>
          <w:trHeight w:hRule="exact" w:val="48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position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5,845 $ 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2,196 $ 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289 $ 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8,330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IBRD's funded status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3,908 </w:t>
            </w:r>
          </w:p>
        </w:tc>
      </w:tr>
    </w:tbl>
    <w:p>
      <w:pPr>
        <w:autoSpaceDN w:val="0"/>
        <w:autoSpaceDE w:val="0"/>
        <w:widowControl/>
        <w:spacing w:line="180" w:lineRule="exact" w:before="262" w:after="18"/>
        <w:ind w:left="0" w:right="2156" w:firstLine="0"/>
        <w:jc w:val="right"/>
      </w:pPr>
      <w:r>
        <w:rPr>
          <w:rFonts w:ascii="Arial" w:hAnsi="Arial" w:eastAsia="Arial"/>
          <w:b w:val="0"/>
          <w:i/>
          <w:color w:val="B6B6B6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SRP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RSBP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PEBP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PBO</w:t>
            </w:r>
          </w:p>
        </w:tc>
        <w:tc>
          <w:tcPr>
            <w:tcW w:type="dxa" w:w="450"/>
            <w:vMerge w:val="restart"/>
            <w:tcBorders>
              <w:top w:sz="8.0" w:val="single" w:color="#6C6C6C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(22,166) $ </w:t>
            </w:r>
          </w:p>
        </w:tc>
        <w:tc>
          <w:tcPr>
            <w:tcW w:type="dxa" w:w="14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(3,408) $ </w:t>
            </w:r>
          </w:p>
        </w:tc>
        <w:tc>
          <w:tcPr>
            <w:tcW w:type="dxa" w:w="13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(2,097) $ </w:t>
            </w:r>
          </w:p>
        </w:tc>
        <w:tc>
          <w:tcPr>
            <w:tcW w:type="dxa" w:w="9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(27,671)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Plan assets</w:t>
            </w:r>
          </w:p>
        </w:tc>
        <w:tc>
          <w:tcPr>
            <w:tcW w:type="dxa" w:w="1574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14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25,689 </w:t>
            </w:r>
          </w:p>
        </w:tc>
        <w:tc>
          <w:tcPr>
            <w:tcW w:type="dxa" w:w="14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4,540 </w:t>
            </w:r>
          </w:p>
        </w:tc>
        <w:tc>
          <w:tcPr>
            <w:tcW w:type="dxa" w:w="13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2,135 </w:t>
            </w:r>
          </w:p>
        </w:tc>
        <w:tc>
          <w:tcPr>
            <w:tcW w:type="dxa" w:w="9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32,364 </w:t>
            </w:r>
          </w:p>
        </w:tc>
      </w:tr>
      <w:tr>
        <w:trPr>
          <w:trHeight w:hRule="exact" w:val="480"/>
        </w:trPr>
        <w:tc>
          <w:tcPr>
            <w:tcW w:type="dxa" w:w="378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position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1,132 $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4,693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IBRD's funded status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2,235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discount rate used to convert future obligations into today’s dollars is derived from high-grade, AA-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rated corporate bond yields as required by U.S. GAAP. The overfunded status of the pension plans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and IDA of $8,330 million as of June 30, 2025, net of PEBP assets, primarily reflects the actuarial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in the projected benefit obligations as a result of the decrease in the expected inflation rate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the nominal discount rate, as well as the increase in the value of the Plan Assets due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higher-than-expected asset returns. As the Plans are managed with a long-term horizon, results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>shorter time periods may be impacted positively or negatively by market fluctuations.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89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XII: Critical Accounting Policies and the Use of Estimates</w:t>
            </w:r>
          </w:p>
        </w:tc>
      </w:tr>
    </w:tbl>
    <w:p>
      <w:pPr>
        <w:autoSpaceDN w:val="0"/>
        <w:autoSpaceDE w:val="0"/>
        <w:widowControl/>
        <w:spacing w:line="432" w:lineRule="exact" w:before="352" w:after="0"/>
        <w:ind w:left="62" w:right="288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 xml:space="preserve">Section XII: Critical Accounting Policies and the Use </w:t>
      </w:r>
      <w:r>
        <w:rPr>
          <w:rFonts w:ascii="Arial" w:hAnsi="Arial" w:eastAsia="Arial"/>
          <w:b/>
          <w:i w:val="0"/>
          <w:color w:val="004972"/>
          <w:sz w:val="36"/>
        </w:rPr>
        <w:t>of Estimates</w:t>
      </w:r>
    </w:p>
    <w:p>
      <w:pPr>
        <w:autoSpaceDN w:val="0"/>
        <w:autoSpaceDE w:val="0"/>
        <w:widowControl/>
        <w:spacing w:line="240" w:lineRule="exact" w:before="20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significant accounting policies, as well as estimates made by Management, are integral to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reporting. While all of these policies require a certain level of judgment and estimates,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policies require Management to make highly difficult, complex, and subjective judgments as these relate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matters inherently uncertain and susceptible to change. Note A to the financial statements contains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summary of IBRD’s significant accounting policies including a discussion of recently issued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pronouncements.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Fair Value of Financial Instruments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values of financial instruments are based on a three-level hierarchy. For financial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classified as Level 1 or 2, less judgment is applied in arriving at fair value measures as the inputs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observable market data. For financial instruments classified as Level 3, unobservable inputs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used. These require Management to make important assumptions and judgments in determining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measures. Investments measured at net asset value per share (or its equivalent) are not classified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fair value hierarchy.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of IBRD’s financial instruments which are recorded at fair value are classified as Levels 1 and 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42 presents the summary of the fair value of financial instruments recorded at fair value on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recurring basis, and the amounts measured using significant Level 3 inputs. IBRD’s level 3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mainly structured bonds and related swaps held in the borrowing portfolio; these use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observable inputs and unobservable inputs such as correlations, interest rate volatilities, and equity index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volatilities. There were no Level 3 instruments in IBRD’s investment or loan portfolios as of June 30, 2025. </w:t>
      </w:r>
      <w:r>
        <w:rPr>
          <w:rFonts w:ascii="ArialMT" w:hAnsi="ArialMT" w:eastAsia="ArialMT"/>
          <w:b w:val="0"/>
          <w:i w:val="0"/>
          <w:color w:val="000000"/>
          <w:sz w:val="20"/>
        </w:rPr>
        <w:t>All of IBRD’s loans were reported at amortized cost as of June 30, 2025.</w:t>
      </w:r>
    </w:p>
    <w:p>
      <w:pPr>
        <w:autoSpaceDN w:val="0"/>
        <w:autoSpaceDE w:val="0"/>
        <w:widowControl/>
        <w:spacing w:line="22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42: Fair Value Level 3 Summary</w:t>
      </w:r>
    </w:p>
    <w:p>
      <w:pPr>
        <w:autoSpaceDN w:val="0"/>
        <w:autoSpaceDE w:val="0"/>
        <w:widowControl/>
        <w:spacing w:line="178" w:lineRule="exact" w:before="66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4"/>
        </w:trPr>
        <w:tc>
          <w:tcPr>
            <w:tcW w:type="dxa" w:w="38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For the fiscal year ended June 30,</w:t>
            </w:r>
          </w:p>
        </w:tc>
        <w:tc>
          <w:tcPr>
            <w:tcW w:type="dxa" w:w="30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2025</w:t>
            </w:r>
          </w:p>
        </w:tc>
        <w:tc>
          <w:tcPr>
            <w:tcW w:type="dxa" w:w="11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2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3826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Level 3</w:t>
            </w:r>
          </w:p>
        </w:tc>
        <w:tc>
          <w:tcPr>
            <w:tcW w:type="dxa" w:w="11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5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Level 3</w:t>
            </w:r>
          </w:p>
        </w:tc>
        <w:tc>
          <w:tcPr>
            <w:tcW w:type="dxa" w:w="1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 Balance</w:t>
            </w:r>
          </w:p>
        </w:tc>
      </w:tr>
      <w:tr>
        <w:trPr>
          <w:trHeight w:hRule="exact" w:val="230"/>
        </w:trPr>
        <w:tc>
          <w:tcPr>
            <w:tcW w:type="dxa" w:w="1181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81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81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Balance</w:t>
            </w:r>
          </w:p>
        </w:tc>
        <w:tc>
          <w:tcPr>
            <w:tcW w:type="dxa" w:w="1181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362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81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30"/>
        </w:trPr>
        <w:tc>
          <w:tcPr>
            <w:tcW w:type="dxa" w:w="382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 at fair value</w:t>
            </w:r>
          </w:p>
        </w:tc>
        <w:tc>
          <w:tcPr>
            <w:tcW w:type="dxa" w:w="30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 </w:t>
            </w:r>
          </w:p>
        </w:tc>
        <w:tc>
          <w:tcPr>
            <w:tcW w:type="dxa" w:w="11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$ 115,364 </w:t>
            </w:r>
          </w:p>
        </w:tc>
        <w:tc>
          <w:tcPr>
            <w:tcW w:type="dxa" w:w="5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2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94,842 </w:t>
            </w:r>
          </w:p>
        </w:tc>
      </w:tr>
      <w:tr>
        <w:trPr>
          <w:trHeight w:hRule="exact" w:val="352"/>
        </w:trPr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a percentage of total assets</w:t>
            </w:r>
          </w:p>
        </w:tc>
        <w:tc>
          <w:tcPr>
            <w:tcW w:type="dxa" w:w="30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0.31 %</w:t>
            </w:r>
          </w:p>
        </w:tc>
        <w:tc>
          <w:tcPr>
            <w:tcW w:type="dxa" w:w="116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$ 330,706 </w:t>
            </w:r>
          </w:p>
        </w:tc>
        <w:tc>
          <w:tcPr>
            <w:tcW w:type="dxa" w:w="5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0.28 %</w:t>
            </w:r>
          </w:p>
        </w:tc>
        <w:tc>
          <w:tcPr>
            <w:tcW w:type="dxa" w:w="1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296,712 </w:t>
            </w:r>
          </w:p>
        </w:tc>
      </w:tr>
      <w:tr>
        <w:trPr>
          <w:trHeight w:hRule="exact" w:val="328"/>
        </w:trPr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Liabilities at fair value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5,121 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4,349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500"/>
        </w:trPr>
        <w:tc>
          <w:tcPr>
            <w:tcW w:type="dxa" w:w="38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a percentage of total liabilities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1.55 %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1.47 %</w:t>
            </w:r>
          </w:p>
        </w:tc>
        <w:tc>
          <w:tcPr>
            <w:tcW w:type="dxa" w:w="1181"/>
            <w:vMerge/>
            <w:tcBorders>
              <w:bottom w:sz="8.0" w:val="single" w:color="#6C6C6C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reviews the methodology, inputs, and assumptions on a quarterly basis to assess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appropriateness of the fair value hierarchy classification of each financial instrument.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financial instruments are valued using pricing models. The valuation group, independent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treasury and financial reporting functions, reviews all financial instrument models affecting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reporting through fair value and assesses model appropriateness and consistency. The review looks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whether the models accurately reflect the characteristics of the transaction and its risks, the suitability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convergence properties of numerical algorithms, the reliability of data sources, the consistency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treatment with models for similar products, and sensitivity to input parameters and assumptions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cannot be priced from the market.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Reviews are conducted of new and/or changed models, as well as previously validated models, to assess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whether any changes in the product or market may have affected the model’s continued validity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whether any theoretical or competitive developments may require reassessment of the model’s adequacy.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financial models used for input to IBRD’s financial statements are subject to both internal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periodic external verification and review by qualified personnel.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01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63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XII: Critical Accounting Policies and the Use of Estimates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cases where Management relies on instrument valuations supplied by external pricing vendors,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procedures are in place to validate the appropriateness of the models used, as well as the inputs applied </w:t>
      </w:r>
      <w:r>
        <w:rPr>
          <w:rFonts w:ascii="ArialMT" w:hAnsi="ArialMT" w:eastAsia="ArialMT"/>
          <w:b w:val="0"/>
          <w:i w:val="0"/>
          <w:color w:val="000000"/>
          <w:sz w:val="20"/>
        </w:rPr>
        <w:t>in determining those values.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Provision for Losses on Loans and Other Exposures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evaluates estimated exposures over the life of loans and other exposures, to incorporate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undisbursed loan commitments in the measure of exposure, and to incorporate estimations of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conditions for a reasonable and supportable forecast period along with historical experience.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overall provision for expected losses is the sum of the computed annual losses, taking into account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 risk ratings and associated expected default frequencies, estimates of exposure, and severity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loss given default.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loans reported at fair value, if any, the credit risk assessment is a determinant of fair value. All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IBRD's loans were reported at amortized cost as of June 30, 2025.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determination of a borrower's risk rating is based on complex variables such as: political risk,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and liquidity, fiscal policy and the public debt burden, balance of payments risks, economic structure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growth prospects, monetary and exchange rate policy, and financial sector risks and corporate sector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and other vulnerabilities. Additionally, estimations of disbursements and repayments of exposures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made, as well as estimations of future interest cash flows based on forward looking market variables,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impact of any credit enhancement arrangements IBRD has received.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periodically reviews these variables and reassesses the adequacy of the accumulated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accordingly. Actual losses may differ from expected losses owing to unforeseen changes in any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variables affecting the creditworthiness or estimates inherent in the exposure measurements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borrowers.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Credit Risk Committee monitors aspects of country credit risk, in particular, reviewing the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losses on loans and guarantees taking into account, among other factors, any changes in exposure,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ratings of borrowing member countries, or changes between the accrual and nonaccrual portfolios.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loan losses is reported separately in the Balance Sheets as a reduction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IBRD’s total loans outstanding. The accumulated provision for losses on loan commitments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exposures is included in accounts payable and miscellaneous liabilities. Increases or decreases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losses on loans and other exposures are reported in the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as a Provision for losses on loans and other exposures (see Notes to Financial Statements: Note </w:t>
      </w:r>
      <w:r>
        <w:rPr>
          <w:rFonts w:ascii="ArialMT" w:hAnsi="ArialMT" w:eastAsia="ArialMT"/>
          <w:b w:val="0"/>
          <w:i w:val="0"/>
          <w:color w:val="000000"/>
          <w:sz w:val="20"/>
        </w:rPr>
        <w:t>A: Summary of Significant Accounting and Related Policies and Note D: Loans and Other Exposures).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Pension and Other Post-Retirement Benefits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underlying actuarial assumptions used to determine the PBO, accumulated benefit obligations,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funded status associated with IBRD pension and other post-retirement benefit plans are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market interest rates, experience, and Management's best estimate of future benefit changes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economic conditions. All costs, assets and liabilities associated with these plans are allocated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IBRD, IFC, and MIGA based upon their employees’ respective participation in the plans. Costs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 to IBRD are then shared between IBRD and IDA based on an agreed cost-sharing ratio. IDA,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IFC and MIGA reimburse IBRD for their proportionate share of any contributions made to these plans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IBRD. Contributions to the plans are calculated as a percentage of salary (see Notes to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Statements, Note K: Pension and Other Post-Retirement Benefits).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290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XIII: Governance and Controls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Business Conduct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WBG promotes a positive work environment in which staff members understand their ethical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to the institution. In support of this commitment, the institution has in place a Code of Conduct.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WBG has both an Ethics Help Line and a Fraud and Corruption hotline. A third-party service offers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methods of worldwide communication. Reporting channels include telephone, mail, email,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confidential submission through a website.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procedures in place for receiving, retaining, and handling recommendations and concerns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relating to business conduct identified during the accounting, internal control, and auditing processes.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WBG staff rules clarify and codify the staff’s obligations in reporting suspected fraud, corruption, or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misconduct that may threaten the operations or governance of the WBG. These rules also offer protection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from retaliation.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19: Governance Structure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49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2" w:lineRule="exact" w:before="17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General Governance</w:t>
      </w:r>
    </w:p>
    <w:p>
      <w:pPr>
        <w:autoSpaceDN w:val="0"/>
        <w:autoSpaceDE w:val="0"/>
        <w:widowControl/>
        <w:spacing w:line="240" w:lineRule="exact" w:before="8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decision-making structure consists of the Board of Governors, Executive Directors (the Board),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President, Management, and staff. The Board of Governors is the highest decision-making authority.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Governors are appointed by their member governments for a five-year term, which is renewable.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 may delegate authority to the Executive Directors to exercise any of its powers,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except for certain powers enumerated in IBRD’s Articles. IBRD has its own policies and frameworks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carried out by staff that share responsibilities over both IBRD and IDA.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IBRD and IDA have joint internal institutional oversight units which play an assurance role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shareholders and management that IBRD’s work is impactful and accountable, informed by best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practices, and delivered to the highest ethical standards with risk management controls and governance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processes that are functioning effectively.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Executive Directors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accordance with IBRD’s Articles, Executive Directors are appointed or elected every two years by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governments. The Board currently has 25 Executive Directors, who represent all 189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Executive Directors are neither officers nor staff of IBRD. The President is the only member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from management, and he serves as a non-voting member and as Chairman of the Board.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is required to consider proposals made by the President on IBRD loans, grants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and on other policies that affect its general operations. The Board is also responsible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presenting to the Governors, at the Annual Meetings, audited accounts, an administrative budget, and an </w:t>
      </w:r>
      <w:r>
        <w:rPr>
          <w:rFonts w:ascii="ArialMT" w:hAnsi="ArialMT" w:eastAsia="ArialMT"/>
          <w:b w:val="0"/>
          <w:i w:val="0"/>
          <w:color w:val="000000"/>
          <w:sz w:val="20"/>
        </w:rPr>
        <w:t>annual report on operations and policies and other matters.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54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and its committees are in continuous sessions based in Washington DC, as business requires.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committee's terms of reference establish its respective roles and responsibilities. As committees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vote on issues, their role is primarily to serve the Board in discharging its responsibilities.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committees are made up of eight members and function under their respective stipulated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reference. These committees are as follows: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 Committee - assists the Board in overseeing IBRD’s finances, accounting, risk management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and internal controls (see further explanation below).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Committee - assists the Board in approving the World Bank’s budget and in overseeing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preparation and execution of IBRD’s business plans. The committee provides guidance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management on strategic directions of IBRD.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on Development Effectiveness - supports the Board in assessing IBRD’s development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effectiveness, providing guidance on strategic directions of IBRD, and monitoring the quality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results of operations.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on Governance and Executive Directors’ Administrative Matters - assists the Board 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issues related to the governance of IBRD, the Board’s own effectiveness, and the administrative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policy applicable to Executive Directors’ offices.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Human Resources Committee - strengthens the efficiency and effectiveness of the Board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discharging its oversight responsibility on the World Bank’s human resources strategy, policies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and practices, and their alignment with the business needs of the organization.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Audit Committee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Membership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consists of eight Executive Directors. Membership in the Committee is determined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Board, based on nominations by the Chairman of the Board, following informal consultation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Executive Directors.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Key Responsibilities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is appointed by the Board for the primary purpose of assisting the Board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overseeing IBRD’s finances, accounting, risk management, internal controls and institutional integrity. </w:t>
      </w:r>
    </w:p>
    <w:p>
      <w:pPr>
        <w:autoSpaceDN w:val="0"/>
        <w:autoSpaceDE w:val="0"/>
        <w:widowControl/>
        <w:spacing w:line="224" w:lineRule="exact" w:before="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Specific responsibilities include: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Oversight of the integrity of IBRD’s financial statements.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Appointment, qualifications, independence and performance of the External Auditor.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of the Group Internal Audit.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Adequacy and effectiveness of financial and accounting policies and internal controls and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mechanisms to deter, prevent and penalize fraud and corruption in IBRD operations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corporate procurement.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 management of financial, fiduciary and compliance risks in IBRD.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Oversight of the institutional arrangements and processes for risk management across IBRD.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carrying out its role, the Audit Committee discusses financial issues and policies that affect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position and capital adequacy with Management, external auditors, and internal auditors.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recommends the annual audited financial statements for approval to the Board. The Audit Committee </w:t>
      </w:r>
      <w:r>
        <w:rPr>
          <w:rFonts w:ascii="ArialMT" w:hAnsi="ArialMT" w:eastAsia="ArialMT"/>
          <w:b w:val="0"/>
          <w:i w:val="0"/>
          <w:color w:val="000000"/>
          <w:sz w:val="20"/>
        </w:rPr>
        <w:t>monitors and reviews developments in corporate governance and its own role on an ongoing basis.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206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68" w:lineRule="exact" w:before="35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Executive Sessions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Audit Committee's terms of reference, it may convene in executive session at any time, without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Management’s presence. The Audit Committee meets separately in executive session with the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internal auditors.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Access to Resources and to Management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Throughout the year, the Audit Committee receives a large volume of information to enable it to carry 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duties and meets both formally and informally throughout the year to discuss relevant matters. It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complete access to Management, and reviews and discusses with Management topics considered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of reference.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has the authority to seek advice and assistance from outside legal, accounting,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advisors as it deems necessary.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Auditor Independence 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appointment of the external auditor for IBRD is governed by a set of Board-approved principles.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include: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3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Limits on the external auditor’s provision of non-audit-related services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Requiring all audit-related services to be pre-approved on a case-by-case basis by the Board,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upon recommendation of the Audit Committee, and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Renewal of the external audit contract every five years, with a limit of two consecutive terms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mandatory rotation thereafter.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external auditor may provide non-prohibited, non-audit related services subject to monetary limits.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Broadly, the list of prohibited non-audit services include those that would put the external auditor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roles typically performed by management and in a position of auditing their own work, such as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services, internal audit services, and provision of investment advice. The total non-audit services fees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the term of the relevant external audit contract shall not exceed 70% of the audit fees over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Communication between the external auditor and the Audit Committee is ongoing and carried out as often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deemed necessary by either party. The Audit Committee meets periodically with the external auditor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individual committee members have independent access to the external auditor. IBRD’s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auditors also follow the communication requirements with the Audit Committee set out under generally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accepted auditing standards in the United States.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External Auditors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external auditor is appointed to a five-year term, with a limit of two consecutive terms, and is subject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annual reappointment based on the recommendation of the Audit Committee and approval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resolution by the Board.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 May 2022, IBRD’s Board approved Deloitte &amp; Touche LLP as IBRD’s external auditor for a second five-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term commencing in FY24.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Senior Management Changes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Lakshmi Shyam-Sunder, WBG Chief Risk Officer and Vice President, retired in January 2025. Dennis </w:t>
      </w:r>
      <w:r>
        <w:rPr>
          <w:rFonts w:ascii="ArialMT" w:hAnsi="ArialMT" w:eastAsia="ArialMT"/>
          <w:b w:val="0"/>
          <w:i w:val="0"/>
          <w:color w:val="000000"/>
          <w:sz w:val="20"/>
        </w:rPr>
        <w:t>McLaughlin was appointed to this role effective January 2, 2025.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Pamela O'Connell, Vice President and WBG Controller, will be retiring and leaving the Bank in September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Internal Control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Internal Control Over Financial Reporting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fiscal year, Management evaluates the internal controls over financial reporting to determine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whether any changes made in these controls during the fiscal year materially affect, or would be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8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67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reasonably likely to materially affect, IBRD’s internal control over financial reporting. The internal control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 promulgated by the Committee of Sponsoring Organizations of the Treadway Commission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(COSO), “Internal Control - Integrated Framework (2013)” provides guidance for designing, implementing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conducting internal control and assessing its effectiveness. IBRD uses the 2013 COSO framework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 the effectiveness of the internal control over financial reporting. As of June 30, 2025,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maintained effective internal control over financial reporting. See “Management’s report regarding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effectiveness of Internal Control over Financial Reporting” on page</w:t>
      </w:r>
      <w:r>
        <w:rPr>
          <w:rFonts w:ascii="ArialMT" w:hAnsi="ArialMT" w:eastAsia="ArialMT"/>
          <w:b w:val="0"/>
          <w:i w:val="0"/>
          <w:color w:val="000000"/>
          <w:sz w:val="20"/>
        </w:rPr>
        <w:t>74.</w:t>
      </w:r>
      <w:r>
        <w:rPr>
          <w:rFonts w:ascii="ArialMT" w:hAnsi="ArialMT" w:eastAsia="ArialMT"/>
          <w:b w:val="0"/>
          <w:i w:val="0"/>
          <w:color w:val="FFFFFF"/>
          <w:sz w:val="20"/>
        </w:rPr>
        <w:t>74.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internal control over financial reporting as of June 30, 2025, has been audited by Deloitte &amp;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Touche LLP, an independent auditor, as stated in their report, which is included herein.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Disclosure Controls and Procedures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controls and procedures are designed to ensure that information required to be disclosed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gathered and communicated to Management, as appropriate, to allow timely decisions regarding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by IBRD. Management conducted an evaluation of the effectiveness of such controls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procedures and the President and the MDCFO have concluded that these controls and procedures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effective as of June 30, 2025.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000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XIV: Reconciliations of Components of Allocable Income</w:t>
            </w:r>
          </w:p>
        </w:tc>
      </w:tr>
    </w:tbl>
    <w:p>
      <w:pPr>
        <w:autoSpaceDN w:val="0"/>
        <w:autoSpaceDE w:val="0"/>
        <w:widowControl/>
        <w:spacing w:line="334" w:lineRule="exact" w:before="39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4972"/>
          <w:sz w:val="30"/>
        </w:rPr>
        <w:t>Section XIV: Reconciliations of Components of Allocable Income</w:t>
      </w:r>
    </w:p>
    <w:p>
      <w:pPr>
        <w:autoSpaceDN w:val="0"/>
        <w:autoSpaceDE w:val="0"/>
        <w:widowControl/>
        <w:spacing w:line="240" w:lineRule="exact" w:before="20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discussed in Section I: Overview and Section III: Financial Results, in addition to reported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determined in accordance with U.S. GAAP, IBRD also uses certain non-GAAP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to evaluate performance, make operating decisions, determine business strategy, develop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targeted financial goals, and allocate resources.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tables below provide a reconciliation of key components of allocable income referenced in the MD&amp;A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the most directly comparable U.S. GAAP reported measures.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Statements of Income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presents interest revenue on loans, investments and other assets, interest expense on borrowings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certain other items on a gross basis on its reported statements of income. However, IBRD assesses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performance of its lending, investing and other activities on a net basis, which takes into consideration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expense on borrowings to fund these activities, the impact of realized gains and losses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 designated as economic hedges to manage interest rate and currency risk and other costs.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presentation of amounts in Table 3 is intended to reflect how IBRD manages its lending, investing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 activities and assesses the financial performance of these activities.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43 and Table 44 provide reconciliations of the components of IBRD’s statements of income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3) for the specified periods to the non-GAAP amounts presented and discussed in the MD&amp;A (Table 5).</w:t>
      </w:r>
    </w:p>
    <w:p>
      <w:pPr>
        <w:autoSpaceDN w:val="0"/>
        <w:autoSpaceDE w:val="0"/>
        <w:widowControl/>
        <w:spacing w:line="200" w:lineRule="exact" w:before="19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43: Interest Revenue, Net of Borrowings Expenses</w:t>
      </w:r>
    </w:p>
    <w:p>
      <w:pPr>
        <w:autoSpaceDN w:val="0"/>
        <w:autoSpaceDE w:val="0"/>
        <w:widowControl/>
        <w:spacing w:line="178" w:lineRule="exact" w:before="60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4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years ended June 30,</w:t>
            </w:r>
          </w:p>
        </w:tc>
        <w:tc>
          <w:tcPr>
            <w:tcW w:type="dxa" w:w="4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5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34"/>
        </w:trPr>
        <w:tc>
          <w:tcPr>
            <w:tcW w:type="dxa" w:w="652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 — Loans, net  (Table 3 – Reported Basis)</w:t>
            </w:r>
          </w:p>
        </w:tc>
        <w:tc>
          <w:tcPr>
            <w:tcW w:type="dxa" w:w="484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15,301 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15,831 </w:t>
            </w:r>
          </w:p>
        </w:tc>
      </w:tr>
      <w:tr>
        <w:trPr>
          <w:trHeight w:hRule="exact" w:val="20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Less: Borrowing expenses funding loans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(10,484)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(10,957) </w:t>
            </w:r>
          </w:p>
        </w:tc>
      </w:tr>
      <w:tr>
        <w:trPr>
          <w:trHeight w:hRule="exact" w:val="286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Add: Others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652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 interest revenue, net of funding costs (Table 5)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4,821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4,874 </w:t>
            </w:r>
          </w:p>
        </w:tc>
      </w:tr>
      <w:tr>
        <w:trPr>
          <w:trHeight w:hRule="exact" w:val="454"/>
        </w:trPr>
        <w:tc>
          <w:tcPr>
            <w:tcW w:type="dxa" w:w="652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6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revenue—Investments-Trading, net  (Table 3 – Reported Basis)</w:t>
            </w:r>
          </w:p>
        </w:tc>
        <w:tc>
          <w:tcPr>
            <w:tcW w:type="dxa" w:w="484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4,444 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4,337 </w:t>
            </w:r>
          </w:p>
        </w:tc>
      </w:tr>
      <w:tr>
        <w:trPr>
          <w:trHeight w:hRule="exact" w:val="24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Add:  Reclassification of unrealized mark-to-market gains on investments-trading portfolio,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  <w:tr>
        <w:trPr>
          <w:trHeight w:hRule="exact" w:val="22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(Table 3)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Less: Unrealized mark-to-market (gains) losses attributable to PEBP, PCRF, LPF1 and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(158)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(112) </w:t>
            </w:r>
          </w:p>
        </w:tc>
      </w:tr>
      <w:tr>
        <w:trPr>
          <w:trHeight w:hRule="exact" w:val="22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GFPP investment holdings reclassified to non-interest revenue, net (Table 44)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Less: Borrowing expenses funding investment-trading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(4,435)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(4,255) </w:t>
            </w:r>
          </w:p>
        </w:tc>
      </w:tr>
      <w:tr>
        <w:trPr>
          <w:trHeight w:hRule="exact" w:val="220"/>
        </w:trPr>
        <w:tc>
          <w:tcPr>
            <w:tcW w:type="dxa" w:w="652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 revenue, net of funding costs (Table 5)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61 </w:t>
            </w:r>
          </w:p>
        </w:tc>
      </w:tr>
      <w:tr>
        <w:trPr>
          <w:trHeight w:hRule="exact" w:val="46"/>
        </w:trPr>
        <w:tc>
          <w:tcPr>
            <w:tcW w:type="dxa" w:w="652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38" w:after="30"/>
        <w:ind w:left="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Borrowing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2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expenses funding loans</w:t>
            </w:r>
          </w:p>
        </w:tc>
        <w:tc>
          <w:tcPr>
            <w:tcW w:type="dxa" w:w="50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10,484 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10,957 </w:t>
            </w:r>
          </w:p>
        </w:tc>
      </w:tr>
      <w:tr>
        <w:trPr>
          <w:trHeight w:hRule="exact" w:val="24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expenses funding investment-trading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4,435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4,255 </w:t>
            </w:r>
          </w:p>
        </w:tc>
      </w:tr>
      <w:tr>
        <w:trPr>
          <w:trHeight w:hRule="exact" w:val="276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Add: Others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8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652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Borrowing expense, net  (Table 3 – Reported Basis)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14,920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15,215 </w:t>
            </w:r>
          </w:p>
        </w:tc>
      </w:tr>
    </w:tbl>
    <w:p>
      <w:pPr>
        <w:autoSpaceDN w:val="0"/>
        <w:autoSpaceDE w:val="0"/>
        <w:widowControl/>
        <w:spacing w:line="202" w:lineRule="exact" w:before="36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44: Total Revenue on Interest Earning Assets, Net</w:t>
      </w:r>
    </w:p>
    <w:p>
      <w:pPr>
        <w:autoSpaceDN w:val="0"/>
        <w:autoSpaceDE w:val="0"/>
        <w:widowControl/>
        <w:spacing w:line="178" w:lineRule="exact" w:before="60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4"/>
        </w:trPr>
        <w:tc>
          <w:tcPr>
            <w:tcW w:type="dxa" w:w="6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years ended June 30,</w:t>
            </w:r>
          </w:p>
        </w:tc>
        <w:tc>
          <w:tcPr>
            <w:tcW w:type="dxa" w:w="228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57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30"/>
        </w:trPr>
        <w:tc>
          <w:tcPr>
            <w:tcW w:type="dxa" w:w="65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revenue, net of borrowings expense (Table 3 – Reported Basis)</w:t>
            </w:r>
          </w:p>
        </w:tc>
        <w:tc>
          <w:tcPr>
            <w:tcW w:type="dxa" w:w="57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8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90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320" w:right="0" w:hanging="22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3,229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  <w:p>
            <w:pPr>
              <w:autoSpaceDN w:val="0"/>
              <w:tabs>
                <w:tab w:pos="408" w:val="left"/>
              </w:tabs>
              <w:autoSpaceDE w:val="0"/>
              <w:widowControl/>
              <w:spacing w:line="338" w:lineRule="exact" w:before="9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(112)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420"/>
        </w:trPr>
        <w:tc>
          <w:tcPr>
            <w:tcW w:type="dxa" w:w="6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Add:  Reclassification of unrealized mark-to-market gains (losses) on investments-trading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portfolio, net (Table 3)</w:t>
            </w:r>
          </w:p>
        </w:tc>
        <w:tc>
          <w:tcPr>
            <w:tcW w:type="dxa" w:w="2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0" w:right="8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6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1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Less: Unrealized mark-to-market (gains) losses attributable to PEBP, PCRF, LPF1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GFPP investment holdings reclassified to non-interest revenue, net (Table 43)</w:t>
            </w:r>
          </w:p>
        </w:tc>
        <w:tc>
          <w:tcPr>
            <w:tcW w:type="dxa" w:w="2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8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(158)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6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Add: Others</w:t>
            </w:r>
          </w:p>
        </w:tc>
        <w:tc>
          <w:tcPr>
            <w:tcW w:type="dxa" w:w="228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65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on interest earning assets, net (Table 5)</w:t>
            </w:r>
          </w:p>
        </w:tc>
        <w:tc>
          <w:tcPr>
            <w:tcW w:type="dxa" w:w="57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8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3,593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3,209 </w:t>
            </w:r>
          </w:p>
        </w:tc>
      </w:tr>
      <w:tr>
        <w:trPr>
          <w:trHeight w:hRule="exact" w:val="1444"/>
        </w:trPr>
        <w:tc>
          <w:tcPr>
            <w:tcW w:type="dxa" w:w="879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2025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402" w:lineRule="exact" w:before="3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Appendix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Glossary of Terms</w:t>
      </w:r>
    </w:p>
    <w:p>
      <w:pPr>
        <w:autoSpaceDN w:val="0"/>
        <w:autoSpaceDE w:val="0"/>
        <w:widowControl/>
        <w:spacing w:line="240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Articles: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IBRD’s Articles of Agreement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Below GDI Country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Country whose Gross National Income per capita is below the Graduation Discussion Income </w:t>
      </w:r>
      <w:r>
        <w:rPr>
          <w:rFonts w:ascii="ArialMT" w:hAnsi="ArialMT" w:eastAsia="ArialMT"/>
          <w:b w:val="0"/>
          <w:i w:val="0"/>
          <w:color w:val="000000"/>
          <w:sz w:val="18"/>
        </w:rPr>
        <w:t>as published in the Per Capita Income Guidelines for Operational Purposes.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Board: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Executive Directors as established by IBRD’s Articles of Agreement.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Budget Anchor: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Efficiency measure that IBRD uses to monitor the coverage of its net administrative expenses by its </w:t>
      </w:r>
      <w:r>
        <w:rPr>
          <w:rFonts w:ascii="ArialMT" w:hAnsi="ArialMT" w:eastAsia="ArialMT"/>
          <w:b w:val="0"/>
          <w:i w:val="0"/>
          <w:color w:val="000000"/>
          <w:sz w:val="18"/>
        </w:rPr>
        <w:t>loan interest margin.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Capital Adequacy: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measure of IBRD’s ability to withstand unexpected shocks and is based on the amount of </w:t>
      </w:r>
      <w:r>
        <w:rPr>
          <w:rFonts w:ascii="ArialMT" w:hAnsi="ArialMT" w:eastAsia="ArialMT"/>
          <w:b w:val="0"/>
          <w:i w:val="0"/>
          <w:color w:val="000000"/>
          <w:sz w:val="18"/>
        </w:rPr>
        <w:t>IBRD’s usable equity expressed as a percentage of its loans and other related exposures.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Credit Default Swaps (CDS):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 derivative contract that provides protection against deteriorating credit quality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>allows one party to receive payment in the event of a default or specified credit event by a third party.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Credit Valuation Adjustment (CVA):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CVA represents the counterparty credit risk exposure and is reflected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fair value of derivative instruments. 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Debit Valuation Adjustment (DVA):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DVA on Fair Value Option (FVO) Elected Liabilities that corresponds to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change in fair value of the liability presented under the FVO that relate to the instrument specific credit risk (“own-</w:t>
      </w:r>
      <w:r>
        <w:rPr>
          <w:rFonts w:ascii="ArialMT" w:hAnsi="ArialMT" w:eastAsia="ArialMT"/>
          <w:b w:val="0"/>
          <w:i w:val="0"/>
          <w:color w:val="000000"/>
          <w:sz w:val="18"/>
        </w:rPr>
        <w:t>credit risk”).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Duration: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Provides an indication of the sensitivity of underlying yield to changes in interest rates.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Equity-to-Loans Ratio: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Board monitors IBRD’s capital adequacy within a Strategic Capital Adequacy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Framework, using the Equity-to-Loans ratio as a key indicator of IBRD’s capital adequacy. For details on the ratio, see </w:t>
      </w:r>
      <w:r>
        <w:rPr>
          <w:rFonts w:ascii="ArialMT" w:hAnsi="ArialMT" w:eastAsia="ArialMT"/>
          <w:b w:val="0"/>
          <w:i w:val="0"/>
          <w:color w:val="000000"/>
          <w:sz w:val="18"/>
        </w:rPr>
        <w:t>Table 33.</w:t>
      </w:r>
    </w:p>
    <w:p>
      <w:pPr>
        <w:autoSpaceDN w:val="0"/>
        <w:autoSpaceDE w:val="0"/>
        <w:widowControl/>
        <w:spacing w:line="300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Lending Operations: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Total projects from a fiscal year based on project approval date as of June 30 of the fiscal year.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Loan Interest Margin: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difference between loan returns and associated debt cost.</w:t>
      </w:r>
    </w:p>
    <w:p>
      <w:pPr>
        <w:autoSpaceDN w:val="0"/>
        <w:autoSpaceDE w:val="0"/>
        <w:widowControl/>
        <w:spacing w:line="216" w:lineRule="exact" w:before="8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Lower-Middle-Income Countries: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For FY25, income groups are classified according to the 2023 gross national </w:t>
      </w:r>
      <w:r>
        <w:rPr>
          <w:rFonts w:ascii="ArialMT" w:hAnsi="ArialMT" w:eastAsia="ArialMT"/>
          <w:b w:val="0"/>
          <w:i w:val="0"/>
          <w:color w:val="000000"/>
          <w:sz w:val="18"/>
        </w:rPr>
        <w:t>income (GNI) per capita. For lower-middle-income countries, the GNI range was $1,146-$4,515.</w:t>
      </w:r>
    </w:p>
    <w:p>
      <w:pPr>
        <w:autoSpaceDN w:val="0"/>
        <w:autoSpaceDE w:val="0"/>
        <w:widowControl/>
        <w:spacing w:line="180" w:lineRule="exact" w:before="156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Maintenance of Value (MOV):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Under IBRD’s Articles, members are required to maintain the value of their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subscriptions of national currency paid-in, which is subject to certain restrictions. MOV is determined by measuring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foreign exchange value of a member’s national currency against the standard of value of IBRD’s capital based 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1974 SDR. 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Commitments: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Commitments net of full terminations and cancellations approved in the same fiscal year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>include guarantee commitments that have been approved by the Executive Directors.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Loan Disbursements: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Loan disbursements net of repayments and prepayments.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Prudential Minimum: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 The minimum amount of liquidity that IBRD is required to hold and is defined as 80% of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Target Liquidity Level.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Single Borrower Limit (SBL):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maximum authorized exposure to IBRD’s most creditworthy and largest </w:t>
      </w:r>
      <w:r>
        <w:rPr>
          <w:rFonts w:ascii="ArialMT" w:hAnsi="ArialMT" w:eastAsia="ArialMT"/>
          <w:b w:val="0"/>
          <w:i w:val="0"/>
          <w:color w:val="000000"/>
          <w:sz w:val="18"/>
        </w:rPr>
        <w:t>borrowing countries in terms of population and economic size.</w:t>
      </w:r>
    </w:p>
    <w:p>
      <w:pPr>
        <w:autoSpaceDN w:val="0"/>
        <w:autoSpaceDE w:val="0"/>
        <w:widowControl/>
        <w:spacing w:line="180" w:lineRule="exact" w:before="120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Strategic Capital Adequacy Framework: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Evaluates IBRD’s capital adequacy as measured by stress tests and an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appropriate minimum level for the long-term Equity-to-Loans ratio. The Equity-to-Loans ratio provides a background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framework in the context of annual net income allocation decisions, as well as in the assessment of the initiatives for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use of capital. The framework has been approved by the Board.</w:t>
      </w:r>
    </w:p>
    <w:p>
      <w:pPr>
        <w:autoSpaceDN w:val="0"/>
        <w:autoSpaceDE w:val="0"/>
        <w:widowControl/>
        <w:spacing w:line="180" w:lineRule="exact" w:before="120" w:after="0"/>
        <w:ind w:left="10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Statutory Lending Limit (SLL):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Under IBRD’s Articles, as applied, the total amount outstanding of loans,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participations in loans, and callable guarantees may not exceed the sum of unimpaired subscribed capital, reserves </w:t>
      </w:r>
      <w:r>
        <w:rPr>
          <w:rFonts w:ascii="ArialMT" w:hAnsi="ArialMT" w:eastAsia="ArialMT"/>
          <w:b w:val="0"/>
          <w:i w:val="0"/>
          <w:color w:val="000000"/>
          <w:sz w:val="18"/>
        </w:rPr>
        <w:t>and surplus.</w:t>
      </w:r>
    </w:p>
    <w:p>
      <w:pPr>
        <w:autoSpaceDN w:val="0"/>
        <w:autoSpaceDE w:val="0"/>
        <w:widowControl/>
        <w:spacing w:line="236" w:lineRule="exact" w:before="6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Sustainable Annual Lending Level (SALL):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level of lending that can be sustained in real terms over 10 years. </w:t>
      </w:r>
      <w:r>
        <w:rPr>
          <w:rFonts w:ascii="Arial" w:hAnsi="Arial" w:eastAsia="Arial"/>
          <w:b/>
          <w:i w:val="0"/>
          <w:color w:val="000000"/>
          <w:sz w:val="18"/>
        </w:rPr>
        <w:t>Target Liquidity Level (TLL):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twelve-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month Target Liquidity Level is calculated before the end of each fiscal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year based on Management’s estimates of projected net loan disbursements approved at the time of projection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twelve-month of debt-service for the upcoming fiscal year. This twelve-month estimate becomes the target for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upcoming fiscal year.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U.S. GAAP: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Accounting principles generally accepted in the United States of America.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World Bank: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World Bank consists of IBRD and IDA.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World Bank Group (WBG):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World Bank Group consists of IBRD, IDA, IFC, MIGA, and ICSID.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4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362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1"/>
        <w:gridCol w:w="4721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314" w:lineRule="exact" w:before="344" w:after="16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Abbreviations and Acronyms</w:t>
      </w:r>
    </w:p>
    <w:p>
      <w:pPr>
        <w:sectPr>
          <w:pgSz w:w="12240" w:h="15840"/>
          <w:pgMar w:top="216" w:right="136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AfDB: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African Development Bank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AOCI: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Accumulated Other Comprehensive Income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BOG: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Board of Governors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COSO: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Committee of Sponsoring Organizations of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Treadway Commission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CDS: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Credit Default Swaps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CVA: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Credit Valuation Adjustment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CRO: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Vice President and WBG Chief Risk Officer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DDO: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Deferred Drawdown Option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DPF: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Development Project Financing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DVA: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Debit Valuation Adjustment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EAL: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Equitable Access Limit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EDF: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Expected default frequency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EEA: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Exposure Exchange Agreement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EFOs: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Externally Financed Outputs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ESG: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Environmental, Social and Governance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FIFs: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Financial Intermediary Funds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FRC: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Finance and Risk Committee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GCI: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General Capital Increase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GDI</w:t>
      </w:r>
      <w:r>
        <w:rPr>
          <w:rFonts w:ascii="ArialMT" w:hAnsi="ArialMT" w:eastAsia="ArialMT"/>
          <w:b w:val="0"/>
          <w:i w:val="0"/>
          <w:color w:val="000000"/>
          <w:sz w:val="18"/>
        </w:rPr>
        <w:t>: Graduation Discussion Income</w:t>
      </w:r>
    </w:p>
    <w:p>
      <w:pPr>
        <w:sectPr>
          <w:type w:val="continuous"/>
          <w:pgSz w:w="12240" w:h="15840"/>
          <w:pgMar w:top="216" w:right="1368" w:bottom="288" w:left="1430" w:header="720" w:footer="720" w:gutter="0"/>
          <w:cols w:num="2" w:equalWidth="0">
            <w:col w:w="4716" w:space="0"/>
            <w:col w:w="4726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34"/>
        <w:ind w:left="3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IPF: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Investment Project Financing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LLP: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Loan Loss Provision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LTRRO: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Long-Term Real Return Objective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MDB: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Multilateral Development Bank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MDCAO: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Managing Director and World Bank Group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Chief Administrative Officer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MDCFO: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Managing Director and World Bank Group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Chief Financial Officer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MIGA: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Multilateral Investment Guarantee Agency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MOV: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Maintenance-Of-Value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NBC: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New Business Committee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NCPIC: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National Currency Paid-in Capital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ORC: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Operational Risk Committee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PBAC: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Pension Benefits Administration Committee </w:t>
      </w:r>
      <w:r>
        <w:rPr>
          <w:rFonts w:ascii="Arial" w:hAnsi="Arial" w:eastAsia="Arial"/>
          <w:b/>
          <w:i w:val="0"/>
          <w:color w:val="000000"/>
          <w:sz w:val="18"/>
        </w:rPr>
        <w:t>PBO: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Pension Benefit Obligation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PCRF: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Post Retirement Contribution Reserve Fund </w:t>
      </w:r>
      <w:r>
        <w:rPr>
          <w:rFonts w:ascii="Arial" w:hAnsi="Arial" w:eastAsia="Arial"/>
          <w:b/>
          <w:i w:val="0"/>
          <w:color w:val="000000"/>
          <w:sz w:val="18"/>
        </w:rPr>
        <w:t>PEBP: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Post-Employment Benefit Plan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PFC: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Pension Finance Committee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PforR: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Program-for-Results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RAS: </w:t>
      </w:r>
      <w:r>
        <w:rPr>
          <w:rFonts w:ascii="ArialMT" w:hAnsi="ArialMT" w:eastAsia="ArialMT"/>
          <w:b w:val="0"/>
          <w:i w:val="0"/>
          <w:color w:val="000000"/>
          <w:sz w:val="18"/>
        </w:rPr>
        <w:t>Reimbursable Advisory Services</w:t>
      </w:r>
    </w:p>
    <w:p>
      <w:pPr>
        <w:sectPr>
          <w:type w:val="nextColumn"/>
          <w:pgSz w:w="12240" w:h="15840"/>
          <w:pgMar w:top="216" w:right="1368" w:bottom="288" w:left="1430" w:header="720" w:footer="720" w:gutter="0"/>
          <w:cols w:num="2" w:equalWidth="0">
            <w:col w:w="4716" w:space="0"/>
            <w:col w:w="47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9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GNI: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Gross National Income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RAMP: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Reserves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Advisory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Management </w:t>
            </w:r>
          </w:p>
        </w:tc>
      </w:tr>
      <w:tr>
        <w:trPr>
          <w:trHeight w:hRule="exact" w:val="202"/>
        </w:trPr>
        <w:tc>
          <w:tcPr>
            <w:tcW w:type="dxa" w:w="1574"/>
            <w:vMerge/>
            <w:tcBorders/>
          </w:tcPr>
          <w:p/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8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Partnership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216" w:right="136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GMFs: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Grant-Making Facilities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IADB: </w:t>
      </w:r>
      <w:r>
        <w:rPr>
          <w:rFonts w:ascii="ArialMT" w:hAnsi="ArialMT" w:eastAsia="ArialMT"/>
          <w:b w:val="0"/>
          <w:i w:val="0"/>
          <w:color w:val="000000"/>
          <w:sz w:val="18"/>
        </w:rPr>
        <w:t>Inter</w:t>
      </w:r>
      <w:r>
        <w:rPr>
          <w:rFonts w:ascii="Quivira" w:hAnsi="Quivira" w:eastAsia="Quivira"/>
          <w:b w:val="0"/>
          <w:i w:val="0"/>
          <w:color w:val="000000"/>
          <w:sz w:val="18"/>
        </w:rPr>
        <w:t>-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American Development Bank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IBRD: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International Bank for Reconstruction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Development </w:t>
      </w:r>
      <w:r>
        <w:br/>
      </w:r>
      <w:r>
        <w:rPr>
          <w:rFonts w:ascii="Arial" w:hAnsi="Arial" w:eastAsia="Arial"/>
          <w:b/>
          <w:i w:val="0"/>
          <w:color w:val="0E0E0E"/>
          <w:sz w:val="18"/>
        </w:rPr>
        <w:t>ICSID:</w:t>
      </w:r>
      <w:r>
        <w:rPr>
          <w:rFonts w:ascii="ArialMT" w:hAnsi="ArialMT" w:eastAsia="ArialMT"/>
          <w:b w:val="0"/>
          <w:i w:val="0"/>
          <w:color w:val="0E0E0E"/>
          <w:sz w:val="18"/>
        </w:rPr>
        <w:t xml:space="preserve"> International Centre for Settlement of </w:t>
      </w:r>
      <w:r>
        <w:br/>
      </w:r>
      <w:r>
        <w:rPr>
          <w:rFonts w:ascii="ArialMT" w:hAnsi="ArialMT" w:eastAsia="ArialMT"/>
          <w:b w:val="0"/>
          <w:i w:val="0"/>
          <w:color w:val="0E0E0E"/>
          <w:sz w:val="18"/>
        </w:rPr>
        <w:t xml:space="preserve">Investment Disputes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IFC: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International Finance Corporation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IDA: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International Development Association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IFFIm: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International Finance Facility for Immunization </w:t>
      </w:r>
      <w:r>
        <w:rPr>
          <w:rFonts w:ascii="Arial" w:hAnsi="Arial" w:eastAsia="Arial"/>
          <w:b/>
          <w:i w:val="0"/>
          <w:color w:val="000000"/>
          <w:sz w:val="18"/>
        </w:rPr>
        <w:t>IFLs: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IBRD Flexible</w:t>
      </w: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p>
      <w:pPr>
        <w:sectPr>
          <w:type w:val="continuous"/>
          <w:pgSz w:w="12240" w:h="15840"/>
          <w:pgMar w:top="216" w:right="1368" w:bottom="288" w:left="1430" w:header="720" w:footer="720" w:gutter="0"/>
          <w:cols w:num="2" w:equalWidth="0">
            <w:col w:w="4660" w:space="0"/>
            <w:col w:w="4782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3950"/>
        <w:ind w:left="39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RSBP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Retired Staff Benefits Plan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SALL: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Sustainable Annual Lending Level </w:t>
      </w:r>
      <w:r>
        <w:rPr>
          <w:rFonts w:ascii="Arial" w:hAnsi="Arial" w:eastAsia="Arial"/>
          <w:b/>
          <w:i w:val="0"/>
          <w:color w:val="000000"/>
          <w:sz w:val="18"/>
        </w:rPr>
        <w:t>SCI: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Selective Capital Increase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SDPL: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Special Development Policy Loans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SBL: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Single Borrower Limit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>SOFR: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Secured Overnight Financing Rate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SLL: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Statutory Lending Limit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SRP: </w:t>
      </w:r>
      <w:r>
        <w:rPr>
          <w:rFonts w:ascii="ArialMT" w:hAnsi="ArialMT" w:eastAsia="ArialMT"/>
          <w:b w:val="0"/>
          <w:i w:val="0"/>
          <w:color w:val="000000"/>
          <w:sz w:val="18"/>
        </w:rPr>
        <w:t>Staff Retirement Plan</w:t>
      </w:r>
    </w:p>
    <w:p>
      <w:pPr>
        <w:sectPr>
          <w:type w:val="nextColumn"/>
          <w:pgSz w:w="12240" w:h="15840"/>
          <w:pgMar w:top="216" w:right="1368" w:bottom="288" w:left="1430" w:header="720" w:footer="720" w:gutter="0"/>
          <w:cols w:num="2" w:equalWidth="0">
            <w:col w:w="4660" w:space="0"/>
            <w:col w:w="4782" w:space="0"/>
          </w:cols>
          <w:docGrid w:linePitch="360"/>
        </w:sectPr>
      </w:pPr>
    </w:p>
    <w:p>
      <w:pPr>
        <w:autoSpaceDN w:val="0"/>
        <w:tabs>
          <w:tab w:pos="9094" w:val="left"/>
        </w:tabs>
        <w:autoSpaceDE w:val="0"/>
        <w:widowControl/>
        <w:spacing w:line="224" w:lineRule="exact" w:before="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71</w:t>
      </w:r>
    </w:p>
    <w:p>
      <w:pPr>
        <w:sectPr>
          <w:type w:val="continuous"/>
          <w:pgSz w:w="12240" w:h="15840"/>
          <w:pgMar w:top="216" w:right="1368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0"/>
        <w:gridCol w:w="4700"/>
      </w:tblGrid>
      <w:tr>
        <w:trPr>
          <w:trHeight w:hRule="exact" w:val="254"/>
        </w:trPr>
        <w:tc>
          <w:tcPr>
            <w:tcW w:type="dxa" w:w="397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314" w:lineRule="exact" w:before="584" w:after="192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Eligible Borrowing Member Countries by Region 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0"/>
        <w:gridCol w:w="4700"/>
      </w:tblGrid>
      <w:tr>
        <w:trPr>
          <w:trHeight w:hRule="exact" w:val="240"/>
        </w:trPr>
        <w:tc>
          <w:tcPr>
            <w:tcW w:type="dxa" w:w="221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Region</w:t>
            </w:r>
          </w:p>
        </w:tc>
        <w:tc>
          <w:tcPr>
            <w:tcW w:type="dxa" w:w="7170"/>
            <w:tcBorders/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Countries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717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Angola, Botswana, Eswatini*, Kenya*, Mauritius, Namibia, Seychelles, South Africa, Zimbabwe*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717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1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Republic of Cabo Verde*, Cameroon*, Republic of Congo*, Equatorial Guinea, Gabon, Nigeria*,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Cote d'Ivoire*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717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1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China, Fiji*, Indonesia, Malaysia, Mongolia, Nauru, Palau, Papua New Guinea*, Philippines,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Thailand, Timor-Leste*, Viet Nam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717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1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Albania, Armenia, Azerbaijan, Belarus, Bosnia and Herzegovina, Bulgaria, Croatia, Georgia,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Kazakhstan, North Macedonia, Moldova, Montenegro, Poland, Romania, Russian Federation,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Serbia, Türkiye, Turkmenistan, Ukraine, Uzbekistan* 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Caribbean</w:t>
            </w:r>
          </w:p>
        </w:tc>
        <w:tc>
          <w:tcPr>
            <w:tcW w:type="dxa" w:w="717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1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Argentina, Antigua and Barbuda, Barbados, Belize*, Bolivia, Brazil, Chile, Colombia, Costa Rica,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Dominica*, Dominican Republic, Ecuador, El Salvador, Grenada*, Guatemala, Jamaica, Mexico,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Panama, Paraguay, Peru, St. Kitts and Nevis, St. Lucia*, St. Vincent and the Grenadines*,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Suriname*, Trinidad and Tobago, Uruguay, Venezuela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717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8" w:after="0"/>
              <w:ind w:left="11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Algeria, Arab Republic of Egypt, Islamic Republic of Iran, Iraq, Jordan, Lebanon, Libya, Morocco,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Tunisia</w:t>
            </w:r>
          </w:p>
        </w:tc>
      </w:tr>
      <w:tr>
        <w:trPr>
          <w:trHeight w:hRule="exact" w:val="720"/>
        </w:trPr>
        <w:tc>
          <w:tcPr>
            <w:tcW w:type="dxa" w:w="221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717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India, Pakistan* </w:t>
            </w:r>
          </w:p>
        </w:tc>
      </w:tr>
    </w:tbl>
    <w:p>
      <w:pPr>
        <w:autoSpaceDN w:val="0"/>
        <w:autoSpaceDE w:val="0"/>
        <w:widowControl/>
        <w:spacing w:line="178" w:lineRule="exact" w:before="19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Blend countries eligible for IDA and IBRD loans.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761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2025</w:t>
      </w:r>
    </w:p>
    <w:p>
      <w:pPr>
        <w:sectPr>
          <w:pgSz w:w="12240" w:h="15840"/>
          <w:pgMar w:top="216" w:right="1410" w:bottom="2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</w:p>
    <w:p>
      <w:pPr>
        <w:autoSpaceDN w:val="0"/>
        <w:autoSpaceDE w:val="0"/>
        <w:widowControl/>
        <w:spacing w:line="314" w:lineRule="exact" w:before="3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FINANCIAL STATEMENTS AND INTERNAL CONTROL REPORTS</w:t>
      </w:r>
    </w:p>
    <w:p>
      <w:pPr>
        <w:autoSpaceDN w:val="0"/>
        <w:autoSpaceDE w:val="0"/>
        <w:widowControl/>
        <w:spacing w:line="314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June 30, 2025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51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Management’s Report Regarding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on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76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78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Balance Sheets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82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Comprehensive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85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Changes in Equity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86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Cash Flows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Supplementary Information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Summary Statement of Loans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89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 of Subscriptions to Capital Stock and Voting Power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91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Notes to Financial Statements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95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7450" w:after="0"/>
        <w:ind w:left="4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73</w:t>
      </w:r>
    </w:p>
    <w:p>
      <w:pPr>
        <w:sectPr>
          <w:pgSz w:w="12240" w:h="15840"/>
          <w:pgMar w:top="862" w:right="142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Management's Report Regarding Effectiveness of Internal Control Over </w:t>
      </w:r>
      <w:r>
        <w:rPr>
          <w:rFonts w:ascii="ArialMT" w:hAnsi="ArialMT" w:eastAsia="ArialMT"/>
          <w:b w:val="0"/>
          <w:i w:val="0"/>
          <w:color w:val="000000"/>
          <w:sz w:val="28"/>
        </w:rPr>
        <w:t>Financial 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6619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44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278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6967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296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75</w:t>
      </w:r>
    </w:p>
    <w:p>
      <w:pPr>
        <w:sectPr>
          <w:pgSz w:w="12240" w:h="15840"/>
          <w:pgMar w:top="720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Independent Auditor's Report on Effectiveness of Internal Control Over </w:t>
      </w:r>
      <w:r>
        <w:rPr>
          <w:rFonts w:ascii="ArialMT" w:hAnsi="ArialMT" w:eastAsia="ArialMT"/>
          <w:b w:val="0"/>
          <w:i w:val="0"/>
          <w:color w:val="000000"/>
          <w:sz w:val="28"/>
        </w:rPr>
        <w:t>Financial 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841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09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278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189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6232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77</w:t>
      </w:r>
    </w:p>
    <w:p>
      <w:pPr>
        <w:sectPr>
          <w:pgSz w:w="12240" w:h="15840"/>
          <w:pgMar w:top="720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80860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77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278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006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06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79</w:t>
      </w:r>
    </w:p>
    <w:p>
      <w:pPr>
        <w:sectPr>
          <w:pgSz w:w="12240" w:h="15840"/>
          <w:pgMar w:top="720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08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61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278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FINANCIAL STATEMENTS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>June 30, 2025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221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81</w:t>
      </w:r>
    </w:p>
    <w:p>
      <w:pPr>
        <w:sectPr>
          <w:pgSz w:w="12240" w:h="15840"/>
          <w:pgMar w:top="696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>BALANCE SHEETS</w:t>
      </w:r>
    </w:p>
    <w:p>
      <w:pPr>
        <w:autoSpaceDN w:val="0"/>
        <w:autoSpaceDE w:val="0"/>
        <w:widowControl/>
        <w:spacing w:line="224" w:lineRule="exact" w:before="4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and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380" w:after="226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80.0" w:type="dxa"/>
      </w:tblPr>
      <w:tblGrid>
        <w:gridCol w:w="4708"/>
        <w:gridCol w:w="4708"/>
      </w:tblGrid>
      <w:tr>
        <w:trPr>
          <w:trHeight w:hRule="exact" w:val="290"/>
        </w:trPr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2" w:lineRule="exact" w:before="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412 $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410 </w:t>
            </w:r>
          </w:p>
        </w:tc>
      </w:tr>
      <w:tr>
        <w:trPr>
          <w:trHeight w:hRule="exact" w:val="270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485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</w:tr>
      <w:tr>
        <w:trPr>
          <w:trHeight w:hRule="exact" w:val="654"/>
        </w:trPr>
        <w:tc>
          <w:tcPr>
            <w:tcW w:type="dxa" w:w="6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144" w:hanging="18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Investments-Trading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(including securities transferred under repurchase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securities lending agreements of $312 million—June 30, 2025 and $255 million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—June 30, 2024)—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Notes C and J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102,674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82,728 </w:t>
            </w:r>
          </w:p>
        </w:tc>
      </w:tr>
      <w:tr>
        <w:trPr>
          <w:trHeight w:hRule="exact" w:val="36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2354"/>
            <w:vMerge/>
            <w:tcBorders>
              <w:top w:sz="8.0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79 </w:t>
            </w:r>
          </w:p>
        </w:tc>
      </w:tr>
      <w:tr>
        <w:trPr>
          <w:trHeight w:hRule="exact" w:val="336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C, F and J</w:t>
            </w:r>
          </w:p>
        </w:tc>
        <w:tc>
          <w:tcPr>
            <w:tcW w:type="dxa" w:w="2354"/>
            <w:vMerge/>
            <w:tcBorders>
              <w:top w:sz="8.0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456 </w:t>
            </w:r>
          </w:p>
        </w:tc>
      </w:tr>
    </w:tbl>
    <w:p>
      <w:pPr>
        <w:autoSpaceDN w:val="0"/>
        <w:autoSpaceDE w:val="0"/>
        <w:widowControl/>
        <w:spacing w:line="200" w:lineRule="exact" w:before="16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Receivables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Receivable from investment securities traded—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438 </w:t>
            </w:r>
          </w:p>
        </w:tc>
      </w:tr>
      <w:tr>
        <w:trPr>
          <w:trHeight w:hRule="exact" w:val="276"/>
        </w:trPr>
        <w:tc>
          <w:tcPr>
            <w:tcW w:type="dxa" w:w="65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income on loans and guarantee fees receivable—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3,562 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4,022 </w:t>
            </w:r>
          </w:p>
        </w:tc>
      </w:tr>
      <w:tr>
        <w:trPr>
          <w:trHeight w:hRule="exact" w:val="254"/>
        </w:trPr>
        <w:tc>
          <w:tcPr>
            <w:tcW w:type="dxa" w:w="6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3,646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4,460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6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375,435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348,248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6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Less: Undisbursed balance (including signed loan commitments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6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$76,870 million—June 30, 2025 and $66,761 million—June 30, 2024)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(92,345)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(85,058) </w:t>
            </w:r>
          </w:p>
        </w:tc>
      </w:tr>
      <w:tr>
        <w:trPr>
          <w:trHeight w:hRule="exact" w:val="252"/>
        </w:trPr>
        <w:tc>
          <w:tcPr>
            <w:tcW w:type="dxa" w:w="6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283,090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5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Accumulated provision for loan losses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(2,366) </w:t>
            </w:r>
          </w:p>
        </w:tc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(2,360) </w:t>
            </w:r>
          </w:p>
        </w:tc>
      </w:tr>
      <w:tr>
        <w:trPr>
          <w:trHeight w:hRule="exact" w:val="260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Deferred loan income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(681)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(594) </w:t>
            </w:r>
          </w:p>
        </w:tc>
      </w:tr>
      <w:tr>
        <w:trPr>
          <w:trHeight w:hRule="exact" w:val="271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loans outstanding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280,043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260,236 </w:t>
            </w:r>
          </w:p>
        </w:tc>
      </w:tr>
    </w:tbl>
    <w:p>
      <w:pPr>
        <w:autoSpaceDN w:val="0"/>
        <w:autoSpaceDE w:val="0"/>
        <w:widowControl/>
        <w:spacing w:line="200" w:lineRule="exact" w:before="8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8"/>
        </w:trPr>
        <w:tc>
          <w:tcPr>
            <w:tcW w:type="dxa" w:w="6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Assets under retirement benefits plans—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I and K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8,041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4,655 </w:t>
            </w:r>
          </w:p>
        </w:tc>
      </w:tr>
      <w:tr>
        <w:trPr>
          <w:trHeight w:hRule="exact" w:val="260"/>
        </w:trPr>
        <w:tc>
          <w:tcPr>
            <w:tcW w:type="dxa" w:w="6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Premises and equipment,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1,866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1,842 </w:t>
            </w:r>
          </w:p>
        </w:tc>
      </w:tr>
      <w:tr>
        <w:trPr>
          <w:trHeight w:hRule="exact" w:val="270"/>
        </w:trPr>
        <w:tc>
          <w:tcPr>
            <w:tcW w:type="dxa" w:w="66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Miscellaneous—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D,H,J and L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2,076 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1,666 </w:t>
            </w:r>
          </w:p>
        </w:tc>
      </w:tr>
      <w:tr>
        <w:trPr>
          <w:trHeight w:hRule="exact" w:val="256"/>
        </w:trPr>
        <w:tc>
          <w:tcPr>
            <w:tcW w:type="dxa" w:w="66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11,983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8,163 </w:t>
            </w:r>
          </w:p>
        </w:tc>
      </w:tr>
      <w:tr>
        <w:trPr>
          <w:trHeight w:hRule="exact" w:val="234"/>
        </w:trPr>
        <w:tc>
          <w:tcPr>
            <w:tcW w:type="dxa" w:w="3766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399,511 $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4770"/>
        </w:trPr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55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6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556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80.0" w:type="dxa"/>
      </w:tblPr>
      <w:tblGrid>
        <w:gridCol w:w="4708"/>
        <w:gridCol w:w="4708"/>
      </w:tblGrid>
      <w:tr>
        <w:trPr>
          <w:trHeight w:hRule="exact" w:val="230"/>
        </w:trPr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p>
      <w:pPr>
        <w:autoSpaceDN w:val="0"/>
        <w:autoSpaceDE w:val="0"/>
        <w:widowControl/>
        <w:spacing w:line="202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3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at fair value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305,679 $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</w:t>
            </w:r>
          </w:p>
        </w:tc>
      </w:tr>
      <w:tr>
        <w:trPr>
          <w:trHeight w:hRule="exact" w:val="274"/>
        </w:trPr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</w:tr>
      <w:tr>
        <w:trPr>
          <w:trHeight w:hRule="exact" w:val="286"/>
        </w:trPr>
        <w:tc>
          <w:tcPr>
            <w:tcW w:type="dxa" w:w="6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306,161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</w:t>
            </w:r>
          </w:p>
        </w:tc>
      </w:tr>
    </w:tbl>
    <w:p>
      <w:pPr>
        <w:autoSpaceDN w:val="0"/>
        <w:tabs>
          <w:tab w:pos="232" w:val="left"/>
        </w:tabs>
        <w:autoSpaceDE w:val="0"/>
        <w:widowControl/>
        <w:spacing w:line="216" w:lineRule="exact" w:before="192" w:after="8"/>
        <w:ind w:left="52" w:right="288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tab/>
      </w:r>
      <w:r>
        <w:rPr>
          <w:rFonts w:ascii="Arial" w:hAnsi="Arial" w:eastAsia="Arial"/>
          <w:b/>
          <w:i/>
          <w:color w:val="000000"/>
          <w:sz w:val="18"/>
        </w:rPr>
        <w:t>securities lending agreements, and payable for cash collateral received—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88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Notes C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256 </w:t>
            </w:r>
          </w:p>
        </w:tc>
      </w:tr>
      <w:tr>
        <w:trPr>
          <w:trHeight w:hRule="exact" w:val="340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C, F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12,454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00" w:lineRule="exact" w:before="10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5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Payable for investment securities purchased—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199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561 </w:t>
            </w:r>
          </w:p>
        </w:tc>
      </w:tr>
      <w:tr>
        <w:trPr>
          <w:trHeight w:hRule="exact" w:val="24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Liabilities under retirement benefits plans—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I and K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2,070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2,097 </w:t>
            </w:r>
          </w:p>
        </w:tc>
      </w:tr>
      <w:tr>
        <w:trPr>
          <w:trHeight w:hRule="exact" w:val="274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D, H, J and L</w:t>
            </w:r>
          </w:p>
        </w:tc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6,303 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</w:tr>
      <w:tr>
        <w:trPr>
          <w:trHeight w:hRule="exact" w:val="25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8,572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8,354 </w:t>
            </w:r>
          </w:p>
        </w:tc>
      </w:tr>
      <w:tr>
        <w:trPr>
          <w:trHeight w:hRule="exact" w:val="25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327,499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293,128 </w:t>
            </w:r>
          </w:p>
        </w:tc>
      </w:tr>
    </w:tbl>
    <w:p>
      <w:pPr>
        <w:autoSpaceDN w:val="0"/>
        <w:autoSpaceDE w:val="0"/>
        <w:widowControl/>
        <w:spacing w:line="202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2" w:lineRule="exact" w:before="128" w:after="0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Capital stock—Note B</w:t>
      </w:r>
    </w:p>
    <w:p>
      <w:pPr>
        <w:autoSpaceDN w:val="0"/>
        <w:tabs>
          <w:tab w:pos="592" w:val="left"/>
        </w:tabs>
        <w:autoSpaceDE w:val="0"/>
        <w:widowControl/>
        <w:spacing w:line="216" w:lineRule="exact" w:before="48" w:after="0"/>
        <w:ind w:left="412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Authorized capital (2,783,873 shares—June 30, 2025 and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June 30, 2024)</w:t>
      </w:r>
    </w:p>
    <w:p>
      <w:pPr>
        <w:autoSpaceDN w:val="0"/>
        <w:autoSpaceDE w:val="0"/>
        <w:widowControl/>
        <w:spacing w:line="202" w:lineRule="exact" w:before="62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Subscribed capital (2,709,291 shares—June 30, 2025,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3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2,678,098 shares—June 30, 2024)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326,835 </w:t>
            </w:r>
          </w:p>
        </w:tc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323,072 </w:t>
            </w:r>
          </w:p>
        </w:tc>
      </w:tr>
      <w:tr>
        <w:trPr>
          <w:trHeight w:hRule="exact" w:val="260"/>
        </w:trPr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Less uncalled portion of subscriptions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(303,924)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(300,620) </w:t>
            </w:r>
          </w:p>
        </w:tc>
      </w:tr>
      <w:tr>
        <w:trPr>
          <w:trHeight w:hRule="exact" w:val="258"/>
        </w:trPr>
        <w:tc>
          <w:tcPr>
            <w:tcW w:type="dxa" w:w="6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Paid-in capital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22,911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22,452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Nonnegotiable, noninterest-bearing demand obligations on account 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68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subscribed capital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(313)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(310) </w:t>
            </w:r>
          </w:p>
        </w:tc>
      </w:tr>
    </w:tbl>
    <w:p>
      <w:pPr>
        <w:autoSpaceDN w:val="0"/>
        <w:autoSpaceDE w:val="0"/>
        <w:widowControl/>
        <w:spacing w:line="202" w:lineRule="exact" w:before="62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Receivable and deferred  amounts to maintain value of currency holdings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6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Note B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(623)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(895) </w:t>
            </w:r>
          </w:p>
        </w:tc>
      </w:tr>
      <w:tr>
        <w:trPr>
          <w:trHeight w:hRule="exact" w:val="30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Retained earnings —Note G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40,383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</w:tr>
      <w:tr>
        <w:trPr>
          <w:trHeight w:hRule="exact" w:val="366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income —Note I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9,654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3,954 </w:t>
            </w:r>
          </w:p>
        </w:tc>
      </w:tr>
      <w:tr>
        <w:trPr>
          <w:trHeight w:hRule="exact" w:val="254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72,012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63,484 </w:t>
            </w:r>
          </w:p>
        </w:tc>
      </w:tr>
      <w:tr>
        <w:trPr>
          <w:trHeight w:hRule="exact" w:val="310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399,511 $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50"/>
        </w:trPr>
        <w:tc>
          <w:tcPr>
            <w:tcW w:type="dxa" w:w="6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182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93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83</w:t>
      </w:r>
    </w:p>
    <w:p>
      <w:pPr>
        <w:sectPr>
          <w:pgSz w:w="12240" w:h="15840"/>
          <w:pgMar w:top="1032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INCOME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336" w:after="336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4.0" w:type="dxa"/>
      </w:tblPr>
      <w:tblGrid>
        <w:gridCol w:w="3139"/>
        <w:gridCol w:w="3139"/>
        <w:gridCol w:w="3139"/>
      </w:tblGrid>
      <w:tr>
        <w:trPr>
          <w:trHeight w:hRule="exact" w:val="292"/>
        </w:trPr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2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54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p>
      <w:pPr>
        <w:sectPr>
          <w:pgSz w:w="12240" w:h="15840"/>
          <w:pgMar w:top="512" w:right="1384" w:bottom="336" w:left="1440" w:header="720" w:footer="720" w:gutter="0"/>
          <w:cols/>
          <w:docGrid w:linePitch="360"/>
        </w:sectPr>
      </w:pPr>
    </w:p>
    <w:p>
      <w:pPr>
        <w:autoSpaceDN w:val="0"/>
        <w:tabs>
          <w:tab w:pos="232" w:val="left"/>
        </w:tabs>
        <w:autoSpaceDE w:val="0"/>
        <w:widowControl/>
        <w:spacing w:line="246" w:lineRule="exact" w:before="0" w:after="0"/>
        <w:ind w:left="52" w:right="14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Loans, net—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Note 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Other asset/liability management derivatives, net—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Notes F and J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Investments-Trading, net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Other, net </w:t>
      </w:r>
      <w:r>
        <w:br/>
      </w:r>
      <w:r>
        <w:rPr>
          <w:rFonts w:ascii="Arial" w:hAnsi="Arial" w:eastAsia="Arial"/>
          <w:b/>
          <w:i/>
          <w:color w:val="000000"/>
          <w:sz w:val="18"/>
        </w:rPr>
        <w:t xml:space="preserve">Borrowing expenses, net—Note E </w:t>
      </w:r>
      <w:r>
        <w:br/>
      </w:r>
      <w:r>
        <w:rPr>
          <w:rFonts w:ascii="Arial" w:hAnsi="Arial" w:eastAsia="Arial"/>
          <w:b/>
          <w:i/>
          <w:color w:val="000000"/>
          <w:sz w:val="18"/>
        </w:rPr>
        <w:t>Interest revenue, net of borrowing expenses</w:t>
      </w:r>
    </w:p>
    <w:p>
      <w:pPr>
        <w:sectPr>
          <w:type w:val="continuous"/>
          <w:pgSz w:w="12240" w:h="15840"/>
          <w:pgMar w:top="512" w:right="1384" w:bottom="336" w:left="1440" w:header="720" w:footer="720" w:gutter="0"/>
          <w:cols w:num="2" w:equalWidth="0">
            <w:col w:w="5588" w:space="0"/>
            <w:col w:w="38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2354"/>
        <w:gridCol w:w="2354"/>
        <w:gridCol w:w="2354"/>
        <w:gridCol w:w="2354"/>
      </w:tblGrid>
      <w:tr>
        <w:trPr>
          <w:trHeight w:hRule="exact" w:val="234"/>
        </w:trPr>
        <w:tc>
          <w:tcPr>
            <w:tcW w:type="dxa" w:w="3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15,301 $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15,831 $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10,522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(1,293)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(1,726)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(850) </w:t>
            </w:r>
          </w:p>
        </w:tc>
      </w:tr>
      <w:tr>
        <w:trPr>
          <w:trHeight w:hRule="exact" w:val="24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4,444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4,337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3,079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7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(14,920) </w:t>
            </w:r>
          </w:p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(15,215)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(9,562) </w:t>
            </w:r>
          </w:p>
        </w:tc>
      </w:tr>
      <w:tr>
        <w:trPr>
          <w:trHeight w:hRule="exact" w:val="234"/>
        </w:trPr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3,534 </w:t>
            </w:r>
          </w:p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3,229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3,191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type w:val="nextColumn"/>
          <w:pgSz w:w="12240" w:h="15840"/>
          <w:pgMar w:top="512" w:right="1384" w:bottom="336" w:left="1440" w:header="720" w:footer="720" w:gutter="0"/>
          <w:cols w:num="2" w:equalWidth="0">
            <w:col w:w="5588" w:space="0"/>
            <w:col w:w="382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34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Provision for losses on loans and other exposures, release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68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(charge) — Note D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(94)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(685) </w:t>
            </w:r>
          </w:p>
        </w:tc>
      </w:tr>
    </w:tbl>
    <w:p>
      <w:pPr>
        <w:autoSpaceDN w:val="0"/>
        <w:autoSpaceDE w:val="0"/>
        <w:widowControl/>
        <w:spacing w:line="200" w:lineRule="exact" w:before="22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 and L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947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960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878 </w:t>
            </w:r>
          </w:p>
        </w:tc>
      </w:tr>
      <w:tr>
        <w:trPr>
          <w:trHeight w:hRule="exact" w:val="26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149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124 </w:t>
            </w:r>
          </w:p>
        </w:tc>
      </w:tr>
      <w:tr>
        <w:trPr>
          <w:trHeight w:hRule="exact" w:val="270"/>
        </w:trPr>
        <w:tc>
          <w:tcPr>
            <w:tcW w:type="dxa" w:w="5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</w:t>
            </w:r>
          </w:p>
        </w:tc>
        <w:tc>
          <w:tcPr>
            <w:tcW w:type="dxa" w:w="11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170 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12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 </w:t>
            </w:r>
          </w:p>
        </w:tc>
      </w:tr>
      <w:tr>
        <w:trPr>
          <w:trHeight w:hRule="exact" w:val="254"/>
        </w:trPr>
        <w:tc>
          <w:tcPr>
            <w:tcW w:type="dxa" w:w="5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1,269 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1,151 </w:t>
            </w:r>
          </w:p>
        </w:tc>
        <w:tc>
          <w:tcPr>
            <w:tcW w:type="dxa" w:w="12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1,045 </w:t>
            </w:r>
          </w:p>
        </w:tc>
      </w:tr>
    </w:tbl>
    <w:p>
      <w:pPr>
        <w:autoSpaceDN w:val="0"/>
        <w:autoSpaceDE w:val="0"/>
        <w:widowControl/>
        <w:spacing w:line="200" w:lineRule="exact" w:before="19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H, K and L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(2,522)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(2,379)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(2,320) </w:t>
            </w:r>
          </w:p>
        </w:tc>
      </w:tr>
      <w:tr>
        <w:trPr>
          <w:trHeight w:hRule="exact" w:val="26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Contributions to special programs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</w:tr>
      <w:tr>
        <w:trPr>
          <w:trHeight w:hRule="exact" w:val="270"/>
        </w:trPr>
        <w:tc>
          <w:tcPr>
            <w:tcW w:type="dxa" w:w="5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K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170 </w:t>
            </w:r>
          </w:p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183 </w:t>
            </w:r>
          </w:p>
        </w:tc>
      </w:tr>
      <w:tr>
        <w:trPr>
          <w:trHeight w:hRule="exact" w:val="254"/>
        </w:trPr>
        <w:tc>
          <w:tcPr>
            <w:tcW w:type="dxa" w:w="5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(2,389) 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(2,226)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(2,154) </w:t>
            </w:r>
          </w:p>
        </w:tc>
      </w:tr>
      <w:tr>
        <w:trPr>
          <w:trHeight w:hRule="exact" w:val="516"/>
        </w:trPr>
        <w:tc>
          <w:tcPr>
            <w:tcW w:type="dxa" w:w="57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Board of Governors-approved  transfers—Note G</w:t>
            </w:r>
          </w:p>
        </w:tc>
        <w:tc>
          <w:tcPr>
            <w:tcW w:type="dxa" w:w="1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(815) </w:t>
            </w:r>
          </w:p>
        </w:tc>
        <w:tc>
          <w:tcPr>
            <w:tcW w:type="dxa" w:w="1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(371) </w:t>
            </w:r>
          </w:p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(221) </w:t>
            </w:r>
          </w:p>
        </w:tc>
      </w:tr>
      <w:tr>
        <w:trPr>
          <w:trHeight w:hRule="exact" w:val="384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Currency remeasurement (losses) gains, net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(44)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202" w:lineRule="exact" w:before="168" w:after="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gains on 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54"/>
        <w:gridCol w:w="2354"/>
        <w:gridCol w:w="2354"/>
        <w:gridCol w:w="2354"/>
      </w:tblGrid>
      <w:tr>
        <w:trPr>
          <w:trHeight w:hRule="exact" w:val="27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 portfolio, net—Notes F and J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88" w:after="28"/>
        <w:ind w:left="52" w:right="432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 gains (losses) on non-trading </w:t>
      </w:r>
      <w:r>
        <w:rPr>
          <w:rFonts w:ascii="Arial" w:hAnsi="Arial" w:eastAsia="Arial"/>
          <w:b/>
          <w:i/>
          <w:color w:val="000000"/>
          <w:sz w:val="18"/>
        </w:rPr>
        <w:t xml:space="preserve">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Loan-related derivatives—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D, F and J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(1,372)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(458)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1,677 </w:t>
            </w:r>
          </w:p>
        </w:tc>
      </w:tr>
      <w:tr>
        <w:trPr>
          <w:trHeight w:hRule="exact" w:val="26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asset/liability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1,839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(1,642) </w:t>
            </w:r>
          </w:p>
        </w:tc>
      </w:tr>
      <w:tr>
        <w:trPr>
          <w:trHeight w:hRule="exact" w:val="26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including derivatives—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E, F and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(234)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(190) </w:t>
            </w:r>
          </w:p>
        </w:tc>
      </w:tr>
      <w:tr>
        <w:trPr>
          <w:trHeight w:hRule="exact" w:val="260"/>
        </w:trPr>
        <w:tc>
          <w:tcPr>
            <w:tcW w:type="dxa" w:w="5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Others, net 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</w:tr>
      <w:tr>
        <w:trPr>
          <w:trHeight w:hRule="exact" w:val="254"/>
        </w:trPr>
        <w:tc>
          <w:tcPr>
            <w:tcW w:type="dxa" w:w="5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289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(155) </w:t>
            </w:r>
          </w:p>
        </w:tc>
      </w:tr>
      <w:tr>
        <w:trPr>
          <w:trHeight w:hRule="exact" w:val="236"/>
        </w:trPr>
        <w:tc>
          <w:tcPr>
            <w:tcW w:type="dxa" w:w="5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2,100 $ </w:t>
            </w:r>
          </w:p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2,142 $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</w:tr>
      <w:tr>
        <w:trPr>
          <w:trHeight w:hRule="exact" w:val="50"/>
        </w:trPr>
        <w:tc>
          <w:tcPr>
            <w:tcW w:type="dxa" w:w="57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642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9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type w:val="continuous"/>
          <w:pgSz w:w="12240" w:h="15840"/>
          <w:pgMar w:top="512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448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2" w:lineRule="exact" w:before="220" w:after="31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0"/>
        </w:trPr>
        <w:tc>
          <w:tcPr>
            <w:tcW w:type="dxa" w:w="5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722"/>
        </w:trPr>
        <w:tc>
          <w:tcPr>
            <w:tcW w:type="dxa" w:w="5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2,100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200" w:lineRule="exact" w:before="114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—Note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47"/>
        <w:gridCol w:w="2347"/>
        <w:gridCol w:w="2347"/>
        <w:gridCol w:w="2347"/>
      </w:tblGrid>
      <w:tr>
        <w:trPr>
          <w:trHeight w:hRule="exact" w:val="24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actuarial gains on benefit plans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3,420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2,103 </w:t>
            </w:r>
          </w:p>
        </w:tc>
      </w:tr>
      <w:tr>
        <w:trPr>
          <w:trHeight w:hRule="exact" w:val="278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Prior service credit on benefit plans, net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202" w:lineRule="exact" w:before="40" w:after="6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7"/>
        <w:gridCol w:w="2347"/>
        <w:gridCol w:w="2347"/>
        <w:gridCol w:w="2347"/>
      </w:tblGrid>
      <w:tr>
        <w:trPr>
          <w:trHeight w:hRule="exact" w:val="24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Value Option elected liabilities—Note  J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991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(13)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translation adjustments on functional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38"/>
        </w:trPr>
        <w:tc>
          <w:tcPr>
            <w:tcW w:type="dxa" w:w="3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gains (losses)</w:t>
            </w:r>
          </w:p>
        </w:tc>
        <w:tc>
          <w:tcPr>
            <w:tcW w:type="dxa" w:w="3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1,281 </w:t>
            </w:r>
          </w:p>
        </w:tc>
        <w:tc>
          <w:tcPr>
            <w:tcW w:type="dxa" w:w="15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(150) </w:t>
            </w:r>
          </w:p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495 </w:t>
            </w:r>
          </w:p>
        </w:tc>
      </w:tr>
      <w:tr>
        <w:trPr>
          <w:trHeight w:hRule="exact" w:val="254"/>
        </w:trPr>
        <w:tc>
          <w:tcPr>
            <w:tcW w:type="dxa" w:w="3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other comprehensive income</w:t>
            </w:r>
          </w:p>
        </w:tc>
        <w:tc>
          <w:tcPr>
            <w:tcW w:type="dxa" w:w="3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5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5,700 </w:t>
            </w:r>
          </w:p>
        </w:tc>
        <w:tc>
          <w:tcPr>
            <w:tcW w:type="dxa" w:w="15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431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2,605 </w:t>
            </w:r>
          </w:p>
        </w:tc>
      </w:tr>
      <w:tr>
        <w:trPr>
          <w:trHeight w:hRule="exact" w:val="354"/>
        </w:trPr>
        <w:tc>
          <w:tcPr>
            <w:tcW w:type="dxa" w:w="3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</w:t>
            </w:r>
          </w:p>
        </w:tc>
        <w:tc>
          <w:tcPr>
            <w:tcW w:type="dxa" w:w="2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7,800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2,573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3,749 </w:t>
            </w:r>
          </w:p>
        </w:tc>
      </w:tr>
      <w:tr>
        <w:trPr>
          <w:trHeight w:hRule="exact" w:val="8956"/>
        </w:trPr>
        <w:tc>
          <w:tcPr>
            <w:tcW w:type="dxa" w:w="3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742" w:after="0"/>
              <w:ind w:left="5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7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1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CHANGES IN EQUITY </w:t>
      </w:r>
    </w:p>
    <w:p>
      <w:pPr>
        <w:autoSpaceDN w:val="0"/>
        <w:autoSpaceDE w:val="0"/>
        <w:widowControl/>
        <w:spacing w:line="224" w:lineRule="exact" w:before="4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2" w:lineRule="exact" w:before="276" w:after="2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>
        <w:trPr>
          <w:trHeight w:hRule="exact" w:val="240"/>
        </w:trPr>
        <w:tc>
          <w:tcPr>
            <w:tcW w:type="dxa" w:w="2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Nonnegotiable, </w:t>
            </w:r>
          </w:p>
        </w:tc>
        <w:tc>
          <w:tcPr>
            <w:tcW w:type="dxa" w:w="234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Receivable </w:t>
            </w:r>
          </w:p>
        </w:tc>
        <w:tc>
          <w:tcPr>
            <w:tcW w:type="dxa" w:w="2330"/>
            <w:gridSpan w:val="3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90" w:after="0"/>
              <w:ind w:left="1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Accumulated </w:t>
            </w:r>
          </w:p>
        </w:tc>
      </w:tr>
      <w:tr>
        <w:trPr>
          <w:trHeight w:hRule="exact" w:val="22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noninterest-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5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and </w:t>
            </w:r>
          </w:p>
        </w:tc>
        <w:tc>
          <w:tcPr>
            <w:tcW w:type="dxa" w:w="2571"/>
            <w:gridSpan w:val="3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bearing 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deferred </w:t>
            </w:r>
          </w:p>
        </w:tc>
        <w:tc>
          <w:tcPr>
            <w:tcW w:type="dxa" w:w="2571"/>
            <w:gridSpan w:val="3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demand 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amounts to </w:t>
            </w:r>
          </w:p>
        </w:tc>
        <w:tc>
          <w:tcPr>
            <w:tcW w:type="dxa" w:w="2571"/>
            <w:gridSpan w:val="3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obligations on 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maintain </w:t>
            </w:r>
          </w:p>
        </w:tc>
        <w:tc>
          <w:tcPr>
            <w:tcW w:type="dxa" w:w="2571"/>
            <w:gridSpan w:val="3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account  of 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value of </w:t>
            </w:r>
          </w:p>
        </w:tc>
        <w:tc>
          <w:tcPr>
            <w:tcW w:type="dxa" w:w="2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other </w:t>
            </w:r>
          </w:p>
        </w:tc>
      </w:tr>
      <w:tr>
        <w:trPr>
          <w:trHeight w:hRule="exact" w:val="220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Paid-in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subscribed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currency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Retained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comprehensive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Total </w:t>
            </w:r>
          </w:p>
        </w:tc>
      </w:tr>
      <w:tr>
        <w:trPr>
          <w:trHeight w:hRule="exact" w:val="244"/>
        </w:trPr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Capital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capital </w:t>
            </w:r>
          </w:p>
        </w:tc>
        <w:tc>
          <w:tcPr>
            <w:tcW w:type="dxa" w:w="13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holdings</w:t>
            </w:r>
          </w:p>
        </w:tc>
        <w:tc>
          <w:tcPr>
            <w:tcW w:type="dxa" w:w="10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earnings</w:t>
            </w:r>
          </w:p>
        </w:tc>
        <w:tc>
          <w:tcPr>
            <w:tcW w:type="dxa" w:w="13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income </w:t>
            </w:r>
          </w:p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equity</w:t>
            </w:r>
          </w:p>
        </w:tc>
      </w:tr>
      <w:tr>
        <w:trPr>
          <w:trHeight w:hRule="exact" w:val="236"/>
        </w:trPr>
        <w:tc>
          <w:tcPr>
            <w:tcW w:type="dxa" w:w="2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 2022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20,499 $ </w:t>
            </w:r>
          </w:p>
        </w:tc>
        <w:tc>
          <w:tcPr>
            <w:tcW w:type="dxa" w:w="168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(316) $ </w:t>
            </w:r>
          </w:p>
        </w:tc>
        <w:tc>
          <w:tcPr>
            <w:tcW w:type="dxa" w:w="103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(778) $ </w:t>
            </w:r>
          </w:p>
        </w:tc>
        <w:tc>
          <w:tcPr>
            <w:tcW w:type="dxa" w:w="7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34,997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918 $ 55,320 </w:t>
            </w:r>
          </w:p>
        </w:tc>
      </w:tr>
      <w:tr>
        <w:trPr>
          <w:trHeight w:hRule="exact" w:val="27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857"/>
            <w:vMerge/>
            <w:tcBorders>
              <w:top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2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income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2,605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2,605 </w:t>
            </w:r>
          </w:p>
        </w:tc>
      </w:tr>
      <w:tr>
        <w:trPr>
          <w:trHeight w:hRule="exact" w:val="27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 received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1,320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1,320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4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(received) encashed, net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30"/>
        </w:trPr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(19)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(15) </w:t>
            </w:r>
          </w:p>
        </w:tc>
      </w:tr>
      <w:tr>
        <w:trPr>
          <w:trHeight w:hRule="exact" w:val="264"/>
        </w:trPr>
        <w:tc>
          <w:tcPr>
            <w:tcW w:type="dxa" w:w="2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Receipts of MOV</w:t>
            </w:r>
          </w:p>
        </w:tc>
        <w:tc>
          <w:tcPr>
            <w:tcW w:type="dxa" w:w="10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0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36"/>
        </w:trPr>
        <w:tc>
          <w:tcPr>
            <w:tcW w:type="dxa" w:w="2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30,2023</w:t>
            </w:r>
          </w:p>
        </w:tc>
        <w:tc>
          <w:tcPr>
            <w:tcW w:type="dxa" w:w="10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21,819 </w:t>
            </w:r>
          </w:p>
        </w:tc>
        <w:tc>
          <w:tcPr>
            <w:tcW w:type="dxa" w:w="14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(320) </w:t>
            </w:r>
          </w:p>
        </w:tc>
        <w:tc>
          <w:tcPr>
            <w:tcW w:type="dxa" w:w="11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(781) </w:t>
            </w:r>
          </w:p>
        </w:tc>
        <w:tc>
          <w:tcPr>
            <w:tcW w:type="dxa" w:w="10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  <w:tc>
          <w:tcPr>
            <w:tcW w:type="dxa" w:w="1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3,523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60,382 </w:t>
            </w:r>
          </w:p>
        </w:tc>
      </w:tr>
      <w:tr>
        <w:trPr>
          <w:trHeight w:hRule="exact" w:val="276"/>
        </w:trPr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2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income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431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431 </w:t>
            </w:r>
          </w:p>
        </w:tc>
      </w:tr>
      <w:tr>
        <w:trPr>
          <w:trHeight w:hRule="exact" w:val="27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 received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633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633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4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(received) encashed, net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30"/>
        </w:trPr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(132)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(122) </w:t>
            </w:r>
          </w:p>
        </w:tc>
      </w:tr>
      <w:tr>
        <w:trPr>
          <w:trHeight w:hRule="exact" w:val="264"/>
        </w:trPr>
        <w:tc>
          <w:tcPr>
            <w:tcW w:type="dxa" w:w="2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Receipts of MOV</w:t>
            </w:r>
          </w:p>
        </w:tc>
        <w:tc>
          <w:tcPr>
            <w:tcW w:type="dxa" w:w="10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0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 </w:t>
            </w:r>
          </w:p>
        </w:tc>
      </w:tr>
      <w:tr>
        <w:trPr>
          <w:trHeight w:hRule="exact" w:val="236"/>
        </w:trPr>
        <w:tc>
          <w:tcPr>
            <w:tcW w:type="dxa" w:w="2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30,2024</w:t>
            </w:r>
          </w:p>
        </w:tc>
        <w:tc>
          <w:tcPr>
            <w:tcW w:type="dxa" w:w="10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22,452 </w:t>
            </w:r>
          </w:p>
        </w:tc>
        <w:tc>
          <w:tcPr>
            <w:tcW w:type="dxa" w:w="14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(310) </w:t>
            </w:r>
          </w:p>
        </w:tc>
        <w:tc>
          <w:tcPr>
            <w:tcW w:type="dxa" w:w="11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(895) </w:t>
            </w:r>
          </w:p>
        </w:tc>
        <w:tc>
          <w:tcPr>
            <w:tcW w:type="dxa" w:w="10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  <w:tc>
          <w:tcPr>
            <w:tcW w:type="dxa" w:w="1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3,954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63,484 </w:t>
            </w:r>
          </w:p>
        </w:tc>
      </w:tr>
      <w:tr>
        <w:trPr>
          <w:trHeight w:hRule="exact" w:val="276"/>
        </w:trPr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2,100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2,100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2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income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5,700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5,700 </w:t>
            </w:r>
          </w:p>
        </w:tc>
      </w:tr>
      <w:tr>
        <w:trPr>
          <w:trHeight w:hRule="exact" w:val="27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received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459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(received) encashed, net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230"/>
        </w:trPr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258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257 </w:t>
            </w:r>
          </w:p>
        </w:tc>
      </w:tr>
      <w:tr>
        <w:trPr>
          <w:trHeight w:hRule="exact" w:val="264"/>
        </w:trPr>
        <w:tc>
          <w:tcPr>
            <w:tcW w:type="dxa" w:w="2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Receipts of MOV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 </w:t>
            </w:r>
          </w:p>
        </w:tc>
      </w:tr>
      <w:tr>
        <w:trPr>
          <w:trHeight w:hRule="exact" w:val="236"/>
        </w:trPr>
        <w:tc>
          <w:tcPr>
            <w:tcW w:type="dxa" w:w="2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30,2025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22,911 $ </w:t>
            </w:r>
          </w:p>
        </w:tc>
        <w:tc>
          <w:tcPr>
            <w:tcW w:type="dxa" w:w="1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(313) 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(623) 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40,383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8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9,654 $ 72,012 </w:t>
            </w:r>
          </w:p>
        </w:tc>
      </w:tr>
    </w:tbl>
    <w:p>
      <w:pPr>
        <w:autoSpaceDN w:val="0"/>
        <w:autoSpaceDE w:val="0"/>
        <w:widowControl/>
        <w:spacing w:line="200" w:lineRule="exact" w:before="92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89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692" w:right="138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CASH FLOWS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2" w:lineRule="exact" w:before="260" w:after="1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44.0" w:type="dxa"/>
      </w:tblPr>
      <w:tblGrid>
        <w:gridCol w:w="3139"/>
        <w:gridCol w:w="3139"/>
        <w:gridCol w:w="3139"/>
      </w:tblGrid>
      <w:tr>
        <w:trPr>
          <w:trHeight w:hRule="exact" w:val="248"/>
        </w:trPr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4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Disbursements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(30,471) 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(33,375) 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(25,465) </w:t>
            </w:r>
          </w:p>
        </w:tc>
      </w:tr>
      <w:tr>
        <w:trPr>
          <w:trHeight w:hRule="exact" w:val="24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repayments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15,456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12,991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12,296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prepayments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472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 origination fees received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derivatives-loans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 </w:t>
            </w:r>
          </w:p>
        </w:tc>
      </w:tr>
      <w:tr>
        <w:trPr>
          <w:trHeight w:hRule="exact" w:val="260"/>
        </w:trPr>
        <w:tc>
          <w:tcPr>
            <w:tcW w:type="dxa" w:w="5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investing activities, net</w:t>
            </w:r>
          </w:p>
        </w:tc>
        <w:tc>
          <w:tcPr>
            <w:tcW w:type="dxa" w:w="1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(246)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(154)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(141) </w:t>
            </w:r>
          </w:p>
        </w:tc>
      </w:tr>
      <w:tr>
        <w:trPr>
          <w:trHeight w:hRule="exact" w:val="253"/>
        </w:trPr>
        <w:tc>
          <w:tcPr>
            <w:tcW w:type="dxa" w:w="5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1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(14,614)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(20,081)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(12,745)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p>
      <w:pPr>
        <w:autoSpaceDN w:val="0"/>
        <w:autoSpaceDE w:val="0"/>
        <w:widowControl/>
        <w:spacing w:line="200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64,300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52,152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42,056 </w:t>
            </w:r>
          </w:p>
        </w:tc>
      </w:tr>
      <w:tr>
        <w:trPr>
          <w:trHeight w:hRule="exact" w:val="27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(37,220)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(30,888)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(30,275)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2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26,573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20,483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25,358 </w:t>
            </w:r>
          </w:p>
        </w:tc>
      </w:tr>
      <w:tr>
        <w:trPr>
          <w:trHeight w:hRule="exact" w:val="24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(23,076)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(22,270)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(25,846)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419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807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(4,716)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(787)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 subscriptions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633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1,320 </w:t>
            </w:r>
          </w:p>
        </w:tc>
      </w:tr>
      <w:tr>
        <w:trPr>
          <w:trHeight w:hRule="exact" w:val="260"/>
        </w:trPr>
        <w:tc>
          <w:tcPr>
            <w:tcW w:type="dxa" w:w="5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financing activities, net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(6) 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(5) </w:t>
            </w:r>
          </w:p>
        </w:tc>
      </w:tr>
      <w:tr>
        <w:trPr>
          <w:trHeight w:hRule="exact" w:val="252"/>
        </w:trPr>
        <w:tc>
          <w:tcPr>
            <w:tcW w:type="dxa" w:w="5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31,537 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20,927 </w:t>
            </w:r>
          </w:p>
        </w:tc>
        <w:tc>
          <w:tcPr>
            <w:tcW w:type="dxa" w:w="1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7,105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8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</w:tr>
    </w:tbl>
    <w:p>
      <w:pPr>
        <w:autoSpaceDN w:val="0"/>
        <w:tabs>
          <w:tab w:pos="322" w:val="left"/>
        </w:tabs>
        <w:autoSpaceDE w:val="0"/>
        <w:widowControl/>
        <w:spacing w:line="216" w:lineRule="exact" w:before="16" w:after="0"/>
        <w:ind w:left="232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Adjustments to reconcile net income to net cash (used in) provided by </w:t>
      </w:r>
      <w:r>
        <w:rPr>
          <w:rFonts w:ascii="ArialMT" w:hAnsi="ArialMT" w:eastAsia="ArialMT"/>
          <w:b w:val="0"/>
          <w:i w:val="0"/>
          <w:color w:val="000000"/>
          <w:sz w:val="18"/>
        </w:rPr>
        <w:t>operating activities:</w:t>
      </w:r>
    </w:p>
    <w:p>
      <w:pPr>
        <w:autoSpaceDN w:val="0"/>
        <w:autoSpaceDE w:val="0"/>
        <w:widowControl/>
        <w:spacing w:line="200" w:lineRule="exact" w:before="64" w:after="8"/>
        <w:ind w:left="5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Unrealized mark-to-market (gains) losses on non-trading portfolios,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54"/>
        <w:gridCol w:w="2354"/>
        <w:gridCol w:w="2354"/>
        <w:gridCol w:w="2354"/>
      </w:tblGrid>
      <w:tr>
        <w:trPr>
          <w:trHeight w:hRule="exact" w:val="234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(256)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(289)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155 </w:t>
            </w:r>
          </w:p>
        </w:tc>
      </w:tr>
      <w:tr>
        <w:trPr>
          <w:trHeight w:hRule="exact" w:val="24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Currency remeasurement losses (gains), net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(73)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(39) </w:t>
            </w:r>
          </w:p>
        </w:tc>
      </w:tr>
      <w:tr>
        <w:trPr>
          <w:trHeight w:hRule="exact" w:val="276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Depreciation and amortization and capitalized interest on loans, net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535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5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Provision for losses on loans and other exposures, (release)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54"/>
        <w:gridCol w:w="2354"/>
        <w:gridCol w:w="2354"/>
        <w:gridCol w:w="2354"/>
      </w:tblGrid>
      <w:tr>
        <w:trPr>
          <w:trHeight w:hRule="exact" w:val="234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charge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(75)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685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Changes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Investments-Trading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(17,200)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(4,288)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3,173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investment securities purchased/traded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(410)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608 </w:t>
            </w:r>
          </w:p>
        </w:tc>
      </w:tr>
      <w:tr>
        <w:trPr>
          <w:trHeight w:hRule="exact" w:val="276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derivatives-investments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(1,200)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1,063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(826)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securities purchased/sold under resale/repurchase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2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agreements and payable for cash collateral received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" w:val="left"/>
                <w:tab w:pos="346" w:val="left"/>
                <w:tab w:pos="386" w:val="left"/>
                <w:tab w:pos="446" w:val="left"/>
                <w:tab w:pos="486" w:val="left"/>
              </w:tabs>
              <w:autoSpaceDE w:val="0"/>
              <w:widowControl/>
              <w:spacing w:line="248" w:lineRule="exact" w:before="0" w:after="0"/>
              <w:ind w:left="13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(2,230)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2,051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463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86 </w:t>
            </w:r>
          </w:p>
        </w:tc>
      </w:tr>
      <w:tr>
        <w:trPr>
          <w:trHeight w:hRule="exact" w:val="26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Accrued income on loans and guarantee fees receivable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(676)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Miscellaneous assets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(373)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232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interest on borrowings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(1,704)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593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232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70"/>
        </w:trPr>
        <w:tc>
          <w:tcPr>
            <w:tcW w:type="dxa" w:w="5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Pension and other post-retirement benefits</w:t>
            </w:r>
          </w:p>
        </w:tc>
        <w:tc>
          <w:tcPr>
            <w:tcW w:type="dxa" w:w="16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5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(used in) provided by operating activities</w:t>
            </w:r>
          </w:p>
        </w:tc>
        <w:tc>
          <w:tcPr>
            <w:tcW w:type="dxa" w:w="16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(16,932)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(897)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5,707 </w:t>
            </w:r>
          </w:p>
        </w:tc>
      </w:tr>
      <w:tr>
        <w:trPr>
          <w:trHeight w:hRule="exact" w:val="256"/>
        </w:trPr>
        <w:tc>
          <w:tcPr>
            <w:tcW w:type="dxa" w:w="5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16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(6)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(decrease) increase in unrestricted and restricted cash</w:t>
            </w:r>
          </w:p>
        </w:tc>
        <w:tc>
          <w:tcPr>
            <w:tcW w:type="dxa" w:w="16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(5)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(57) </w:t>
            </w:r>
          </w:p>
        </w:tc>
        <w:tc>
          <w:tcPr>
            <w:tcW w:type="dxa" w:w="7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346" w:right="0" w:firstLine="10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479 </w:t>
            </w:r>
          </w:p>
        </w:tc>
      </w:tr>
      <w:tr>
        <w:trPr>
          <w:trHeight w:hRule="exact" w:val="270"/>
        </w:trPr>
        <w:tc>
          <w:tcPr>
            <w:tcW w:type="dxa" w:w="5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beginning of the fiscal year</w:t>
            </w:r>
          </w:p>
        </w:tc>
        <w:tc>
          <w:tcPr>
            <w:tcW w:type="dxa" w:w="16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5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end of the fiscal year</w:t>
            </w:r>
          </w:p>
        </w:tc>
        <w:tc>
          <w:tcPr>
            <w:tcW w:type="dxa" w:w="4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2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485 $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</w:tr>
      <w:tr>
        <w:trPr>
          <w:trHeight w:hRule="exact" w:val="746"/>
        </w:trPr>
        <w:tc>
          <w:tcPr>
            <w:tcW w:type="dxa" w:w="862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32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3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02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44.0" w:type="dxa"/>
      </w:tblPr>
      <w:tblGrid>
        <w:gridCol w:w="3130"/>
        <w:gridCol w:w="3130"/>
        <w:gridCol w:w="3130"/>
      </w:tblGrid>
      <w:tr>
        <w:trPr>
          <w:trHeight w:hRule="exact" w:val="230"/>
        </w:trPr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autoSpaceDN w:val="0"/>
        <w:tabs>
          <w:tab w:pos="322" w:val="left"/>
        </w:tabs>
        <w:autoSpaceDE w:val="0"/>
        <w:widowControl/>
        <w:spacing w:line="216" w:lineRule="exact" w:before="34" w:after="4"/>
        <w:ind w:left="14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(decrease) in ending balances resulting from exchange rate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fluctuations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14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5,105 $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(822) 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1,817 </w:t>
            </w:r>
          </w:p>
        </w:tc>
      </w:tr>
      <w:tr>
        <w:trPr>
          <w:trHeight w:hRule="exact" w:val="26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4,148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(577)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1,397 </w:t>
            </w:r>
          </w:p>
        </w:tc>
      </w:tr>
      <w:tr>
        <w:trPr>
          <w:trHeight w:hRule="exact" w:val="26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interest and loan origination fees included in total loans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155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 </w:t>
            </w:r>
          </w:p>
        </w:tc>
      </w:tr>
      <w:tr>
        <w:trPr>
          <w:trHeight w:hRule="exact" w:val="29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16,046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14,265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6,948 </w:t>
            </w:r>
          </w:p>
        </w:tc>
      </w:tr>
    </w:tbl>
    <w:p>
      <w:pPr>
        <w:autoSpaceDN w:val="0"/>
        <w:autoSpaceDE w:val="0"/>
        <w:widowControl/>
        <w:spacing w:line="202" w:lineRule="exact" w:before="67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032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70" w:right="141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403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SUMMARY STATEMENT OF LOANS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202" w:lineRule="exact" w:before="22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p>
      <w:pPr>
        <w:autoSpaceDN w:val="0"/>
        <w:autoSpaceDE w:val="0"/>
        <w:widowControl/>
        <w:spacing w:line="178" w:lineRule="exact" w:before="70" w:after="22"/>
        <w:ind w:left="0" w:right="324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227"/>
        </w:trPr>
        <w:tc>
          <w:tcPr>
            <w:tcW w:type="dxa" w:w="25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6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6" w:after="0"/>
              <w:ind w:left="0" w:right="1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39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</w:p>
        </w:tc>
      </w:tr>
      <w:tr>
        <w:trPr>
          <w:trHeight w:hRule="exact" w:val="180"/>
        </w:trPr>
        <w:tc>
          <w:tcPr>
            <w:tcW w:type="dxa" w:w="55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</w:p>
        </w:tc>
        <w:tc>
          <w:tcPr>
            <w:tcW w:type="dxa" w:w="13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</w:p>
        </w:tc>
        <w:tc>
          <w:tcPr>
            <w:tcW w:type="dxa" w:w="13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</w:p>
        </w:tc>
      </w:tr>
      <w:tr>
        <w:trPr>
          <w:trHeight w:hRule="exact" w:val="230"/>
        </w:trPr>
        <w:tc>
          <w:tcPr>
            <w:tcW w:type="dxa" w:w="55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2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commitment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c</w:t>
            </w:r>
          </w:p>
        </w:tc>
        <w:tc>
          <w:tcPr>
            <w:tcW w:type="dxa" w:w="1224"/>
            <w:gridSpan w:val="7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44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d</w:t>
            </w:r>
          </w:p>
        </w:tc>
      </w:tr>
      <w:tr>
        <w:trPr>
          <w:trHeight w:hRule="exact" w:val="210"/>
        </w:trPr>
        <w:tc>
          <w:tcPr>
            <w:tcW w:type="dxa" w:w="257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Albania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76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1,679 </w:t>
            </w:r>
          </w:p>
        </w:tc>
        <w:tc>
          <w:tcPr>
            <w:tcW w:type="dxa" w:w="5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46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624 </w:t>
            </w:r>
          </w:p>
        </w:tc>
        <w:tc>
          <w:tcPr>
            <w:tcW w:type="dxa" w:w="448"/>
            <w:gridSpan w:val="5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2"/>
            <w:gridSpan w:val="3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1,055 </w:t>
            </w:r>
          </w:p>
        </w:tc>
        <w:tc>
          <w:tcPr>
            <w:tcW w:type="dxa" w:w="122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Angola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7,621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2,467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4,904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1.73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Antigua and Barbuda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15,748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230 </w:t>
            </w:r>
          </w:p>
        </w:tc>
        <w:tc>
          <w:tcPr>
            <w:tcW w:type="dxa" w:w="1560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3,397 </w:t>
            </w:r>
          </w:p>
        </w:tc>
        <w:tc>
          <w:tcPr>
            <w:tcW w:type="dxa" w:w="1160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12,121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4.28</w:t>
            </w:r>
          </w:p>
        </w:tc>
      </w:tr>
      <w:tr>
        <w:trPr>
          <w:trHeight w:hRule="exact" w:val="236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Armenia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1,494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196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197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1,101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</w:tr>
      <w:tr>
        <w:trPr>
          <w:trHeight w:hRule="exact" w:val="224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333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0.34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Bahamas, The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Barbados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1,012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10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Bolivia, Plurinational State of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1,568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621 </w:t>
            </w:r>
          </w:p>
        </w:tc>
        <w:tc>
          <w:tcPr>
            <w:tcW w:type="dxa" w:w="1048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0.33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Bosnia and Herzegovina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1,481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1672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550 </w:t>
            </w:r>
          </w:p>
        </w:tc>
        <w:tc>
          <w:tcPr>
            <w:tcW w:type="dxa" w:w="1048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Botswana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 </w:t>
            </w:r>
          </w:p>
        </w:tc>
        <w:tc>
          <w:tcPr>
            <w:tcW w:type="dxa" w:w="1048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666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21,795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4,258 </w:t>
            </w:r>
          </w:p>
        </w:tc>
        <w:tc>
          <w:tcPr>
            <w:tcW w:type="dxa" w:w="1560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2,154 </w:t>
            </w:r>
          </w:p>
        </w:tc>
        <w:tc>
          <w:tcPr>
            <w:tcW w:type="dxa" w:w="1160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15,383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5.43</w:t>
            </w:r>
          </w:p>
        </w:tc>
      </w:tr>
      <w:tr>
        <w:trPr>
          <w:trHeight w:hRule="exact" w:val="224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Bulgaria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16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Verde, Republic of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80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Chile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583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19,775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764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4,666 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14,345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5.07</w:t>
            </w:r>
          </w:p>
        </w:tc>
      </w:tr>
      <w:tr>
        <w:trPr>
          <w:trHeight w:hRule="exact" w:val="25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Colombia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18,077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700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807 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16,570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5.85</w:t>
            </w:r>
          </w:p>
        </w:tc>
      </w:tr>
      <w:tr>
        <w:trPr>
          <w:trHeight w:hRule="exact" w:val="21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 </w:t>
            </w:r>
          </w:p>
        </w:tc>
        <w:tc>
          <w:tcPr>
            <w:tcW w:type="dxa" w:w="1048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Costa Rica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3,154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335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1,334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1,485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0.52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Côte d'Ivoire 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Croatia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1,785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487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1,298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0.46</w:t>
            </w:r>
          </w:p>
        </w:tc>
      </w:tr>
      <w:tr>
        <w:trPr>
          <w:trHeight w:hRule="exact" w:val="236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Dominican Republic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3,703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1,349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2,354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0.83</w:t>
            </w:r>
          </w:p>
        </w:tc>
      </w:tr>
      <w:tr>
        <w:trPr>
          <w:trHeight w:hRule="exact" w:val="204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Ecuador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7,018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675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6,343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2.24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14,510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1,930 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12,580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4.44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2,188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1,051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1,017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0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Gabon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1672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 </w:t>
            </w:r>
          </w:p>
        </w:tc>
        <w:tc>
          <w:tcPr>
            <w:tcW w:type="dxa" w:w="1048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Georgia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2,346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589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1,757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0.62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Guatemala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2,524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400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2,098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0.74</w:t>
            </w:r>
          </w:p>
        </w:tc>
      </w:tr>
      <w:tr>
        <w:trPr>
          <w:trHeight w:hRule="exact" w:val="244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34,455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910 </w:t>
            </w:r>
          </w:p>
        </w:tc>
        <w:tc>
          <w:tcPr>
            <w:tcW w:type="dxa" w:w="1560"/>
            <w:gridSpan w:val="4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8,959 </w:t>
            </w:r>
          </w:p>
        </w:tc>
        <w:tc>
          <w:tcPr>
            <w:tcW w:type="dxa" w:w="1160"/>
            <w:gridSpan w:val="6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24,586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8.69</w:t>
            </w:r>
          </w:p>
        </w:tc>
      </w:tr>
      <w:tr>
        <w:trPr>
          <w:trHeight w:hRule="exact" w:val="216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29,799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2,226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6,228 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21,345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7.54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Iran, Islamic Republic of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Iraq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4,047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930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421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2,696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0.95</w:t>
            </w:r>
          </w:p>
        </w:tc>
      </w:tr>
      <w:tr>
        <w:trPr>
          <w:trHeight w:hRule="exact" w:val="20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Jamaica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1,229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1,101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</w:tr>
      <w:tr>
        <w:trPr>
          <w:trHeight w:hRule="exact" w:val="25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8,016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2,277 </w:t>
            </w:r>
          </w:p>
        </w:tc>
        <w:tc>
          <w:tcPr>
            <w:tcW w:type="dxa" w:w="1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5,739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2.03</w:t>
            </w:r>
          </w:p>
        </w:tc>
      </w:tr>
      <w:tr>
        <w:trPr>
          <w:trHeight w:hRule="exact" w:val="21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4,645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655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3,779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1.33</w:t>
            </w:r>
          </w:p>
        </w:tc>
      </w:tr>
      <w:tr>
        <w:trPr>
          <w:trHeight w:hRule="exact" w:val="24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2,025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0.72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Lebanon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1604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907 </w:t>
            </w:r>
          </w:p>
        </w:tc>
        <w:tc>
          <w:tcPr>
            <w:tcW w:type="dxa" w:w="1116"/>
            <w:gridSpan w:val="5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1,137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</w:tr>
      <w:tr>
        <w:trPr>
          <w:trHeight w:hRule="exact" w:val="236"/>
        </w:trPr>
        <w:tc>
          <w:tcPr>
            <w:tcW w:type="dxa" w:w="25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Mauritius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1002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22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224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13,827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13,827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4.88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525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337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 </w:t>
            </w:r>
          </w:p>
        </w:tc>
        <w:tc>
          <w:tcPr>
            <w:tcW w:type="dxa" w:w="10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20"/>
        </w:trPr>
        <w:tc>
          <w:tcPr>
            <w:tcW w:type="dxa" w:w="2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Montenegro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10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54"/>
        </w:trPr>
        <w:tc>
          <w:tcPr>
            <w:tcW w:type="dxa" w:w="2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16,506 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619 </w:t>
            </w:r>
          </w:p>
        </w:tc>
        <w:tc>
          <w:tcPr>
            <w:tcW w:type="dxa" w:w="156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3,778 </w:t>
            </w:r>
          </w:p>
        </w:tc>
        <w:tc>
          <w:tcPr>
            <w:tcW w:type="dxa" w:w="1160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12,109 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4.28</w:t>
            </w:r>
          </w:p>
        </w:tc>
      </w:tr>
      <w:tr>
        <w:trPr>
          <w:trHeight w:hRule="exact" w:val="896"/>
        </w:trPr>
        <w:tc>
          <w:tcPr>
            <w:tcW w:type="dxa" w:w="2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4920"/>
            <w:gridSpan w:val="1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2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44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1728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SUMMARY STATEMENT OF LOANS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202" w:lineRule="exact" w:before="26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40"/>
        </w:trPr>
        <w:tc>
          <w:tcPr>
            <w:tcW w:type="dxa" w:w="4120"/>
            <w:vMerge w:val="restart"/>
            <w:tcBorders>
              <w:top w:sz="8.0" w:val="single" w:color="#000000"/>
              <w:end w:sz="24.0" w:val="single" w:color="#FFFFFF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2060"/>
              <w:gridCol w:w="2060"/>
            </w:tblGrid>
            <w:tr>
              <w:trPr>
                <w:trHeight w:hRule="exact" w:val="256"/>
              </w:trPr>
              <w:tc>
                <w:tcPr>
                  <w:tcW w:type="dxa" w:w="18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80" w:after="0"/>
                    <w:ind w:left="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Borrower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Total loans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a,b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gridSpan w:val="2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Undisbursed balance</w:t>
            </w:r>
          </w:p>
        </w:tc>
        <w:tc>
          <w:tcPr>
            <w:tcW w:type="dxa" w:w="1260"/>
            <w:vMerge w:val="restart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390"/>
            <w:vMerge w:val="restart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70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d</w:t>
            </w:r>
          </w:p>
        </w:tc>
      </w:tr>
      <w:tr>
        <w:trPr>
          <w:trHeight w:hRule="exact" w:val="646"/>
        </w:trPr>
        <w:tc>
          <w:tcPr>
            <w:tcW w:type="dxa" w:w="1874"/>
            <w:vMerge/>
            <w:tcBorders>
              <w:top w:sz="8.0" w:val="single" w:color="#000000"/>
              <w:end w:sz="24.0" w:val="single" w:color="#FFFFFF"/>
              <w:bottom w:sz="8.0" w:val="single" w:color="#000000"/>
            </w:tcBorders>
          </w:tcPr>
          <w:p/>
        </w:tc>
        <w:tc>
          <w:tcPr>
            <w:tcW w:type="dxa" w:w="1260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commitment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c</w:t>
            </w:r>
          </w:p>
        </w:tc>
        <w:tc>
          <w:tcPr>
            <w:tcW w:type="dxa" w:w="1874"/>
            <w:vMerge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</w:tcPr>
          <w:p/>
        </w:tc>
        <w:tc>
          <w:tcPr>
            <w:tcW w:type="dxa" w:w="1874"/>
            <w:vMerge/>
            <w:tcBorders>
              <w:start w:sz="24.0" w:val="single" w:color="#FFFFFF"/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212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Namibia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1,346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Nigeria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2,916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1,570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0.48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North Macedonia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739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Pakistan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5,227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2,408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2,819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1.00</w:t>
            </w:r>
          </w:p>
        </w:tc>
      </w:tr>
      <w:tr>
        <w:trPr>
          <w:trHeight w:hRule="exact" w:val="248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Panama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2,093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1,965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0.70</w:t>
            </w:r>
          </w:p>
        </w:tc>
      </w:tr>
      <w:tr>
        <w:trPr>
          <w:trHeight w:hRule="exact" w:val="23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1,449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1,126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</w:tr>
      <w:tr>
        <w:trPr>
          <w:trHeight w:hRule="exact" w:val="22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Peru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7,135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5,558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1.96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19,612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4,091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15,521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5.48</w:t>
            </w:r>
          </w:p>
        </w:tc>
      </w:tr>
      <w:tr>
        <w:trPr>
          <w:trHeight w:hRule="exact" w:val="24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Poland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5,882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5,735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2.03</w:t>
            </w:r>
          </w:p>
        </w:tc>
      </w:tr>
      <w:tr>
        <w:trPr>
          <w:trHeight w:hRule="exact" w:val="212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Romania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8,134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1,367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6,767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2.39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Serbia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3,392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864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2,528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0.89</w:t>
            </w:r>
          </w:p>
        </w:tc>
      </w:tr>
      <w:tr>
        <w:trPr>
          <w:trHeight w:hRule="exact" w:val="22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Seychelles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182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Africa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5,445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3,508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1.24</w:t>
            </w:r>
          </w:p>
        </w:tc>
      </w:tr>
      <w:tr>
        <w:trPr>
          <w:trHeight w:hRule="exact" w:val="248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Sri Lanka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1,230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1,059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</w:tr>
      <w:tr>
        <w:trPr>
          <w:trHeight w:hRule="exact" w:val="23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458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2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6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Trinidad and Tobago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12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Tunisia 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6,660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568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1,311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4,781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1.69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Türkiye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25,217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10,922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13,408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4.74</w:t>
            </w:r>
          </w:p>
        </w:tc>
      </w:tr>
      <w:tr>
        <w:trPr>
          <w:trHeight w:hRule="exact" w:val="22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Turkmenistan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60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17,505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16,864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5.96</w:t>
            </w:r>
          </w:p>
        </w:tc>
      </w:tr>
      <w:tr>
        <w:trPr>
          <w:trHeight w:hRule="exact" w:val="248"/>
        </w:trPr>
        <w:tc>
          <w:tcPr>
            <w:tcW w:type="dxa" w:w="2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Uruguay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1,441 </w:t>
            </w:r>
          </w:p>
        </w:tc>
        <w:tc>
          <w:tcPr>
            <w:tcW w:type="dxa" w:w="1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3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Uzbekistan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3,634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3,377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1.19</w:t>
            </w:r>
          </w:p>
        </w:tc>
      </w:tr>
      <w:tr>
        <w:trPr>
          <w:trHeight w:hRule="exact" w:val="2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Viet Nam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2,588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2,080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0.74</w:t>
            </w:r>
          </w:p>
        </w:tc>
      </w:tr>
      <w:tr>
        <w:trPr>
          <w:trHeight w:hRule="exact" w:val="250"/>
        </w:trPr>
        <w:tc>
          <w:tcPr>
            <w:tcW w:type="dxa" w:w="2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Zimbabwe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Total-June 30, 2025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375,435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15,475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76,870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283,090 </w:t>
            </w:r>
          </w:p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  <w:tr>
        <w:trPr>
          <w:trHeight w:hRule="exact" w:val="404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Total-June 30, 2024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348,248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18,297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66,761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263,190 </w:t>
            </w:r>
          </w:p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685"/>
        <w:gridCol w:w="4685"/>
      </w:tblGrid>
      <w:tr>
        <w:trPr>
          <w:trHeight w:hRule="exact" w:val="5440"/>
        </w:trPr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Notes </w:t>
            </w:r>
          </w:p>
          <w:p>
            <w:pPr>
              <w:autoSpaceDN w:val="0"/>
              <w:autoSpaceDE w:val="0"/>
              <w:widowControl/>
              <w:spacing w:line="180" w:lineRule="exact" w:before="466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figur</w:t>
            </w:r>
          </w:p>
          <w:p>
            <w:pPr>
              <w:autoSpaceDN w:val="0"/>
              <w:autoSpaceDE w:val="0"/>
              <w:widowControl/>
              <w:spacing w:line="178" w:lineRule="exact" w:before="466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figur</w:t>
            </w:r>
          </w:p>
          <w:p>
            <w:pPr>
              <w:autoSpaceDN w:val="0"/>
              <w:autoSpaceDE w:val="0"/>
              <w:widowControl/>
              <w:spacing w:line="180" w:lineRule="exact" w:before="4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d. May 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Indica</w:t>
            </w:r>
          </w:p>
          <w:p>
            <w:pPr>
              <w:autoSpaceDN w:val="0"/>
              <w:autoSpaceDE w:val="0"/>
              <w:widowControl/>
              <w:spacing w:line="224" w:lineRule="exact" w:before="19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90</w:t>
            </w:r>
          </w:p>
        </w:tc>
        <w:tc>
          <w:tcPr>
            <w:tcW w:type="dxa" w:w="4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5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figures in the Statement above.</w:t>
            </w:r>
          </w:p>
          <w:p>
            <w:pPr>
              <w:autoSpaceDN w:val="0"/>
              <w:autoSpaceDE w:val="0"/>
              <w:widowControl/>
              <w:spacing w:line="178" w:lineRule="exact" w:before="46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figures in the Statement above.</w:t>
            </w:r>
          </w:p>
          <w:p>
            <w:pPr>
              <w:autoSpaceDN w:val="0"/>
              <w:autoSpaceDE w:val="0"/>
              <w:widowControl/>
              <w:spacing w:line="180" w:lineRule="exact" w:before="4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differ from the calculated figures or sum of individual figures shown 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Indicates amount less than $0.5 million or 0.005%</w:t>
            </w:r>
          </w:p>
          <w:p>
            <w:pPr>
              <w:autoSpaceDN w:val="0"/>
              <w:autoSpaceDE w:val="0"/>
              <w:widowControl/>
              <w:spacing w:line="224" w:lineRule="exact" w:before="1916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2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disbursements do not start until the borrowers and/or guarantors take certain actions and furnish documents.</w:t>
      </w:r>
    </w:p>
    <w:p>
      <w:pPr>
        <w:autoSpaceDN w:val="0"/>
        <w:autoSpaceDE w:val="0"/>
        <w:widowControl/>
        <w:spacing w:line="200" w:lineRule="exact" w:before="69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242" w:val="left"/>
        </w:tabs>
        <w:autoSpaceDE w:val="0"/>
        <w:widowControl/>
        <w:spacing w:line="186" w:lineRule="exact" w:before="0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Indicates a country for which a guarantee is provided under an Exposure Exchange Agreement (EEA) with a multilateral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development organization (see Note D—Loans and Other Exposures). The amount of the guarantees is not included in the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26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Indicates a country for which a guarantee has been received, under an EEA with a multilateral development organization or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another guarantee provider (see Note D—Loans and Other Exposures). The effect of the guarantee is not included in the </w:t>
      </w:r>
    </w:p>
    <w:p>
      <w:pPr>
        <w:autoSpaceDN w:val="0"/>
        <w:autoSpaceDE w:val="0"/>
        <w:widowControl/>
        <w:spacing w:line="180" w:lineRule="exact" w:before="25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Loan agreements totaling $6,656 million ($7,624 million—June 30, 2024) have been signed, but the loans are not effective and </w:t>
      </w:r>
    </w:p>
    <w:p>
      <w:pPr>
        <w:sectPr>
          <w:pgSz w:w="12240" w:h="15840"/>
          <w:pgMar w:top="512" w:right="144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3456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SUBSCRIPTIONS TO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CAPITAL STOCK AND VOTING POWER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78" w:lineRule="exact" w:before="264" w:after="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26"/>
        </w:trPr>
        <w:tc>
          <w:tcPr>
            <w:tcW w:type="dxa" w:w="717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25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8"/>
        <w:ind w:left="0" w:right="24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hRule="exact" w:val="176"/>
        </w:trPr>
        <w:tc>
          <w:tcPr>
            <w:tcW w:type="dxa" w:w="2410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30"/>
        </w:trPr>
        <w:tc>
          <w:tcPr>
            <w:tcW w:type="dxa" w:w="675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0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94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9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76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10"/>
        </w:trPr>
        <w:tc>
          <w:tcPr>
            <w:tcW w:type="dxa" w:w="241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Afghanistan</w:t>
            </w:r>
          </w:p>
        </w:tc>
        <w:tc>
          <w:tcPr>
            <w:tcW w:type="dxa" w:w="98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506</w:t>
            </w:r>
          </w:p>
        </w:tc>
        <w:tc>
          <w:tcPr>
            <w:tcW w:type="dxa" w:w="1422"/>
            <w:gridSpan w:val="3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61.0 $ </w:t>
            </w:r>
          </w:p>
        </w:tc>
        <w:tc>
          <w:tcPr>
            <w:tcW w:type="dxa" w:w="87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5.1 $ </w:t>
            </w:r>
          </w:p>
        </w:tc>
        <w:tc>
          <w:tcPr>
            <w:tcW w:type="dxa" w:w="708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55.9 </w:t>
            </w:r>
          </w:p>
        </w:tc>
        <w:tc>
          <w:tcPr>
            <w:tcW w:type="dxa" w:w="130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1,348</w:t>
            </w:r>
          </w:p>
        </w:tc>
        <w:tc>
          <w:tcPr>
            <w:tcW w:type="dxa" w:w="82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Albania</w:t>
            </w:r>
          </w:p>
        </w:tc>
        <w:tc>
          <w:tcPr>
            <w:tcW w:type="dxa" w:w="9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1,355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8.5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154.9 </w:t>
            </w:r>
          </w:p>
        </w:tc>
        <w:tc>
          <w:tcPr>
            <w:tcW w:type="dxa" w:w="130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2,197</w:t>
            </w:r>
          </w:p>
        </w:tc>
        <w:tc>
          <w:tcPr>
            <w:tcW w:type="dxa" w:w="82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Algeria</w:t>
            </w:r>
          </w:p>
        </w:tc>
        <w:tc>
          <w:tcPr>
            <w:tcW w:type="dxa" w:w="9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13,689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1,651.4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118.4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1,533.0 </w:t>
            </w:r>
          </w:p>
        </w:tc>
        <w:tc>
          <w:tcPr>
            <w:tcW w:type="dxa" w:w="130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14,531</w:t>
            </w:r>
          </w:p>
        </w:tc>
        <w:tc>
          <w:tcPr>
            <w:tcW w:type="dxa" w:w="82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</w:t>
            </w:r>
          </w:p>
        </w:tc>
        <w:tc>
          <w:tcPr>
            <w:tcW w:type="dxa" w:w="9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4,068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28.8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461.9 </w:t>
            </w:r>
          </w:p>
        </w:tc>
        <w:tc>
          <w:tcPr>
            <w:tcW w:type="dxa" w:w="130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4,910</w:t>
            </w:r>
          </w:p>
        </w:tc>
        <w:tc>
          <w:tcPr>
            <w:tcW w:type="dxa" w:w="82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rPr>
          <w:trHeight w:hRule="exact" w:val="236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Antigua and Barbuda</w:t>
            </w:r>
          </w:p>
        </w:tc>
        <w:tc>
          <w:tcPr>
            <w:tcW w:type="dxa" w:w="9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77.2 </w:t>
            </w:r>
          </w:p>
        </w:tc>
        <w:tc>
          <w:tcPr>
            <w:tcW w:type="dxa" w:w="130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1,501</w:t>
            </w:r>
          </w:p>
        </w:tc>
        <w:tc>
          <w:tcPr>
            <w:tcW w:type="dxa" w:w="82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04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28,897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1.07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3,486.0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235.6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3,250.4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29,739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Armenia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2,006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13.8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228.2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2,848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Australia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39,054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4,711.3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342.1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4,369.1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39,896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1.39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Austria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18,143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0.67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2,188.7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2,031.3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18,985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0.66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2,876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346.9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325.9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3,718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0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Bahamas, The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1,503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171.1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2,345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Bahrain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1,648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198.8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186.9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2,490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7,884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951.1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65.1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886.0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8,726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Barbados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948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114.4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1,790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44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4,547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548.5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34.6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513.9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5,389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16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Belgium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43,281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1.60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5,221.2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380.0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4,841.2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44,123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74.8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1,488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Benin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175.3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Bhutan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4.2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95.8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1,671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5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Bolivia, Plurinational State of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2,846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18.9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324.4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3,688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1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Bosnia and Herzegovina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980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118.2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1,822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Botswana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916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110.5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5.4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105.1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1,758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53,509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6,455.1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386.8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6,068.3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54,351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1.89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Brunei Darussalam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2,373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15.2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271.1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3,215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36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Bulgaria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7,609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917.9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853.4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8,451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</w:tr>
      <w:tr>
        <w:trPr>
          <w:trHeight w:hRule="exact" w:val="204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Burkina Faso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1,519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183.2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9.7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173.5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2,361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Burundi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1,043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4.6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121.3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1,885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Verde, Republic of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85.7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1,571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Cambodia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74.7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68.3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1,461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2,202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265.6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253.3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3,044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0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Canada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70,455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2.60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8,499.3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619.5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7,879.8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71,297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2.49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Central African Republic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117.6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113.8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1,817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Chad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117.6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113.8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1,817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Chile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11,787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1,421.9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1,320.7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12,629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</w:tr>
      <w:tr>
        <w:trPr>
          <w:trHeight w:hRule="exact" w:val="244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166,859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6.16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20,129.0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1,445.1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18,683.9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167,701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5.85</w:t>
            </w:r>
          </w:p>
        </w:tc>
      </w:tr>
      <w:tr>
        <w:trPr>
          <w:trHeight w:hRule="exact" w:val="216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11,806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1,424.2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101.2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1,323.0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12,648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Comoros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369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44.5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43.5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1,211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Democratic Republic of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3,416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412.1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381.1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4,258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1,051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122.4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1,893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5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Costa Rica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1,392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155.6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2,234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1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Côte d'Ivoire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4,270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481.9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5,112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Croatia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3,376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407.3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377.4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4,218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Cyprus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2,111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254.7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238.6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2,953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Czechia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9,451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1,140.1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82.0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1,058.2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10,293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56"/>
        </w:trPr>
        <w:tc>
          <w:tcPr>
            <w:tcW w:type="dxa" w:w="241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Denmark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21,061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2,540.7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182.4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2,358.3 </w:t>
            </w:r>
          </w:p>
        </w:tc>
        <w:tc>
          <w:tcPr>
            <w:tcW w:type="dxa" w:w="130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21,903</w:t>
            </w:r>
          </w:p>
        </w:tc>
        <w:tc>
          <w:tcPr>
            <w:tcW w:type="dxa" w:w="828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</w:tr>
      <w:tr>
        <w:trPr>
          <w:trHeight w:hRule="exact" w:val="204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Djibouti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96.6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93.8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1,643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80.8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1,541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Dominican Republic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3,142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379.0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353.9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3,984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Ecuador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3,828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437.7 </w:t>
            </w:r>
          </w:p>
        </w:tc>
        <w:tc>
          <w:tcPr>
            <w:tcW w:type="dxa" w:w="13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4,670</w:t>
            </w:r>
          </w:p>
        </w:tc>
        <w:tc>
          <w:tcPr>
            <w:tcW w:type="dxa" w:w="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40"/>
        </w:trPr>
        <w:tc>
          <w:tcPr>
            <w:tcW w:type="dxa" w:w="24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9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10,682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  <w:tc>
          <w:tcPr>
            <w:tcW w:type="dxa" w:w="110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1,288.6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76.8 </w:t>
            </w:r>
          </w:p>
        </w:tc>
        <w:tc>
          <w:tcPr>
            <w:tcW w:type="dxa" w:w="94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1,211.8 </w:t>
            </w:r>
          </w:p>
        </w:tc>
        <w:tc>
          <w:tcPr>
            <w:tcW w:type="dxa" w:w="1308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11,524</w:t>
            </w:r>
          </w:p>
        </w:tc>
        <w:tc>
          <w:tcPr>
            <w:tcW w:type="dxa" w:w="828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</w:tr>
      <w:tr>
        <w:trPr>
          <w:trHeight w:hRule="exact" w:val="510"/>
        </w:trPr>
        <w:tc>
          <w:tcPr>
            <w:tcW w:type="dxa" w:w="2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0"/>
            <w:gridSpan w:val="11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8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144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78" w:lineRule="exact" w:before="264" w:after="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3"/>
        <w:gridCol w:w="4783"/>
      </w:tblGrid>
      <w:tr>
        <w:trPr>
          <w:trHeight w:hRule="exact" w:val="240"/>
        </w:trPr>
        <w:tc>
          <w:tcPr>
            <w:tcW w:type="dxa" w:w="72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Subscriptions </w:t>
            </w:r>
          </w:p>
        </w:tc>
        <w:tc>
          <w:tcPr>
            <w:tcW w:type="dxa" w:w="2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Voting Power </w:t>
            </w:r>
          </w:p>
        </w:tc>
      </w:tr>
    </w:tbl>
    <w:p>
      <w:pPr>
        <w:autoSpaceDN w:val="0"/>
        <w:autoSpaceDE w:val="0"/>
        <w:widowControl/>
        <w:spacing w:line="180" w:lineRule="exact" w:before="12" w:after="6"/>
        <w:ind w:left="0" w:right="243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172"/>
        </w:trPr>
        <w:tc>
          <w:tcPr>
            <w:tcW w:type="dxa" w:w="35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8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34"/>
        </w:trPr>
        <w:tc>
          <w:tcPr>
            <w:tcW w:type="dxa" w:w="26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</w:p>
        </w:tc>
        <w:tc>
          <w:tcPr>
            <w:tcW w:type="dxa" w:w="8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6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0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26"/>
        </w:trPr>
        <w:tc>
          <w:tcPr>
            <w:tcW w:type="dxa" w:w="265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86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552</w:t>
            </w:r>
          </w:p>
        </w:tc>
        <w:tc>
          <w:tcPr>
            <w:tcW w:type="dxa" w:w="1392"/>
            <w:gridSpan w:val="3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66.6 $ </w:t>
            </w:r>
          </w:p>
        </w:tc>
        <w:tc>
          <w:tcPr>
            <w:tcW w:type="dxa" w:w="87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5.5 $ </w:t>
            </w:r>
          </w:p>
        </w:tc>
        <w:tc>
          <w:tcPr>
            <w:tcW w:type="dxa" w:w="718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61.1 </w:t>
            </w:r>
          </w:p>
        </w:tc>
        <w:tc>
          <w:tcPr>
            <w:tcW w:type="dxa" w:w="10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1,394</w:t>
            </w:r>
          </w:p>
        </w:tc>
        <w:tc>
          <w:tcPr>
            <w:tcW w:type="dxa" w:w="1116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Equatorial Guinea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83.5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1,557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593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69.7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1,435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Estonia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1,372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156.1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2,214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69.8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1,451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Ethiopia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177.3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2,312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1,407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9.8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159.9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2,249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13,726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1,655.8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1,537.3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14,568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France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108,611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13,102.3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12,145.7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109,453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3.82</w:t>
            </w:r>
          </w:p>
        </w:tc>
      </w:tr>
      <w:tr>
        <w:trPr>
          <w:trHeight w:hRule="exact" w:val="224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Gabon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1,110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1,952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16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Gambia, The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777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91.0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1,619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Georgia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2,590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293.8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3,432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Germany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118,578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4.38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14,304.7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1,043.5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13,261.1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119,420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4.16</w:t>
            </w:r>
          </w:p>
        </w:tc>
      </w:tr>
      <w:tr>
        <w:trPr>
          <w:trHeight w:hRule="exact" w:val="20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Ghana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2,202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265.6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16.1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249.5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3,044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5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Greece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4,460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538.0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40.4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497.6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5,302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1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1,515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Guatemala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2,001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229.0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2,843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1,864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2,706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Guinea-Bissau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1,455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36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Guyana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1,724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196.5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2,566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4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Haiti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1,550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179.2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2,392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0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Honduras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75.0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1,483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Hungary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12,456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0.46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1,502.6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107.4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1,395.2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13,298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0.46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Iceland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223.5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2,817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85,175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3.14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10,275.1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738.0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9,537.1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86,017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3.00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28,863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3,481.9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3,232.0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29,705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1.04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Iran, Islamic Republic of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34,963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1.29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4,217.8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254.3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3,963.4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35,805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Iraq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5,085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613.4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564.5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5,927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Ireland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9,415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1,135.8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1,055.5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10,257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24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Israel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7,386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891.0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828.4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8,228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</w:tr>
      <w:tr>
        <w:trPr>
          <w:trHeight w:hRule="exact" w:val="216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Italy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76,144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2.81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9,185.6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8,517.1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76,986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2.68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Jamaica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3,741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451.3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420.8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4,583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Japan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199,885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7.38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24,113.1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1,751.9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22,361.2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200,727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7.00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Jordan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2,337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265.4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3,179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3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4,573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551.7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520.4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5,415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1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3,435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414.4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393.2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4,277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Kiribati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680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1,522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Korea, Republic of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45,285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5,463.0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5,073.1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46,127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1.61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Kosovo, Republic of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2,380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36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Kuwait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20,944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2,526.6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167.7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2,358.9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21,786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</w:tr>
      <w:tr>
        <w:trPr>
          <w:trHeight w:hRule="exact" w:val="224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Kyrgyz Republic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1,107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127.9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1,949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0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Lao People's Democratic Republic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39.5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1,197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Latvia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2,027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244.5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229.3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2,869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Lebanon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1,062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121.8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1,904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Lesotho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1,057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122.9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1,899</w:t>
            </w:r>
          </w:p>
        </w:tc>
        <w:tc>
          <w:tcPr>
            <w:tcW w:type="dxa" w:w="111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Liberia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73.1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1,448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Libya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9,935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1,198.5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1,126.4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10,777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</w:p>
        </w:tc>
      </w:tr>
      <w:tr>
        <w:trPr>
          <w:trHeight w:hRule="exact" w:val="22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Lithuania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2,258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3,100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40"/>
        </w:trPr>
        <w:tc>
          <w:tcPr>
            <w:tcW w:type="dxa" w:w="2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Luxembourg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338.5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3,648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26"/>
        </w:trPr>
        <w:tc>
          <w:tcPr>
            <w:tcW w:type="dxa" w:w="26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Madagascar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2,506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0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302.3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18.0 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284.4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3,348</w:t>
            </w:r>
          </w:p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524"/>
        </w:trPr>
        <w:tc>
          <w:tcPr>
            <w:tcW w:type="dxa" w:w="5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6818"/>
            <w:gridSpan w:val="10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10" w:after="0"/>
              <w:ind w:left="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24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1296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78" w:lineRule="exact" w:before="264" w:after="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0"/>
        </w:trPr>
        <w:tc>
          <w:tcPr>
            <w:tcW w:type="dxa" w:w="7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6"/>
        <w:ind w:left="0" w:right="242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>
        <w:trPr>
          <w:trHeight w:hRule="exact" w:val="182"/>
        </w:trPr>
        <w:tc>
          <w:tcPr>
            <w:tcW w:type="dxa" w:w="2410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26"/>
        </w:trPr>
        <w:tc>
          <w:tcPr>
            <w:tcW w:type="dxa" w:w="728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9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9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194"/>
        </w:trPr>
        <w:tc>
          <w:tcPr>
            <w:tcW w:type="dxa" w:w="241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Malawi</w:t>
            </w:r>
          </w:p>
        </w:tc>
        <w:tc>
          <w:tcPr>
            <w:tcW w:type="dxa" w:w="9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1,722</w:t>
            </w:r>
          </w:p>
        </w:tc>
        <w:tc>
          <w:tcPr>
            <w:tcW w:type="dxa" w:w="140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207.7 $ </w:t>
            </w:r>
          </w:p>
        </w:tc>
        <w:tc>
          <w:tcPr>
            <w:tcW w:type="dxa" w:w="884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10.2 $ </w:t>
            </w:r>
          </w:p>
        </w:tc>
        <w:tc>
          <w:tcPr>
            <w:tcW w:type="dxa" w:w="754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197.5 </w:t>
            </w:r>
          </w:p>
        </w:tc>
        <w:tc>
          <w:tcPr>
            <w:tcW w:type="dxa" w:w="130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2,564</w:t>
            </w:r>
          </w:p>
        </w:tc>
        <w:tc>
          <w:tcPr>
            <w:tcW w:type="dxa" w:w="84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Malaysia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10,447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1,260.3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75.4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1,184.8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11,289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Maldives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61.3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1,367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Mali</w:t>
            </w:r>
          </w:p>
        </w:tc>
        <w:tc>
          <w:tcPr>
            <w:tcW w:type="dxa" w:w="94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2,035</w:t>
            </w:r>
          </w:p>
        </w:tc>
        <w:tc>
          <w:tcPr>
            <w:tcW w:type="dxa" w:w="90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245.5 </w:t>
            </w:r>
          </w:p>
        </w:tc>
        <w:tc>
          <w:tcPr>
            <w:tcW w:type="dxa" w:w="98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14.1 </w:t>
            </w:r>
          </w:p>
        </w:tc>
        <w:tc>
          <w:tcPr>
            <w:tcW w:type="dxa" w:w="96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231.4 </w:t>
            </w:r>
          </w:p>
        </w:tc>
        <w:tc>
          <w:tcPr>
            <w:tcW w:type="dxa" w:w="1302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2,877</w:t>
            </w:r>
          </w:p>
        </w:tc>
        <w:tc>
          <w:tcPr>
            <w:tcW w:type="dxa" w:w="848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Malta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10.9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174.0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2,375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19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Marshall Islands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55.7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1,311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Mauritania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1,308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151.7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2,150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Mauritius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1,780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214.7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13.1 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201.6 </w:t>
            </w:r>
          </w:p>
        </w:tc>
        <w:tc>
          <w:tcPr>
            <w:tcW w:type="dxa" w:w="1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2,622</w:t>
            </w:r>
          </w:p>
        </w:tc>
        <w:tc>
          <w:tcPr>
            <w:tcW w:type="dxa" w:w="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47,720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1.76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5,756.7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413.1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5,343.6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48,562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1.69</w:t>
            </w:r>
          </w:p>
        </w:tc>
      </w:tr>
      <w:tr>
        <w:trPr>
          <w:trHeight w:hRule="exact" w:val="256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Micronesia, Federated States of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56.8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1,321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84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2,419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17.2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274.6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3,261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94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90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100.0 </w:t>
            </w:r>
          </w:p>
        </w:tc>
        <w:tc>
          <w:tcPr>
            <w:tcW w:type="dxa" w:w="98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5.6 </w:t>
            </w:r>
          </w:p>
        </w:tc>
        <w:tc>
          <w:tcPr>
            <w:tcW w:type="dxa" w:w="96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94.4 </w:t>
            </w:r>
          </w:p>
        </w:tc>
        <w:tc>
          <w:tcPr>
            <w:tcW w:type="dxa" w:w="1302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1,671</w:t>
            </w:r>
          </w:p>
        </w:tc>
        <w:tc>
          <w:tcPr>
            <w:tcW w:type="dxa" w:w="848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Montenegro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110.5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1,813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Morocco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8,069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973.4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906.6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8,911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</w:tr>
      <w:tr>
        <w:trPr>
          <w:trHeight w:hRule="exact" w:val="26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Mozambique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1,332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153.9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2,174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18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Myanmar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3,465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418.0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21.4 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396.6 </w:t>
            </w:r>
          </w:p>
        </w:tc>
        <w:tc>
          <w:tcPr>
            <w:tcW w:type="dxa" w:w="1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4,307</w:t>
            </w:r>
          </w:p>
        </w:tc>
        <w:tc>
          <w:tcPr>
            <w:tcW w:type="dxa" w:w="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Namibia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1,930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11.7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221.1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2,772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Nauru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68.3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1,428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Nepal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1,528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175.7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2,370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64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Netherlands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54,111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2.00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6,527.7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475.4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6,052.3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54,953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1.92</w:t>
            </w:r>
          </w:p>
        </w:tc>
      </w:tr>
      <w:tr>
        <w:trPr>
          <w:trHeight w:hRule="exact" w:val="196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New Zealand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11,261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1,358.5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1,261.6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12,103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0.42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Nicaragua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999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115.2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1,841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1,233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143.1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2,075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Nigeria</w:t>
            </w:r>
          </w:p>
        </w:tc>
        <w:tc>
          <w:tcPr>
            <w:tcW w:type="dxa" w:w="94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19,417</w:t>
            </w:r>
          </w:p>
        </w:tc>
        <w:tc>
          <w:tcPr>
            <w:tcW w:type="dxa" w:w="90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0.72</w:t>
            </w:r>
          </w:p>
        </w:tc>
        <w:tc>
          <w:tcPr>
            <w:tcW w:type="dxa" w:w="110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2,342.4 </w:t>
            </w:r>
          </w:p>
        </w:tc>
        <w:tc>
          <w:tcPr>
            <w:tcW w:type="dxa" w:w="98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168.0 </w:t>
            </w:r>
          </w:p>
        </w:tc>
        <w:tc>
          <w:tcPr>
            <w:tcW w:type="dxa" w:w="96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2,174.3 </w:t>
            </w:r>
          </w:p>
        </w:tc>
        <w:tc>
          <w:tcPr>
            <w:tcW w:type="dxa" w:w="1302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20,259</w:t>
            </w:r>
          </w:p>
        </w:tc>
        <w:tc>
          <w:tcPr>
            <w:tcW w:type="dxa" w:w="848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0.71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North Macedonia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71.7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1,483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9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Norway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16,746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2,020.2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1,875.1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17,588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0.61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Oman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226.5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2,820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Pakistan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14,148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0.52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1,706.7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122.4 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1,584.3 </w:t>
            </w:r>
          </w:p>
        </w:tc>
        <w:tc>
          <w:tcPr>
            <w:tcW w:type="dxa" w:w="1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14,990</w:t>
            </w:r>
          </w:p>
        </w:tc>
        <w:tc>
          <w:tcPr>
            <w:tcW w:type="dxa" w:w="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0.52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Palau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858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256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Panama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1,138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127.0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1,980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184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2,273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16.1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258.1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3,115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94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2,037</w:t>
            </w:r>
          </w:p>
        </w:tc>
        <w:tc>
          <w:tcPr>
            <w:tcW w:type="dxa" w:w="90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245.7 </w:t>
            </w:r>
          </w:p>
        </w:tc>
        <w:tc>
          <w:tcPr>
            <w:tcW w:type="dxa" w:w="98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14.1 </w:t>
            </w:r>
          </w:p>
        </w:tc>
        <w:tc>
          <w:tcPr>
            <w:tcW w:type="dxa" w:w="96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231.6 </w:t>
            </w:r>
          </w:p>
        </w:tc>
        <w:tc>
          <w:tcPr>
            <w:tcW w:type="dxa" w:w="1302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2,879</w:t>
            </w:r>
          </w:p>
        </w:tc>
        <w:tc>
          <w:tcPr>
            <w:tcW w:type="dxa" w:w="848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Peru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9,092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1,096.8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1,019.3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9,934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11,887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1,434.0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102.1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1,331.9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12,729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</w:tr>
      <w:tr>
        <w:trPr>
          <w:trHeight w:hRule="exact" w:val="26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20,474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2,469.9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177.1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2,292.8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21,316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0.74</w:t>
            </w:r>
          </w:p>
        </w:tc>
      </w:tr>
      <w:tr>
        <w:trPr>
          <w:trHeight w:hRule="exact" w:val="18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Portugal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8,937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0.33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1,078.1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76.2 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1,001.9 </w:t>
            </w:r>
          </w:p>
        </w:tc>
        <w:tc>
          <w:tcPr>
            <w:tcW w:type="dxa" w:w="1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9,779</w:t>
            </w:r>
          </w:p>
        </w:tc>
        <w:tc>
          <w:tcPr>
            <w:tcW w:type="dxa" w:w="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0.34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Qatar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1,389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156.5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2,231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Romania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8,210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990.4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918.0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9,052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0.32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Russian Federation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79,121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2.92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9,544.8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685.8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8,859.0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79,963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2.79</w:t>
            </w:r>
          </w:p>
        </w:tc>
      </w:tr>
      <w:tr>
        <w:trPr>
          <w:trHeight w:hRule="exact" w:val="264"/>
        </w:trPr>
        <w:tc>
          <w:tcPr>
            <w:tcW w:type="dxa" w:w="2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Rwanda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173.7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2,344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196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Kitts and Nevis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33.2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32.9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1,117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81.7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1,541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Vincent and the Grenadines</w:t>
            </w:r>
          </w:p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45.1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1,229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Samoa</w:t>
            </w:r>
          </w:p>
        </w:tc>
        <w:tc>
          <w:tcPr>
            <w:tcW w:type="dxa" w:w="94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947</w:t>
            </w:r>
          </w:p>
        </w:tc>
        <w:tc>
          <w:tcPr>
            <w:tcW w:type="dxa" w:w="90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114.2 </w:t>
            </w:r>
          </w:p>
        </w:tc>
        <w:tc>
          <w:tcPr>
            <w:tcW w:type="dxa" w:w="98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5.1 </w:t>
            </w:r>
          </w:p>
        </w:tc>
        <w:tc>
          <w:tcPr>
            <w:tcW w:type="dxa" w:w="960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109.2 </w:t>
            </w:r>
          </w:p>
        </w:tc>
        <w:tc>
          <w:tcPr>
            <w:tcW w:type="dxa" w:w="1302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1,789</w:t>
            </w:r>
          </w:p>
        </w:tc>
        <w:tc>
          <w:tcPr>
            <w:tcW w:type="dxa" w:w="848"/>
            <w:gridSpan w:val="2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San Marino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69.3 </w:t>
            </w:r>
          </w:p>
        </w:tc>
        <w:tc>
          <w:tcPr>
            <w:tcW w:type="dxa" w:w="1302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1,437</w:t>
            </w:r>
          </w:p>
        </w:tc>
        <w:tc>
          <w:tcPr>
            <w:tcW w:type="dxa" w:w="848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9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Sao Tome and Principe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2.2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82.9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1,547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Saudi Arabia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76,967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2.84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9,284.9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8,616.6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77,809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2.71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Senegal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2,942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354.9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17.5 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337.4 </w:t>
            </w:r>
          </w:p>
        </w:tc>
        <w:tc>
          <w:tcPr>
            <w:tcW w:type="dxa" w:w="1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3,784</w:t>
            </w:r>
          </w:p>
        </w:tc>
        <w:tc>
          <w:tcPr>
            <w:tcW w:type="dxa" w:w="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46"/>
        </w:trPr>
        <w:tc>
          <w:tcPr>
            <w:tcW w:type="dxa" w:w="24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Serbia</w:t>
            </w:r>
          </w:p>
        </w:tc>
        <w:tc>
          <w:tcPr>
            <w:tcW w:type="dxa" w:w="728"/>
            <w:vMerge/>
            <w:tcBorders/>
          </w:tcPr>
          <w:p/>
        </w:tc>
        <w:tc>
          <w:tcPr>
            <w:tcW w:type="dxa" w:w="728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  <w:tc>
          <w:tcPr>
            <w:tcW w:type="dxa" w:w="145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7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4,133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498.6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462.0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4,975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rPr>
          <w:trHeight w:hRule="exact" w:val="254"/>
        </w:trPr>
        <w:tc>
          <w:tcPr>
            <w:tcW w:type="dxa" w:w="24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Seychelles</w:t>
            </w:r>
          </w:p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263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31.7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 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31.6 </w:t>
            </w:r>
          </w:p>
        </w:tc>
        <w:tc>
          <w:tcPr>
            <w:tcW w:type="dxa" w:w="130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1,105</w:t>
            </w:r>
          </w:p>
        </w:tc>
        <w:tc>
          <w:tcPr>
            <w:tcW w:type="dxa" w:w="84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496"/>
        </w:trPr>
        <w:tc>
          <w:tcPr>
            <w:tcW w:type="dxa" w:w="2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0"/>
            <w:gridSpan w:val="10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2" w:after="0"/>
              <w:ind w:left="8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35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1296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78" w:lineRule="exact" w:before="264" w:after="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238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  <w:tr>
        <w:trPr>
          <w:trHeight w:hRule="exact" w:val="320"/>
        </w:trPr>
        <w:tc>
          <w:tcPr>
            <w:tcW w:type="dxa" w:w="2386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84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</w:t>
            </w:r>
          </w:p>
        </w:tc>
        <w:tc>
          <w:tcPr>
            <w:tcW w:type="dxa" w:w="102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1060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880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1016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06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66"/>
        </w:trPr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shares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1142"/>
        </w:trPr>
        <w:tc>
          <w:tcPr>
            <w:tcW w:type="dxa" w:w="3250"/>
            <w:tcBorders>
              <w:top w:sz="8.0" w:val="single" w:color="#000000"/>
              <w:end w:sz="24.0" w:val="single" w:color="#D8D8D8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625"/>
              <w:gridCol w:w="1625"/>
            </w:tblGrid>
            <w:tr>
              <w:trPr>
                <w:trHeight w:hRule="exact" w:val="1120"/>
              </w:trPr>
              <w:tc>
                <w:tcPr>
                  <w:tcW w:type="dxa" w:w="23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Sierra Leone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52" w:right="1008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Singapore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Slovak Republic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c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Slovenia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c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Solomon Islands</w:t>
                  </w:r>
                </w:p>
              </w:tc>
              <w:tc>
                <w:tcPr>
                  <w:tcW w:type="dxa" w:w="826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288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1,043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7,109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4,785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2,037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4"/>
            <w:tcBorders>
              <w:start w:sz="24.0" w:val="single" w:color="#D8D8D8"/>
              <w:top w:sz="8.0" w:val="single" w:color="#000000"/>
              <w:end w:sz="24.0" w:val="single" w:color="#D8D8D8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62"/>
              <w:gridCol w:w="662"/>
              <w:gridCol w:w="662"/>
              <w:gridCol w:w="662"/>
              <w:gridCol w:w="662"/>
              <w:gridCol w:w="662"/>
            </w:tblGrid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84" w:firstLine="0"/>
                    <w:jc w:val="right"/>
                  </w:pPr>
                  <w:r>
                    <w:rPr>
                      <w:shd w:val="clear" w:color="auto" w:fill="d8d8d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0.04</w:t>
                  </w:r>
                  <w:r>
                    <w:rPr>
                      <w:shd w:val="clear" w:color="auto" w:fill="d8d8d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584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125.8 </w:t>
                  </w:r>
                </w:p>
              </w:tc>
              <w:tc>
                <w:tcPr>
                  <w:tcW w:type="dxa" w:w="376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540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4.6 </w:t>
                  </w:r>
                </w:p>
              </w:tc>
              <w:tc>
                <w:tcPr>
                  <w:tcW w:type="dxa" w:w="420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44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121.2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0.26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857.6 </w:t>
                  </w:r>
                </w:p>
              </w:tc>
              <w:tc>
                <w:tcPr>
                  <w:tcW w:type="dxa" w:w="3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63.0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794.6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0.18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577.2 </w:t>
                  </w:r>
                </w:p>
              </w:tc>
              <w:tc>
                <w:tcPr>
                  <w:tcW w:type="dxa" w:w="37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41.0 </w:t>
                  </w:r>
                </w:p>
              </w:tc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536.2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0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0.08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0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245.7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5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18.0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0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227.8 </w:t>
                  </w:r>
                </w:p>
              </w:tc>
            </w:tr>
            <w:tr>
              <w:trPr>
                <w:trHeight w:hRule="exact" w:val="176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0.03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87.9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5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2.3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85.6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6"/>
            <w:tcBorders>
              <w:start w:sz="24.0" w:val="single" w:color="#D8D8D8"/>
              <w:top w:sz="8.0" w:val="single" w:color="#000000"/>
              <w:end w:sz="24.0" w:val="single" w:color="#D8D8D8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554" w:right="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7,951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1,571</w:t>
            </w:r>
          </w:p>
        </w:tc>
        <w:tc>
          <w:tcPr>
            <w:tcW w:type="dxa" w:w="1136"/>
            <w:tcBorders>
              <w:start w:sz="24.0" w:val="single" w:color="#D8D8D8"/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30"/>
              <w:ind w:left="5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  <w:r>
              <w:rPr>
                <w:shd w:val="clear" w:color="auto" w:fill="d8d8d8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%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36"/>
            </w:tblGrid>
            <w:tr>
              <w:trPr>
                <w:trHeight w:hRule="exact" w:val="240"/>
              </w:trPr>
              <w:tc>
                <w:tcPr>
                  <w:tcW w:type="dxa" w:w="93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1136"/>
            </w:tblGrid>
            <w:tr>
              <w:trPr>
                <w:trHeight w:hRule="exact" w:val="234"/>
              </w:trPr>
              <w:tc>
                <w:tcPr>
                  <w:tcW w:type="dxa" w:w="68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6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Somalia, Federal Republic of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76.2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3.3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72.9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1,474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20,793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0.77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2,508.4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180.0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2,328.4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21,635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0.75</w:t>
            </w:r>
          </w:p>
        </w:tc>
      </w:tr>
      <w:tr>
        <w:trPr>
          <w:trHeight w:hRule="exact" w:val="18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Sudan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1,437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173.4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8.6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164.8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2,279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Spain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52,895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1.95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6,381.0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461.2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5,919.8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53,737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1.87</w:t>
            </w:r>
          </w:p>
        </w:tc>
      </w:tr>
      <w:tr>
        <w:trPr>
          <w:trHeight w:hRule="exact" w:val="204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Sri Lanka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6,282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757.8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706.9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7,124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</w:tr>
      <w:tr>
        <w:trPr>
          <w:trHeight w:hRule="exact" w:val="196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Sudan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1,989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239.9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15.5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2,831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196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412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49.7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47.7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1,254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04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Sweden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25,148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0.93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3,033.7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219.1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2,814.6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25,990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0.91</w:t>
            </w:r>
          </w:p>
        </w:tc>
      </w:tr>
      <w:tr>
        <w:trPr>
          <w:trHeight w:hRule="exact" w:val="244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Switzerland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40,889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1.51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4,932.6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357.9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4,574.7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41,731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1.45</w:t>
            </w:r>
          </w:p>
        </w:tc>
      </w:tr>
      <w:tr>
        <w:trPr>
          <w:trHeight w:hRule="exact" w:val="240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Syrian Arab Republic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2,452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295.8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281.8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3,294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16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Tajikistan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145.2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139.9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2,046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Tanzania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1,295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156.2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146.2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2,137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0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13,752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1,659.0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118.1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1,540.9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14,594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0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753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1,595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3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Togo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1,598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192.8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8.1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184.7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2,440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30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Tonga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796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96.0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1,638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50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Trinidad and Tobago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3,376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407.3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22.8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384.5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4,218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10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Tunisia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2,064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249.0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18.3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230.7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2,906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4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30,668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1.13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3,699.6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264.5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3,435.1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31,510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1.10</w:t>
            </w:r>
          </w:p>
        </w:tc>
      </w:tr>
      <w:tr>
        <w:trPr>
          <w:trHeight w:hRule="exact" w:val="196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Turkmenistan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627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75.6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3.6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72.0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1,469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0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Tuvalu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55.6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1.5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54.1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1,303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Uganda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1,128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136.1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9.6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126.5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1,970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Ukraine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14,361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0.53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1,732.4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108.5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1,623.9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15,203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0.53</w:t>
            </w:r>
          </w:p>
        </w:tc>
      </w:tr>
      <w:tr>
        <w:trPr>
          <w:trHeight w:hRule="exact" w:val="20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Arab Emirates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7,043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849.6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66.2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783.4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7,885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</w:tr>
      <w:tr>
        <w:trPr>
          <w:trHeight w:hRule="exact" w:val="256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United Kingdom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108,611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4.01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13,102.3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975.7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12,126.6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109,453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3.82</w:t>
            </w:r>
          </w:p>
        </w:tc>
      </w:tr>
      <w:tr>
        <w:trPr>
          <w:trHeight w:hRule="exact" w:val="224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United States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451,968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16.68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54,523.2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3,896.0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50,627.1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452,810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15.79</w:t>
            </w:r>
          </w:p>
        </w:tc>
      </w:tr>
      <w:tr>
        <w:trPr>
          <w:trHeight w:hRule="exact" w:val="240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Uruguay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3,732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450.2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28.1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422.1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4,574</w:t>
            </w:r>
          </w:p>
        </w:tc>
        <w:tc>
          <w:tcPr>
            <w:tcW w:type="dxa" w:w="11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Uzbekistan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4,238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511.3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32.9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478.4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5,080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44"/>
        </w:trPr>
        <w:tc>
          <w:tcPr>
            <w:tcW w:type="dxa" w:w="238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Vanuatu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765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92.3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89.2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1,607</w:t>
            </w:r>
          </w:p>
        </w:tc>
        <w:tc>
          <w:tcPr>
            <w:tcW w:type="dxa" w:w="115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196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Venezuela, Republica </w:t>
            </w:r>
          </w:p>
        </w:tc>
        <w:tc>
          <w:tcPr>
            <w:tcW w:type="dxa" w:w="84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20,361</w:t>
            </w:r>
          </w:p>
        </w:tc>
        <w:tc>
          <w:tcPr>
            <w:tcW w:type="dxa" w:w="106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0.75</w:t>
            </w:r>
          </w:p>
        </w:tc>
        <w:tc>
          <w:tcPr>
            <w:tcW w:type="dxa" w:w="936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2,456.2 </w:t>
            </w:r>
          </w:p>
        </w:tc>
        <w:tc>
          <w:tcPr>
            <w:tcW w:type="dxa" w:w="91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150.8 </w:t>
            </w:r>
          </w:p>
        </w:tc>
        <w:tc>
          <w:tcPr>
            <w:tcW w:type="dxa" w:w="1066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2,305.5 </w:t>
            </w:r>
          </w:p>
        </w:tc>
        <w:tc>
          <w:tcPr>
            <w:tcW w:type="dxa" w:w="106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21,203</w:t>
            </w:r>
          </w:p>
        </w:tc>
        <w:tc>
          <w:tcPr>
            <w:tcW w:type="dxa" w:w="1156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0.74</w:t>
            </w:r>
          </w:p>
        </w:tc>
      </w:tr>
      <w:tr>
        <w:trPr>
          <w:trHeight w:hRule="exact" w:val="240"/>
        </w:trPr>
        <w:tc>
          <w:tcPr>
            <w:tcW w:type="dxa" w:w="238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Bolivariana de</w:t>
            </w:r>
          </w:p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Viet Nam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5,311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640.7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593.7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6,153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Yemen, Republic of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2,212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3,054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Zambia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4,727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570.2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38.7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531.5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5,569</w:t>
            </w:r>
          </w:p>
        </w:tc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186"/>
        </w:trPr>
        <w:tc>
          <w:tcPr>
            <w:tcW w:type="dxa" w:w="238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84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3,575</w:t>
            </w:r>
          </w:p>
        </w:tc>
        <w:tc>
          <w:tcPr>
            <w:tcW w:type="dxa" w:w="10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93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431.3 </w:t>
            </w:r>
          </w:p>
        </w:tc>
        <w:tc>
          <w:tcPr>
            <w:tcW w:type="dxa" w:w="9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  <w:tc>
          <w:tcPr>
            <w:tcW w:type="dxa" w:w="106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408.9 </w:t>
            </w:r>
          </w:p>
        </w:tc>
        <w:tc>
          <w:tcPr>
            <w:tcW w:type="dxa" w:w="106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4,417</w:t>
            </w:r>
          </w:p>
        </w:tc>
        <w:tc>
          <w:tcPr>
            <w:tcW w:type="dxa" w:w="11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80"/>
        </w:trPr>
        <w:tc>
          <w:tcPr>
            <w:tcW w:type="dxa" w:w="238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- June 30, 2025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2,709,291</w:t>
            </w:r>
          </w:p>
        </w:tc>
        <w:tc>
          <w:tcPr>
            <w:tcW w:type="dxa" w:w="1996"/>
            <w:gridSpan w:val="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100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% 326,835 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22,911 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303,924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2,868,429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100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480"/>
        </w:trPr>
        <w:tc>
          <w:tcPr>
            <w:tcW w:type="dxa" w:w="238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2,678,098</w:t>
            </w:r>
          </w:p>
        </w:tc>
        <w:tc>
          <w:tcPr>
            <w:tcW w:type="dxa" w:w="199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323,072 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300,620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2,835,535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238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2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3124"/>
        </w:trPr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Notes</w:t>
            </w:r>
          </w:p>
          <w:p>
            <w:pPr>
              <w:autoSpaceDN w:val="0"/>
              <w:autoSpaceDE w:val="0"/>
              <w:widowControl/>
              <w:spacing w:line="178" w:lineRule="exact" w:before="7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Indic</w:t>
            </w:r>
          </w:p>
          <w:p>
            <w:pPr>
              <w:autoSpaceDN w:val="0"/>
              <w:autoSpaceDE w:val="0"/>
              <w:widowControl/>
              <w:spacing w:line="224" w:lineRule="exact" w:before="82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4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Indicates amount less than $0.5 million or 0.005%</w:t>
            </w:r>
          </w:p>
          <w:p>
            <w:pPr>
              <w:autoSpaceDN w:val="0"/>
              <w:autoSpaceDE w:val="0"/>
              <w:widowControl/>
              <w:spacing w:line="224" w:lineRule="exact" w:before="824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See Notes to Financial Statements, Note B—Capital Stock, Maintenance of Value, and Membership.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 member of the Development Assistance Committee of the Organization for Economic Cooperation and Development (OECD).</w:t>
      </w:r>
    </w:p>
    <w:p>
      <w:pPr>
        <w:autoSpaceDN w:val="0"/>
        <w:tabs>
          <w:tab w:pos="1572" w:val="left"/>
        </w:tabs>
        <w:autoSpaceDE w:val="0"/>
        <w:widowControl/>
        <w:spacing w:line="618" w:lineRule="exact" w:before="0" w:after="0"/>
        <w:ind w:left="62" w:right="144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18"/>
        </w:rPr>
        <w:t xml:space="preserve">The Notes to Financial Statements are an integral part of these Statements. </w:t>
      </w:r>
      <w:r>
        <w:rPr>
          <w:rFonts w:ascii="Arial" w:hAnsi="Arial" w:eastAsia="Arial"/>
          <w:b w:val="0"/>
          <w:i/>
          <w:color w:val="000000"/>
          <w:sz w:val="16"/>
        </w:rPr>
        <w:t>a. May differ from the calculated figures or sum of individual figures shown due to rounding.</w:t>
      </w:r>
    </w:p>
    <w:p>
      <w:pPr>
        <w:sectPr>
          <w:pgSz w:w="12240" w:h="15840"/>
          <w:pgMar w:top="51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>NOTES TO FINANCIAL STATEMENTS</w:t>
      </w:r>
    </w:p>
    <w:p>
      <w:pPr>
        <w:autoSpaceDN w:val="0"/>
        <w:autoSpaceDE w:val="0"/>
        <w:widowControl/>
        <w:spacing w:line="31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PURPOSE AND AFFILIATED ORGANIZATIONS</w:t>
      </w:r>
    </w:p>
    <w:p>
      <w:pPr>
        <w:autoSpaceDN w:val="0"/>
        <w:autoSpaceDE w:val="0"/>
        <w:widowControl/>
        <w:spacing w:line="240" w:lineRule="exact" w:before="14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International Bank for Reconstruction and Development (IBRD) is an international organization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commenced operations in 1946. The principal purpose of IBRD is to promote sustainable 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and reduce poverty in its member countries, primarily by providing loans, guarantees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technical assistance for specific projects and for programs of economic reform in developing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countries. The activities of IBRD are complemented by those of three affiliated organizations,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Development Association (IDA), the International Finance Corporation (IFC),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Multilateral Investment Guarantee Agency (MIGA). Each of these organizations is legally and financially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independent from IBRD, with separate assets and liabilities, and IBRD is not liable for their respective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obligations. Transactions with these affiliated organizations are disclosed in the notes that follow.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immune from taxation pursuant to Article VII, Section 9, </w:t>
      </w:r>
      <w:r>
        <w:rPr>
          <w:rFonts w:ascii="Arial" w:hAnsi="Arial" w:eastAsia="Arial"/>
          <w:b w:val="0"/>
          <w:i/>
          <w:color w:val="000000"/>
          <w:sz w:val="20"/>
        </w:rPr>
        <w:t>Immunities from Taxation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of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>Articles of Agreement.</w:t>
      </w:r>
    </w:p>
    <w:p>
      <w:pPr>
        <w:autoSpaceDN w:val="0"/>
        <w:autoSpaceDE w:val="0"/>
        <w:widowControl/>
        <w:spacing w:line="336" w:lineRule="exact" w:before="46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A—SUMMARY OF SIGNIFICANT ACCOUNTING AND RELATED </w:t>
      </w:r>
      <w:r>
        <w:rPr>
          <w:rFonts w:ascii="Arial" w:hAnsi="Arial" w:eastAsia="Arial"/>
          <w:b/>
          <w:i w:val="0"/>
          <w:color w:val="004972"/>
          <w:sz w:val="28"/>
        </w:rPr>
        <w:t>POLICIES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statements are prepared in conformity with accounting principles generally accepted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of America (U.S. GAAP).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preparation of financial statements in conformity with U.S. GAAP requires management to make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estimates and assumptions that affect the reported amounts of assets and liabilities and disclosure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contingent assets and liabilities at the date of the financial statements and the reported amounts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expenses during the reporting periods. Due to the inherent uncertainty involved in making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estimates, actual results could differ from these estimates. Significant judgment has been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valuation of certain financial instruments, the determination of the adequacy of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provisions for losses on loans and other exposures, the determination of the net periodic cost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pension and other postretirement benefits plans, and the present value of projected benefit obligations.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Certain reclassifications of the prior year’s information have been made to conform with the current year’s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>presentation.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Translation and Remeasurement of Currencies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financial statements are expressed in terms of U.S. dollars for the purpose of reporting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position and the results of its operations. IBRD’s functional currencies are the U.S. dollar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euro.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and liabilities are translated at market exchange rates in effect at the end of the reporting period.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expenses are translated at either the market exchange rates in effect on the dates on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are recognized or at an average of the market exchange rates in effect during the month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transaction. Remeasurement adjustments relating to non-functional currencies are reflected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Income, while translation adjustments for assets and liabilities denominated in euro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reflected in the Statements of Comprehensive Income.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Paid-In Capital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Valuation of Capital Stock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Articles of Agreement, the capital stock of IBRD is expressed in terms of “U.S. dollars of the weight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fineness in effect on July 1, 1944” (“1944 dollars”). Following the abolition of gold as a common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denominator of the monetary system and the repeal of the provision of the U.S. law defining the par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U.S. dollar in terms of gold, the pre-existing basis for translating 1944 dollars into current dollars or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76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95</w:t>
      </w:r>
    </w:p>
    <w:p>
      <w:pPr>
        <w:sectPr>
          <w:pgSz w:w="12240" w:h="15840"/>
          <w:pgMar w:top="69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any other currency was eliminated. The Executive Directors of IBRD have decided, until such time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relevant provisions of the Articles of Agreement are amended, that the words “U.S. dollars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weight and fineness in effect on July 1, 1944” in Article II, Section 2(a) of the Articles of Agreement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are interpreted to mean the Special Drawing Right (SDR) introduced by the International Monetary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Fund, as valued in terms of U.S. dollars immediately before the introduction of the basket method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valuing the SDR on July 1, 1974, such value being $1.20635 for one SDR (“1974 SDR”). </w:t>
      </w:r>
    </w:p>
    <w:p>
      <w:pPr>
        <w:autoSpaceDN w:val="0"/>
        <w:autoSpaceDE w:val="0"/>
        <w:widowControl/>
        <w:spacing w:line="264" w:lineRule="exact" w:before="114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Nonnegotiable, Noninterest-bearing Demand Obligations on Account of Subscribed </w:t>
      </w:r>
      <w:r>
        <w:rPr>
          <w:rFonts w:ascii="Arial" w:hAnsi="Arial" w:eastAsia="Arial"/>
          <w:b/>
          <w:i w:val="0"/>
          <w:color w:val="004972"/>
          <w:sz w:val="22"/>
        </w:rPr>
        <w:t>Capital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demand obligations are held in bank accounts which bear IBRD’s name and are carried and reported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face value as a reduction to equity. Payments on some of these instruments are due to IBRD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demand. Others are due to IBRD on demand, but only after IBRD’s callable subscribed capital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>entirely called pursuant to Article IV, Section 2 (a) of the Articles of Agreement.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Receivable and deferred amounts to maintain value of currency holdings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Article II, Section 9 of the Articles of Agreement provides for maintenance of value (MOV), at the time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subscription, of national currencies paid-in, which are subject to certain restrictions. MOV is determined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measuring the foreign exchange value of a member’s national currency against the standard of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IBRD’s capital based on the 1974 SDR. MOV receivable are amounts due from members on account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movements in exchange rates from the date of initial subscription, resulting in the reduction in the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paid-in capital denominated in national currencies. Members are required to make payments to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their currencies depreciate significantly relative to the standard of value. These amounts may be settled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either in cash or a nonnegotiable, noninterest-bearing note, which is due on demand. Furthermore,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Executive Directors have adopted a policy of reimbursing members whose national currencies appreciate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 in terms of the standard of value.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 is deferred when the restriction of national currencies paid-in is lifted and these currencies are being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in IBRD’s operations and/or are being invested, swapped, or loaned to members by IBRD or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IFC. Once these restricted currencies are no longer being used in operations, the related MOV is no </w:t>
      </w:r>
      <w:r>
        <w:rPr>
          <w:rFonts w:ascii="ArialMT" w:hAnsi="ArialMT" w:eastAsia="ArialMT"/>
          <w:b w:val="0"/>
          <w:i w:val="0"/>
          <w:color w:val="000000"/>
          <w:sz w:val="20"/>
        </w:rPr>
        <w:t>longer deferred, but rather, becomes due on the same terms as other MOV obligations.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MOV receivable balances are shown as components of Equity, under Receivable amounts to maintain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currency holdings. All MOV payable balances are included in Other liabilities – Accounts payable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miscellaneous liabilities on the Balance Sheets. The net receivable or payable MOV amounts relating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national currencies used in IBRD's lending and investing operations are also included as a component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Equity under Deferred amounts to maintain value of currency holdings.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Withdrawal of Membership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IBRD’s Articles of Agreement, in the event a member withdraws from IBRD, the withdrawing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is entitled to receive the value of its shares payable to the extent the member does not have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obligations to IBRD. IBRD’s Articles of Agreement also state that the former member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continuing obligations to IBRD after withdrawal. Specifically, the former member remains fully liable for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entire capital subscription, including both the previously paid-in portion and the callable portion, so long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any part of the loans or guarantees contracted before it ceased to be a member are outstanding.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Transfers Approved by the Board of Governors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accordance with IBRD’s Articles of Agreement, as interpreted by the Executive Directors, the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Governors may exercise its reserved power to approve transfers to other entities for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purposes. When unconditional, these transfers, which are included in the Board of Governors-approved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line in the Statements of Income, are reported as expenses upon approval. If conditional,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are expensed when the conditions specified for the use by the beneficiaries have been met.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are funded from the preceding fiscal year’s Net Income, Surplus, Restricted Retained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>or Other Reserves.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958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Retained Earnings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Retained Earnings consist of allocated amounts (Special Reserve, General Reserve, Pension Reserve,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Surplus, Cumulative Fair Value Adjustments, Restricted Retained Earnings, Other Reserves)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Unallocated Net Income (Loss).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Special Reserve consists of loan commissions set aside pursuant to Article IV, Section 6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Articles of Agreement, which are to be held in liquid assets. These assets may be used only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 of meeting liabilities of IBRD on its borrowings and guarantees in the event of default on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made, participated in, or guaranteed by IBRD. The Special Reserve assets are included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Investments-Trading, and comprise obligations of the United States Government, its agencies,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official entities. The allocation of such commissions to the Special Reserve was discontinued in 1964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respect to subsequent loans and no further additions are being made to it.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General Reserve consists of earnings from prior fiscal years which, in the judgment of the Executive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Directors, should be retained in IBRD’s operations.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Pension Reserve consists of the difference between the cumulative actual funding of the Staff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Retirement Plan and Trust (SRP) and other postretirement benefits plans, and the cumulative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or expense for these plans, from prior fiscal years. This reserve is reduced when pension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accounting expenses exceed the actual funding of these plans. In addition, the Pension Reserve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investment revenue earned on the Post-Employment Benefits Plan (PEBP) portfolio and Post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Retirement Contribution Reserve Fund (PCRF), which is used to stabilize IBRD’s contributions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pension plan.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Surplus consists of earnings from prior fiscal years which are retained by IBRD until a further decision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made on their disposition. Allocations from Surplus are recorded when approved by the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Governors.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Cumulative Fair Value Adjustments consist of the unrealized mark-to-market gains or losses on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>trading portfolios and certain positions in the trading portfolio.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Restricted Retained Earnings consists of contributions or revenue from prior years which are contractually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restricted as to their purpose.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Reserves consist mainly of allocations from Surplus to certain funds and non-functional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>translation adjustment gains/losses from prior fiscal years.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Unallocated Net Income (Loss) consists of the current fiscal year’s net income (loss) adjusted for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Governors-approved transfers made during the year.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Accumulated other comprehensive income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 or loss consists of net income (loss) and other gains and losses affecting equity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that, under U.S. GAAP, are excluded from net income. Other comprehensive income (loss) comprises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translation adjustments on assets and liabilities denominated in euro, DVA on Fair Value Option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elected liabilities, and pension related items, as presented in Statement of Comprehensive income.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Loans and Other Exposures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IBRD loans are made to or guaranteed by countries that are members of IBRD, except for loans made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IFC. The majority of IBRD’s loans have repayment obligations based on specific currencies. IBRD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holds multicurrency loans which have repayment obligations in various currencies determined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basis of a currency pooling system. Other exposures comprise signed commitments (including Deferred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Drawdown Options (DDOs) that are effective, and irrevocable commitments), and guarantees.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Generally, loans are reported on the Balance Sheets at amortized cost. Loans with embedded derivatives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assessed for fair value election, or bifurcation of the loan and derivative. Commitment charges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undisbursed balance of loans are recognized in revenue as earned. Any loan origination fees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55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97</w:t>
      </w:r>
    </w:p>
    <w:p>
      <w:pPr>
        <w:sectPr>
          <w:pgSz w:w="12240" w:h="15840"/>
          <w:pgMar w:top="700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incorporated in the terms of a loan are deferred and recognized over the life of the loan as an adjustment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yield. The unamortized balance of loan origination fees is included as a reduction of the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on the Balance Sheets, and the amortization of loan origination fees are included in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Loans, net in the Statements of Income. Accrued interest is presented in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>Sheets line item Receivables - Accrued income on loans and guarantee fees receivable.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IBRD’s practice not to reschedule interest or principal payments on its loans or participate in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rescheduling agreements with respect to its loans, except for activation of a deferral under the Climate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Resilient Debt Clause (CRDC). Should any other permissible modifications be made to the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existing loans, IBRD would perform an evaluation to determine the required accounting treatment,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whether the modification would result in the affected loans being accounted for as a new loan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continuation of the existing loan.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IBRD’s policy to place all loans and other exposures (collectively “exposures”) made to or guaranteed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a member of IBRD into nonaccrual status if principal, interest, or other charges with respect to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exposures are overdue by more than six months, unless IBRD’s management determines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overdue amount will be collected in the immediate future. In addition, if loans and other exposures made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IDA to a member country are placed in nonaccrual status, all IBRD loans and other exposures made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to, or guaranteed by, that member country will also be placed in nonaccrual status by IBRD. On the date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member’s exposures are placed into nonaccrual status, unpaid interest and other charges accrued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to the member are deducted from the revenue of the current period.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and other charges on nonaccruing exposures are included in revenue only to the extent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payments have been received by IBRD. A decision on the restoration of accrual status is made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arrears clearance.  If collectability risk is considered to be particularly high at the time of arrears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clearance, the member’s exposures may not automatically emerge from nonaccrual status until a suitable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of payment performance has passed.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 Commitments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Commitments are undisbursed loans approved by the Executive Directors, for which disbursements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yet to be made. IBRD records a provision for expected losses on undisbursed loan commitments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DDOs, when signed by both parties. The signature of the loan agreement is a binding event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prevents IBRD from unconditionally withdrawing from the agreement.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guarantees are commitments issued by IBRD to guarantee payment by a member country (the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debtor) to a third party in the event that a member government (or a government-owned entity) fails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perform its contractual obligations to a third party.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provided are regarded as outstanding when the underlying financial obligation of the debtor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incurred, and called when a guaranteed party demands payment under the guarantee. IBRD would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 to perform under its guarantees if the payments guaranteed were not made by the debtor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guaranteed party called the guarantee by demanding payment from IBRD in accordance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of the guarantee. In the event that a guarantee of a member country is called, IBRD has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contractual right to require payment from the member country.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records the fair value of the obligation to stand ready in Other Liabilities - Accounts payable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miscellaneous liabilities, and a corresponding fees receivable asset in the Receivables - Accrued 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loans and guarantee fees receivable line on IBRD’s Balance Sheets. Upfront guarantee fees received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deferred and amortized over the life of the guarantee.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Received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receives third-party guarantees in the form of a credit enhancement to loan exposures.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enhancements that are contractually attached to the loan reduce the exposure at risk considered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computing the loan loss provisions.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8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guarantees that are not contractually attached to the loan are recorded as a recoverable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included in Other assets - Miscellaneous on the Balance Sheets. The change in value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recoverable asset is recorded as Non-interest revenue - Other, net on the Statements of Income.</w:t>
      </w:r>
    </w:p>
    <w:p>
      <w:pPr>
        <w:autoSpaceDN w:val="0"/>
        <w:autoSpaceDE w:val="0"/>
        <w:widowControl/>
        <w:spacing w:line="23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enhancements that do not meet the requirements to be accounted for as financial guarantees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recorded as derivatives.</w:t>
      </w:r>
    </w:p>
    <w:p>
      <w:pPr>
        <w:autoSpaceDN w:val="0"/>
        <w:autoSpaceDE w:val="0"/>
        <w:widowControl/>
        <w:spacing w:line="268" w:lineRule="exact" w:before="1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determines the appropriate level of accumulated provisions for losses on exposures,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reflects the expected losses inherent in IBRD’s exposures.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Loans 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exposures are disaggregated into two groups: exposures in accrual status and exposures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status. In each group, a credit risk rating is assigned to exposures for each borrower.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exposure for provisioning is the current exposure and the estimated future exposure, taking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expected disbursements and repayments over the life of the instruments. The expected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related to loans and other exposures are calculated over the life of the instruments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estimated exposures, the expected default frequency (probability of default to IBRD)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loss given default. The provision for expected losses is the sum of the expected annual losses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the life of the instruments.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countries in accrual status, these exposures are grouped in pools of borrowers with a similar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rating. The determination of a borrower’s rating is based on various factors (see Note D—Loans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exposures). Each risk rating is mapped to an expected default frequency using IBRD's credit migration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matrix, based on historical observations of credit ratings at the beginning and at the end of each year.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losses on loan exposures comprise estimates of potential losses arising from the economic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due to delays in receiving payments. The estimated loss given default is determined at each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 date, based on IBRD’s historical experience, as well as parameters adjusted for current conditions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reasonable and supportable forecast period of IBRD. The loss given default is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borrower’s eligibility, namely: IBRD, Blend (IBRD and IDA) and IDA, with the highest loss given default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associated with IDA eligibility. The main factors used to determine the loss given default are the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length of delays in receiving loan payments, and the effective interest rate of the exposure. 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majority of IBRD’s loans carry a variable interest rate, the loss severity is impacted by the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forward looking market interest rates.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calculation of expected credit losses, IBRD applies a three-year reasonable and supportable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forecast period, representing the most reliable and available economic data during this period. IBRD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applies a ten-year straight-line reversion to the mean to reflect the historical pattern of rating migration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mean of its loan portfolio.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methodology is also applied to countries with exposures in nonaccrual status, although the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frequency is equal to one hundred percent. At times, to reflect certain distinguishing circumstances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 particular nonaccrual situation, different input assumptions may be used for a specific country.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exposures for countries in nonaccrual status are individually assessed. Exposure for certain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accrual status may be individually assessed on the basis that they do not share common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characteristics with an existing pool of exposures. It is IBRD’s practice not to write off loans.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contractual obligations associated with exposures in nonaccrual status have eventually been cleared,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borrowers have emerged from nonaccrual status. To date, no loans have been written off.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reassesses the adequacy of the accumulated provision on a quarterly basis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to the accumulated provision are recorded as a charge to or release of provision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Income. In addition, reasonableness of the inputs used is reassessed quarterly.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26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99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records the expected credit losses on loan commitments based on  the projected disbursements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signed loan commitments (adjusted by cancellations based on historical experience), the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probability of default and estimated loss given default. The provision is included in Other liabilities -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Accounts payable and miscellaneous liabilities on the Balance Sheets.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records a contingent liability for the expected losses related to guarantees provided over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projected life of the instruments, that is determined based on the estimated exposure at default, multiplied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corresponding loss given default and expected default probability for the projected life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guarantee. This contingent liability as well as the unamortized balance of the deferred guarantee fees,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unamortized balance of the obligation to stand-ready, are included in Other Liabilities -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payable and miscellaneous liabilities on the Balance Sheets.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Exposure Exchange Agreements (EEAs)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executes EEAs with various organizations. While these agreements are not legally considered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guarantees, in IBRD’s financial statements they are recognized as financial guarantees as they meet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accounting criteria for financial guarantees. Under an EEA, each party exchanges credit risk exposure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portfolio supported by underlying loans to borrowers, by providing and receiving guarantees from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other, for the amounts specified. The guarantee provided and the guarantee received are two separate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transactions; namely (a) the provision of a financial guarantee, and (b) the receipt of an asset. There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 no exchange of cash between the organizations for these transactions.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 guarantee provided under an EEA, IBRD records a liability equivalent to the fair value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 to stand ready. This liability is included in Other liabilities - Accounts payable and miscellaneous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on the Balance Sheets and is amortized over the life of the EEA. IBRD also records a liability,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corresponding expense, in recognition of the risk coverage provided (provision). The change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is recorded as Provision for losses on loans and other exposures on the Statements of Income.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value of this liability reflects the credit quality of the underlying loans in the portfolio and changes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life of the EEA as the credit quality of these loans changes.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 guarantee received under an EEA, IBRD records an asset equivalent to the fair value of the right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indemnified. This asset is included in Other assets – Miscellaneous on the Balance Sheets and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amortized over the life of the EEA. IBRD records corresponding income, in recognition of the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>coverage received (recoverable asset). The change in value of the recoverable asset is recorded as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revenue - Other, net on the Statements of Income. The value of this asset reflects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quality of the underlying loans in the portfolio and changes over the life of the EEA contract as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>quality of these loans changes.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Statements of Cash Flows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IBRD's Statements of Cash Flows, cash is defined as the amount of Unrestricted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Restricted cash under the Due from banks line on the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Restricted Cash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includes amounts which have been received from members as part of their capital subscriptions,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well as from donors and other sources, which are restricted for specified purposes. For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subscriptions, a portion of these subscriptions have been paid to IBRD in the national currencies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members. These amounts are usable by IBRD in its lending and investing operations, only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consent of the respective members, and for administrative expenses incurred in national currencies.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securities are classified based on Management’s intention on the date of purchase,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nature, and IBRD’s policies governing the level and use of such investments.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all of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74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0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financial instruments in IBRD’s investment portfolio were classified as trading.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These securities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carried and reported at fair value, or at face value or net asset value (NAV), which approximate fair value.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Where available, quoted market prices are used to determine the fair value of trading securities.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 most government, agency and corporate obligations, exchange-traded equity securities, Asset-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backed Securities (ABS), and Mortgage-backed Securities (MBS). For instruments for which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quotations are not available, fair values are determined using model-based valuation techniques, whether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internally-generated or vendor-supplied, that include the discounted cash flow method using observable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inputs such as yield curves, credit spreads, and conditional prepayment rates. Where applicable,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unobservable inputs such as estimated conditional prepayment rates for illiquid instruments, probability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and loss severity are used. Unless quoted prices are available, time deposits are reported at face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which approximates fair value, as they are short term in nature. Purchases and sales of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recorded on a trade-date basis.  Time deposits and money market deposits are recorded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settlement. The first-in first-out method is used to determine the cost of securities sold in computing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realized gains and losses on these instruments. Derivative instruments used in liquidity management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 designated as hedging instruments for accounting purposes.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revenue is included in the Investments-Trading, net line in the Statements of Income. Unrealized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and losses for investment securities and related financial instruments held in the trading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included in the Unrealized mark-to-market gains (losses) on Investments-Trading portfolio, net line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Statements of Income. Realized gains and losses on trading securities are recognized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 when securities are sold.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may require collateral in the form of approved liquid securities from individual counterparties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cash, under legal agreements that provide for collateralization, in order to mitigate its credit exposure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counterparties. For collateral received in the form of cash from counterparties, IBRD invests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received and records the investment and a corresponding obligation to return the cash.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Collateral received in the form of liquid securities is only recorded on IBRD's Balance Sheets to the extent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it has been transferred under securities lending agreements in return for cash. </w:t>
      </w:r>
    </w:p>
    <w:p>
      <w:pPr>
        <w:autoSpaceDN w:val="0"/>
        <w:autoSpaceDE w:val="0"/>
        <w:widowControl/>
        <w:spacing w:line="288" w:lineRule="exact" w:before="11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Securities Purchased Under Resale Agreements, Securities Lent Under Securities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Lending Agreements and Securities Sold Under Repurchase Agreements and </w:t>
      </w:r>
      <w:r>
        <w:rPr>
          <w:rFonts w:ascii="Arial" w:hAnsi="Arial" w:eastAsia="Arial"/>
          <w:b/>
          <w:i w:val="0"/>
          <w:color w:val="000000"/>
          <w:sz w:val="24"/>
        </w:rPr>
        <w:t>Payable for Cash Collateral Received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purchased under resale agreements, securities lent under securities lending agreements,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sold under repurchase agreements and payable for cash collateral received are reported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face value which approximates fair value, as they are short term in nature. IBRD receives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purchased under resale agreements, monitors the fair value of the securities and, if necessary, closes 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and enters into new repriced transactions. The securities transferred to counterparties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repurchase and security lending arrangements and the securities transferred to IBRD under resale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have not met the accounting criteria for treatment as a sale. Therefore, securities transferred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repurchase agreements and security lending arrangements are retained as assets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Sheets, and securities received under resale agreements are not recorded on the Balance Sheets.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lent under securities lending agreements and sold under securities repurchase agreements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well as securities purchased under resale agreements are presented on a gross basis which is consistent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manner in which these instruments are settled. The interest earned from securities purchased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resale agreements is included in Investments–Trading, net in the Statements of Income.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expense pertaining to the securities sold under repurchase agreements and security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arrangements, is included in the Borrowing expenses, net line in the Statements of Income.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Premises and Equipment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Premises and equipment, including leasehold improvements, and information technology assets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carried at cost less accumulated depreciation and amortization. IBRD computes depreciation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amortization using the straight-line method over the estimated useful lives of the owned assets, which </w:t>
      </w:r>
    </w:p>
    <w:p>
      <w:pPr>
        <w:autoSpaceDN w:val="0"/>
        <w:tabs>
          <w:tab w:pos="8974" w:val="left"/>
        </w:tabs>
        <w:autoSpaceDE w:val="0"/>
        <w:widowControl/>
        <w:spacing w:line="224" w:lineRule="exact" w:before="100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101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range between three and fifty years. For leasehold improvements, depreciation is computed over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lesser of the remaining term of the leased facility or the estimated economic life of the improvement.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Maintenance and repairs are charged to expense as incurred, while major improvements are capitalized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amortized over the estimated useful life.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Lessee Arrangements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lessee arrangements are mostly real estate operating leases. Under these arrangements,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records right-of-use assets and lease liabilities at lease commencement. Right-of-use assets are reported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Other assets - Premises and equipment, net and the related lease liabilities are reported in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- Accounts payable and miscellaneous liabilities. IBRD has elected to account for the lease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non-lease components together as a single lease component. At lease commencement, lease liabilities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recognized based on the present value of the remaining lease payments and discounted using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incremental borrowing rate. All leases are recorded on the Balance Sheets except short-term leases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initial term of 12 months or less. Lease expense, including that for short-term leases, is recognized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straight-line basis over the lease term and is recorded in Administrative expenses in the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Borrowings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ensure funds are available for lending and liquidity purposes, IBRD borrows in the international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markets, offering its securities (discount notes, vanilla and structured bonds) to private and governmental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buyers. IBRD issues debt instruments of varying maturities denominated in various currencies with both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fixed and variable interest rates.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has elected the fair valu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option for debt instruments issued in the capital markets. All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fair value are recognized in the related Unrealized mark-to-market gains and losses on non-trading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portfolios, net, line in the Statements of Income, except for changes in the fair value related to IBRD’s own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risk, which are reported in Other Comprehensive Income (OCI) as a Debit Valuation Adjustment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(DVA). The DVA on fair value option elected liabilities is measured by revaluing each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 to determine the changes in fair value of that instrument arising from changes in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funding spread relative to the applicable reference rate.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Structured bonds issued by IBRD have coupon or repayment terms linked to the level or the performance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interest rates, foreign exchange rates, equity indices, catastrophic events or commodities.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the Statements of Cash Flows, short-term borrowings, if any, with original maturities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less than 90 days, are presented net of new issuances and retirements. By contrast, short-term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with original maturities greater than 90 days and up to one year are presented on a gross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basis.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expense relating to all debt instruments in IBRD’s borrowing portfolio is measured on an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yield basis and is reported as part of Borrowing expenses, net in the Statements of Income.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Amortization of discounts and premiums is recorded using the effective interest method and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Borrowing expenses, net line in the Statements of Income.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Accounting for Borrowings at Amortized Cost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2024, IBRD issued hybrid capital in the legal form of debt, which has characteristics of both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and equity. Hybrid capital is reported at amortized cost and included in Borrowings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>Sheets. This financial instrument also contains interest cancellation and principal write down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features.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Currently, hybrid capital is available to IBRD’s shareholders, which may also enter into separate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with IBRD that allow them to redeem the hybrid capital to satisfy the payment condition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paid-in portion of any future capital increase to which the shareholder has subscribed. In addition,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certain agreements include an option, at IBRD's discretion, to redeem the instrument at par after an initial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 of 5 years.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Hybrid capital is subordinated to IBRD’s unsubordinated debt issuances, senior to IBRD equity and pari-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passu with all other subordinated issuances. Hybrid capital carries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nterest rates similar to those of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senior medium and long-term bonds. Interest on the hybrid capital is cancellable at the sole discretion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IBRD, or mandatorily upon the occurrence of a trigger event (linked to the ratio of non-performing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>over usable equity, and to the ratio of reported equity-to-assets).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Hybrid capital principal is automatically cancelled in the event IBRD makes a call to its members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callable capital.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for Derivatives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elected not to designate any hedging relationships for accounting purposes. Rather,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instruments are reported at fair value on the Balance Sheets, with changes in fair values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through the Statements of Income.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presentation of derivative instruments on IBRD’s Balance Sheets reflects the netting of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 and liability positions and the related cash collateral received from the counterparty, when a legally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enforceable master netting agreement exists, and the other requisite conditions are met. In addition,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Notes to the financial statements, unless stated differently, derivatives are presented on a net basis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master netting agreement is an industry standard agreement with a counterparty that permits multiple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governed by that agreement to be terminated or accelerated and settled through a single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in a single currency in the event of a default (e.g., bankruptcy, failure to make a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or transfer security or deliver collateral when due). Obligations under master netting agreements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often secured by collateral posted under an industry standard credit support annex to the master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netting agreement. Upon default by the counterparty, the collateral agreement grants an entity the right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set-off any amounts payable by the counterparty against any posted collateral.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 instruments in its investment trading portfolio to manage interest rate and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risks. These derivatives are carried and reported at fair value. Interest revenue/expenses are reflected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 of Interest revenue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Investments-Trading, net, while unrealized mark-to-market gains and losses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these derivatives are reflected as part of the Unrealized mark-to-market gains (losses) in Investments-</w:t>
      </w:r>
      <w:r>
        <w:rPr>
          <w:rFonts w:ascii="ArialMT" w:hAnsi="ArialMT" w:eastAsia="ArialMT"/>
          <w:b w:val="0"/>
          <w:i w:val="0"/>
          <w:color w:val="000000"/>
          <w:sz w:val="20"/>
        </w:rPr>
        <w:t>Trading,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also uses derivatives in its loan, borrowing and asset/liability management activities. It also offers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intermediation services to clients. In the loan and borrowing portfolios, derivatives are used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modify the interest rate and/or currency characteristics of these portfolios. The interest component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derivatives is recognized as an adjustment to the related loan revenue and borrowing costs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life of the derivative contracts and is included in the related Interest revenue/expenses lines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Income. Changes in fair values of these derivatives are recorded in the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 as Unrealized mark-to-market gains and losses in non-trading portfolios, net.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the Statements of Cash Flows, IBRD has elected to report the cash flows associated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derivative instruments that are used to economically hedge its loans, investments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borrowings, in a manner consistent with the presentation of the related loan, investment and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 flows.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contracts include currency forward contracts, to-be-announced (TBA) securities, swaptions,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traded options and futures contracts, currency swaps and interest rate swaps. Currency swaps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interest rate swaps are either plain vanilla or structured. Currency forward contracts and plain vanilla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and interest rate swaps are valued using the discounted cash flow methods using observable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inputs such as yield curves, foreign exchange rates, basis spreads and funding spreads.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structured currency and interest rate swaps, which primarily consist of callable swaps linked to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rates, foreign exchange rates, and equity indices, valuation models and inputs similar to the ones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 to structured bond valuations are used. Where applicable, the models also incorporate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unobservable inputs such as correlations and long-dated interest rate volatilities.</w:t>
      </w:r>
    </w:p>
    <w:p>
      <w:pPr>
        <w:autoSpaceDN w:val="0"/>
        <w:tabs>
          <w:tab w:pos="8974" w:val="left"/>
        </w:tabs>
        <w:autoSpaceDE w:val="0"/>
        <w:widowControl/>
        <w:spacing w:line="224" w:lineRule="exact" w:before="91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103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outstanding derivative positions are transacted over-the-counter and therefore valued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 developed valuation models. For commercial and non-commercial counterparties where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a net receivable position, IBRD calculates a Credit Valuation Adjustment (CVA) to reflect credit risk.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net derivative positions with commercial and non-commercial counterparties where IBRD is in a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payable position, IBRD calculates a DVA to reflect its own credit risk. The CVA is calculated using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projected exposures of the derivative contracts, net of collateral received under credit support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agreements, and the probability of counterparty default based on the Credit Default Swaps (CDS) spread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and, where applicable, proxy CDS spreads. The DVA calculation is generally consistent with the CVA </w:t>
      </w:r>
      <w:r>
        <w:rPr>
          <w:rFonts w:ascii="ArialMT" w:hAnsi="ArialMT" w:eastAsia="ArialMT"/>
          <w:b w:val="0"/>
          <w:i w:val="0"/>
          <w:color w:val="000000"/>
          <w:sz w:val="20"/>
        </w:rPr>
        <w:t>methodology and incorporates IBRD’s own credit spread as observed through the CDS market.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Valuation of Financial Instruments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an established and documented process for determining fair values. Fair value is based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quoted market prices for the same or similar securities, where available. Financial instruments for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quoted market prices are not readily available are valued based on discounted cash flow models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established valuation models. These models primarily use market-based or independently-sourced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parameters such as yield curves, interest rates, volatilities, foreign exchange rates and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curves, and may incorporate unobservable inputs, some of which may be significant. Selection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inputs may involve some judgment. In instances where management relies on instrument valuations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supplied by external pricing vendors, there are procedures in place to validate the appropriateness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models used as well as inputs applied in determining those values. The fair value of certain investments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calculated using NAV as a practical expedient. To ensure that the valuations are appropriate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internally-developed models are used, IBRD has various controls in place, which include both internal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periodic external verification and review.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Fair Value Hierarchy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instruments are categorized based on the priority of the inputs to the valuation technique.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fair value hierarchy gives the highest priority to quoted prices in active markets for identical assets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(Level 1), the next highest priority to observable market-based inputs or inputs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corroborated by market data (Level 2) and the lowest priority to unobservable inputs that are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corroborated by market data (Level 3).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assets and liabilities recorded at fair value on the Balance Sheets are categorized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inputs to the valuation techniques as follows: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Level 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Financial assets and liabilities whose values are based on unadjusted quoted prices for identical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assets or liabilities in active markets.</w:t>
      </w:r>
    </w:p>
    <w:p>
      <w:pPr>
        <w:autoSpaceDN w:val="0"/>
        <w:autoSpaceDE w:val="0"/>
        <w:widowControl/>
        <w:spacing w:line="240" w:lineRule="exact" w:before="120" w:after="0"/>
        <w:ind w:left="720" w:right="20" w:hanging="72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Level 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Financial assets and liabilities whose values are based on quoted prices for similar assets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in active markets; quoted prices for identical or similar assets or liabilities in markets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not active; or pricing models for which all significant inputs are observable, either directly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indirectly for substantially the full term of the asset or liability. 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Level 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Financial assets and liabilities whose values are based on prices or valuation techniques that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require inputs that are both unobservable and significant to the overall fair value measurement.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policy is to recognize transfers in and transfers out of levels as of the end of the reporting period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they occur.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Investments measured at NAV (or its equivalent) are not classified in the fair value hierarchy.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for Grant Expenses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recognizes an expense for unconditional grants, such as Contributions to special programs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Board of Governors-approved transfers, upon approval. IBRD recognizes an expense for conditional </w:t>
      </w:r>
    </w:p>
    <w:p>
      <w:pPr>
        <w:autoSpaceDN w:val="0"/>
        <w:autoSpaceDE w:val="0"/>
        <w:widowControl/>
        <w:spacing w:line="222" w:lineRule="exact" w:before="4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grants when the conditions specified for use by the beneficiaries have been met.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17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Trust Funds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extent that IBRD acts as an agent for, or controls Bank-executed activities for trust funds, assets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held on behalf of specified beneficiaries are recorded on IBRD’s Balance Sheets, along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corresponding liabilities. Amounts disbursed from these trust funds are recorded as expenses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corresponding amounts recognized as revenues. For recipient-executed activities for trust funds, since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acts as a trustee, no assets or liabilities relating to these activities are recorded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Sheets. In some trust funds, execution is split between recipient-executed and Bank-executed portions.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Decisions on assignment of funding resources between the two types of execution may be made on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>ongoing basis, therefore, the execution of a portion of these available resources may not yet be assigned.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also acts as a financial intermediary to provide specific administrative or financial services 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fiduciary or operational role. These arrangements, referred to as Financial Intermediary Funds,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include, for example, administration of debt service trust funds, financial intermediation and other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specialized limited fund management roles. For these arrangements, funds are held and disbursed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instructions from donors or, in some cases, an external governance structure or a body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on behalf of donors. For Financial Intermediary Funds, since IBRD acts as a trustee, no assets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>or liabilities relating to these activities are recorded on the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and Reporting Developments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Evaluated Accounting Standards: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November 2023, the FASB issued ASU 2023-07, Segment Reporting (Topic 280): Improvements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Reportable Segment Disclosures, which requires additional segment disclosures for public entities,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including those with a single reportable segment (such as IBRD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existing annual disclosures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profit or loss must be provided on an interim basis in addition to disclosure of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expenses. For IBRD, the ASU became effective for the annual period ended June 30, 2025,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adoption of the ASU has resulted in additional disclosures (see Note M - Segment Reporting).</w:t>
      </w:r>
    </w:p>
    <w:p>
      <w:pPr>
        <w:autoSpaceDN w:val="0"/>
        <w:autoSpaceDE w:val="0"/>
        <w:widowControl/>
        <w:spacing w:line="23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June 2022, the Financial Accounting Standards Board (FASB) issued Accounting Standard Update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(ASU) 2022-03, Fair Value Measurement (Topic 820)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Fair Value Measurement of Equity Securities </w:t>
      </w:r>
      <w:r>
        <w:rPr>
          <w:rFonts w:ascii="Arial" w:hAnsi="Arial" w:eastAsia="Arial"/>
          <w:b w:val="0"/>
          <w:i/>
          <w:color w:val="000000"/>
          <w:sz w:val="20"/>
        </w:rPr>
        <w:t>Subject to Contractual Sale Restrictions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which clarifies that a contractual restriction on the sale of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 security is not considered part of the unit of account of the equity security and should not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factored in when measuring fair value. The ASU also clarifies that an entity cannot, as a separate unit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account, recognize and measure a contractual sale restriction. The ASU requires certain disclosures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 securities subject to contractual sale restrictions. For IBRD, the ASU became effective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 ending September 30, 2024 (fiscal year 2025 for IBRD), and the adoption of the ASU did not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material impact on IBRD's financial statements. </w:t>
      </w:r>
    </w:p>
    <w:p>
      <w:pPr>
        <w:autoSpaceDN w:val="0"/>
        <w:autoSpaceDE w:val="0"/>
        <w:widowControl/>
        <w:spacing w:line="246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Accounting Standards Under Evaluation:</w:t>
      </w:r>
    </w:p>
    <w:p>
      <w:pPr>
        <w:autoSpaceDN w:val="0"/>
        <w:autoSpaceDE w:val="0"/>
        <w:widowControl/>
        <w:spacing w:line="224" w:lineRule="exact" w:before="1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November 2024, the FASB issued ASU 2024-03,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Income Statement—Reporting Comprehensive </w:t>
      </w:r>
      <w:r>
        <w:rPr>
          <w:rFonts w:ascii="Arial" w:hAnsi="Arial" w:eastAsia="Arial"/>
          <w:b w:val="0"/>
          <w:i/>
          <w:color w:val="000000"/>
          <w:sz w:val="20"/>
        </w:rPr>
        <w:t>Income—Expense Disaggregation Disclosures (Subtopic 220-40)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which requires disaggregated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of income statement expenses for public business entities. The ASU does not change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 captions an entity presents on the face of the income statement; rather, it requires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disaggregation of certain expense captions into specified categories in disclosures within the notes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statements. In January 2025, the FASB issued ASU 2025-01,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Income Statement—Reporting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Comprehensive Income—Expense Disaggregation Disclosures (Subtopic 220-40): Clarifying the Effective </w:t>
      </w:r>
      <w:r>
        <w:rPr>
          <w:rFonts w:ascii="Arial" w:hAnsi="Arial" w:eastAsia="Arial"/>
          <w:b w:val="0"/>
          <w:i/>
          <w:color w:val="000000"/>
          <w:sz w:val="20"/>
        </w:rPr>
        <w:t>Date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which clarifies the effective date of ASU 2024-03. For IBRD, the ASUs will be effective for the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ending June 30, 2028 (annual statements of fiscal year 2028, and interim reporting periods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thereafter). IBRD is currently evaluating the impact of the ASUs on its financial statements.</w:t>
      </w:r>
    </w:p>
    <w:p>
      <w:pPr>
        <w:autoSpaceDN w:val="0"/>
        <w:autoSpaceDE w:val="0"/>
        <w:widowControl/>
        <w:spacing w:line="240" w:lineRule="exact" w:before="10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Disclosure Improvements: Codification Amendments in </w:t>
      </w:r>
      <w:r>
        <w:rPr>
          <w:rFonts w:ascii="Arial" w:hAnsi="Arial" w:eastAsia="Arial"/>
          <w:b w:val="0"/>
          <w:i/>
          <w:color w:val="000000"/>
          <w:sz w:val="20"/>
        </w:rPr>
        <w:t>Response to the SEC’s Disclosure Update and Simplification Initiative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The new guidance is intended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align U.S. GAAP requirements with those of the SEC and to facilitate the application of U.S. GAAP for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entities. If by June 30, 2027, the SEC has not removed the related SEC requirement, the related ASU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amendment will not become effective. IBRD is currently evaluating the impact of the ASU on its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statements.</w:t>
      </w:r>
    </w:p>
    <w:p>
      <w:pPr>
        <w:autoSpaceDN w:val="0"/>
        <w:tabs>
          <w:tab w:pos="8974" w:val="left"/>
        </w:tabs>
        <w:autoSpaceDE w:val="0"/>
        <w:widowControl/>
        <w:spacing w:line="224" w:lineRule="exact" w:before="58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105</w:t>
      </w:r>
    </w:p>
    <w:p>
      <w:pPr>
        <w:sectPr>
          <w:pgSz w:w="12240" w:h="15840"/>
          <w:pgMar w:top="700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10" w:right="1296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B—CAPITAL STOCK, MAINTENANCE OF VALUE AND </w:t>
      </w:r>
      <w:r>
        <w:rPr>
          <w:rFonts w:ascii="Arial" w:hAnsi="Arial" w:eastAsia="Arial"/>
          <w:b/>
          <w:i w:val="0"/>
          <w:color w:val="004972"/>
          <w:sz w:val="28"/>
        </w:rPr>
        <w:t>MEMBERSHIP</w:t>
      </w:r>
    </w:p>
    <w:p>
      <w:pPr>
        <w:autoSpaceDN w:val="0"/>
        <w:autoSpaceDE w:val="0"/>
        <w:widowControl/>
        <w:spacing w:line="224" w:lineRule="exact" w:before="1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provides a summary of changes in IBRD’s authorized and subscribed shares: </w:t>
      </w:r>
    </w:p>
    <w:p>
      <w:pPr>
        <w:autoSpaceDN w:val="0"/>
        <w:autoSpaceDE w:val="0"/>
        <w:widowControl/>
        <w:spacing w:line="224" w:lineRule="exact" w:before="136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B1: IBRD's Shares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Authorized shares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shares</w:t>
            </w:r>
          </w:p>
        </w:tc>
      </w:tr>
      <w:tr>
        <w:trPr>
          <w:trHeight w:hRule="exact" w:val="228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2,634,728 </w:t>
            </w:r>
          </w:p>
        </w:tc>
      </w:tr>
      <w:tr>
        <w:trPr>
          <w:trHeight w:hRule="exact" w:val="252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Capital Increase/Selective Capital Increase (GCI/SCI)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43,370 </w:t>
            </w:r>
          </w:p>
        </w:tc>
      </w:tr>
      <w:tr>
        <w:trPr>
          <w:trHeight w:hRule="exact" w:val="228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2,678,098 </w:t>
            </w:r>
          </w:p>
        </w:tc>
      </w:tr>
      <w:tr>
        <w:trPr>
          <w:trHeight w:hRule="exact" w:val="252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31,193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2025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2,709,291 </w:t>
            </w:r>
          </w:p>
        </w:tc>
      </w:tr>
    </w:tbl>
    <w:p>
      <w:pPr>
        <w:autoSpaceDN w:val="0"/>
        <w:autoSpaceDE w:val="0"/>
        <w:widowControl/>
        <w:spacing w:line="240" w:lineRule="exact" w:before="41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provides a summary of the changes in subscribed capital, uncalled portion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subscriptions, and paid-in capital: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B2: IBRD's Capital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174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Uncalled portion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capital</w:t>
            </w:r>
          </w:p>
        </w:tc>
        <w:tc>
          <w:tcPr>
            <w:tcW w:type="dxa" w:w="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Paid-in capital</w:t>
            </w:r>
          </w:p>
        </w:tc>
      </w:tr>
      <w:tr>
        <w:trPr>
          <w:trHeight w:hRule="exact" w:val="240"/>
        </w:trPr>
        <w:tc>
          <w:tcPr>
            <w:tcW w:type="dxa" w:w="46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36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6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317,840 </w:t>
            </w:r>
          </w:p>
        </w:tc>
        <w:tc>
          <w:tcPr>
            <w:tcW w:type="dxa" w:w="30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(296,021) </w:t>
            </w:r>
          </w:p>
        </w:tc>
        <w:tc>
          <w:tcPr>
            <w:tcW w:type="dxa" w:w="25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</w:tr>
      <w:tr>
        <w:trPr>
          <w:trHeight w:hRule="exact" w:val="240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5,232 </w:t>
            </w:r>
          </w:p>
        </w:tc>
        <w:tc>
          <w:tcPr>
            <w:tcW w:type="dxa" w:w="30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(4,599) </w:t>
            </w:r>
          </w:p>
        </w:tc>
        <w:tc>
          <w:tcPr>
            <w:tcW w:type="dxa" w:w="2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40"/>
        </w:trPr>
        <w:tc>
          <w:tcPr>
            <w:tcW w:type="dxa" w:w="46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1520"/>
            <w:gridSpan w:val="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520"/>
            </w:tblGrid>
            <w:tr>
              <w:trPr>
                <w:trHeight w:hRule="exact" w:val="220"/>
              </w:trPr>
              <w:tc>
                <w:tcPr>
                  <w:tcW w:type="dxa" w:w="133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16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323,072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(300,620) </w:t>
            </w:r>
          </w:p>
        </w:tc>
        <w:tc>
          <w:tcPr>
            <w:tcW w:type="dxa" w:w="25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</w:tr>
      <w:tr>
        <w:trPr>
          <w:trHeight w:hRule="exact" w:val="240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3,763 </w:t>
            </w:r>
          </w:p>
        </w:tc>
        <w:tc>
          <w:tcPr>
            <w:tcW w:type="dxa" w:w="30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(3,304) </w:t>
            </w:r>
          </w:p>
        </w:tc>
        <w:tc>
          <w:tcPr>
            <w:tcW w:type="dxa" w:w="2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459 </w:t>
            </w:r>
          </w:p>
        </w:tc>
      </w:tr>
      <w:tr>
        <w:trPr>
          <w:trHeight w:hRule="exact" w:val="220"/>
        </w:trPr>
        <w:tc>
          <w:tcPr>
            <w:tcW w:type="dxa" w:w="4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2025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326,835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(303,924) 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22,911 </w:t>
            </w:r>
          </w:p>
        </w:tc>
      </w:tr>
    </w:tbl>
    <w:p>
      <w:pPr>
        <w:autoSpaceDN w:val="0"/>
        <w:autoSpaceDE w:val="0"/>
        <w:widowControl/>
        <w:spacing w:line="240" w:lineRule="exact" w:before="4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uncalled portion of subscriptions is subject to call only when required to meet the obligations incurred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by IBRD as a result of borrowings (excluding hybrid capital) or guaranteeing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October 1, 2018, IBRD’s Board of Governors approved two resolutions that increased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authorized capital. The total increase in authorized capital was $57.5 billion, of which, $27.8 billion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$29.7 billion relate to the GCI and SCI, respectively. Under the terms of the 2018 GCI and SCI, paid-in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is expected to increase by up to $7.5 billion. On May 23, 2023, the Board approved the extension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subscription period for GCI and SCI from October 1, 2023 to October 1, 2025. As of June 30, 2025,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cumulative subscription payments received under the 2018 capital increases were $6.5 billion.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Amounts to Maintain the Value of Currency Holdings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the amounts to Maintain the Value of Currency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(MOV), classified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components of equity: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B3: MOV balances</w:t>
      </w:r>
    </w:p>
    <w:p>
      <w:pPr>
        <w:autoSpaceDN w:val="0"/>
        <w:autoSpaceDE w:val="0"/>
        <w:widowControl/>
        <w:spacing w:line="180" w:lineRule="exact" w:before="144" w:after="18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34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receivable</w:t>
            </w:r>
          </w:p>
        </w:tc>
        <w:tc>
          <w:tcPr>
            <w:tcW w:type="dxa" w:w="19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31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(325)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</w:tr>
      <w:tr>
        <w:trPr>
          <w:trHeight w:hRule="exact" w:val="486"/>
        </w:trPr>
        <w:tc>
          <w:tcPr>
            <w:tcW w:type="dxa" w:w="539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Deferred MOV receivable</w:t>
            </w:r>
          </w:p>
        </w:tc>
        <w:tc>
          <w:tcPr>
            <w:tcW w:type="dxa" w:w="1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(168) </w:t>
            </w:r>
          </w:p>
        </w:tc>
        <w:tc>
          <w:tcPr>
            <w:tcW w:type="dxa" w:w="5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(428) </w:t>
            </w:r>
          </w:p>
        </w:tc>
      </w:tr>
      <w:tr>
        <w:trPr>
          <w:trHeight w:hRule="exact" w:val="250"/>
        </w:trPr>
        <w:tc>
          <w:tcPr>
            <w:tcW w:type="dxa" w:w="53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demand obligations</w:t>
            </w:r>
          </w:p>
        </w:tc>
        <w:tc>
          <w:tcPr>
            <w:tcW w:type="dxa" w:w="1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(130) 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(130) </w:t>
            </w:r>
          </w:p>
        </w:tc>
      </w:tr>
      <w:tr>
        <w:trPr>
          <w:trHeight w:hRule="exact" w:val="220"/>
        </w:trPr>
        <w:tc>
          <w:tcPr>
            <w:tcW w:type="dxa" w:w="34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MOV receivable</w:t>
            </w:r>
          </w:p>
        </w:tc>
        <w:tc>
          <w:tcPr>
            <w:tcW w:type="dxa" w:w="1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(298)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</w:tr>
      <w:tr>
        <w:trPr>
          <w:trHeight w:hRule="exact" w:val="1980"/>
        </w:trPr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47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1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C—INVESTMENTS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investments include the liquid asset portfolio, holdings relating to the Post Employment Benefit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 (PEBP), the Post Retirement Contribution Reserve Fund (PCRF), the IBRD Surplus-Funded Livable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Planet Fund (LPF1), and the Grant Facility for Project Preparation (GFPP).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held by IBRD are designated as trading and reported at fair value or at face value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approximates fair value. As of June 30, 2025, Investments were primarily comprised of government,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  and corporate obligations  and time deposits (43% and 51%, respectively), with all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classified as Level 1 or Level 2 within the fair value hierarchy.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 summary of IBRD’s Investments-Trading is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C1: Investments - Trading composition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44,151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52,283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3,210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2,775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56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securities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102,674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</w:tbl>
    <w:p>
      <w:pPr>
        <w:autoSpaceDN w:val="0"/>
        <w:autoSpaceDE w:val="0"/>
        <w:widowControl/>
        <w:spacing w:line="192" w:lineRule="exact" w:before="232" w:after="0"/>
        <w:ind w:left="242" w:right="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PEBP holdings as investments in hedge funds, private equity funds, commingled funds, credit strategy funds and real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asset funds, at net asset value (NAV) and investments held by the IBRD Surplus-Funded Livable Planet Fund (LPF1) and the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Grant Facility for Project Preparation (GFPP) at fair value. </w:t>
      </w:r>
    </w:p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Relates to PEBP holdings. 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756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107</w:t>
      </w:r>
    </w:p>
    <w:p>
      <w:pPr>
        <w:sectPr>
          <w:pgSz w:w="12240" w:h="15840"/>
          <w:pgMar w:top="69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manages its investments on a net portfolio basis. As of June 30, 2025, the largest holdings from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single counterparty within the net investment portfolio was the Government of Japan (7%). The following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table summarizes IBRD’s net investment portfolio position: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C2: Net investment portfolio 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102,674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  <w:tr>
        <w:trPr>
          <w:trHeight w:hRule="exact" w:val="20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sold under repurchase agreements, securities lent under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(277) </w:t>
            </w:r>
          </w:p>
        </w:tc>
      </w:tr>
      <w:tr>
        <w:trPr>
          <w:trHeight w:hRule="exact" w:val="22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lending agreements, and payable for cash collateral received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9"/>
        <w:gridCol w:w="3149"/>
        <w:gridCol w:w="3149"/>
      </w:tblGrid>
      <w:tr>
        <w:trPr>
          <w:trHeight w:hRule="exact" w:val="224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</w:tr>
      <w:tr>
        <w:trPr>
          <w:trHeight w:hRule="exact" w:val="24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54"/>
        </w:trPr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827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4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(1,149) </w:t>
            </w: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(68)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(450) </w:t>
            </w:r>
          </w:p>
        </w:tc>
      </w:tr>
      <w:tr>
        <w:trPr>
          <w:trHeight w:hRule="exact" w:val="25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(1,206)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(518) </w:t>
            </w:r>
          </w:p>
        </w:tc>
      </w:tr>
      <w:tr>
        <w:trPr>
          <w:trHeight w:hRule="exact" w:val="22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314 </w:t>
            </w:r>
          </w:p>
        </w:tc>
        <w:tc>
          <w:tcPr>
            <w:tcW w:type="dxa" w:w="4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 from investment securities traded and other assets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(199)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(561) </w:t>
            </w:r>
          </w:p>
        </w:tc>
      </w:tr>
      <w:tr>
        <w:trPr>
          <w:trHeight w:hRule="exact" w:val="25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IFC PCRF payable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(502)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  <w:u w:val="single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101,098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$32  million cash collateral received from counterparties under derivative agreements ($21 million—June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swaptions, options, and futures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This amount is included in Unrestricted cash under Due from banks on the Balance Sheets.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There were no liabilities related to short sales ($59 million—June 30, 2024).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See Note H -Transactions with affiliated organizations, Liabilities are included in Other liabilities – Accounts payable and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miscellaneous liabilities on the Balance Sheets.</w:t>
      </w:r>
    </w:p>
    <w:p>
      <w:pPr>
        <w:autoSpaceDN w:val="0"/>
        <w:autoSpaceDE w:val="0"/>
        <w:widowControl/>
        <w:spacing w:line="224" w:lineRule="exact" w:before="21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C3: Net investment portfolio composition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investment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assets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96,043 </w:t>
            </w: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78,792 </w:t>
            </w:r>
          </w:p>
        </w:tc>
      </w:tr>
      <w:tr>
        <w:trPr>
          <w:trHeight w:hRule="exact" w:val="2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PEBP, PCRF and Other holdings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5,055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3,888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101,098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240" w:lineRule="exact" w:before="42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 instruments to manage the associated currency and interest rate risks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portfolio. For details of these instruments, see Note F—Derivative Instruments. After considering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effects of these derivatives, IBRD’s investment portfolio is predominantly denominated in U.S. dollars.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risk management, IBRD is party to a variety of financial transactions, certain of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involve elements of credit risk. Credit risk exposure represents the maximum potential loss due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 non-performance by obligors and counterparties under the terms of the contracts. For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securities, IBRD limits trading to a list of authorized dealers and counterparties. In addition, IBRD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 collateral in connection with resale agreements and swap agreements. The collateral serves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mitigate IBRD’s exposure to credit risk.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68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Swap Agreements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is mitigated through the application of eligibility criteria and volume limits for transactions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 counterparties and through the use of mark-to-market collateral arrangements for swap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transactions. IBRD may require collateral in the form of cash or other approved liquid securities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 counterparties in order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entered into master derivative agreements that contain legally enforceable close-out netting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provisions. These agreements may further reduce the gross credit risk exposure related to the swaps.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with financial assets subject to a master derivatives arrangement is further reduced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agreements to the extent that payments and receipts with the counterparty are netted at settlement.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reduction in exposure as a result of these netting provisions can vary due to the impact of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conditions on existing and new transactions. For more information on netting and offsetting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provisions, see Note F—Derivative Instruments.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is a summary of the collateral received by IBRD for swap transactions: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C4: Collateral received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520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520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48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46" w:lineRule="exact" w:before="18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Securities Financing Activities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may engage in securities lending and repurchases, against adequate collateral, as well as secured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and reverse repurchases (resales) of government and agency obligations, corporate securities,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 and Mortgage-backed securities (MBS). These transactions, if any, are conducted under legally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enforceable master netting arrangements, which allow IBRD to reduce its gross credit exposure related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transactions. IBRD presents its securities lending and repurchases, as well as resales, on a gross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basis on the Balance Sheets. As of June 30, 2025, there  were no amounts that could potentially be offset </w:t>
      </w:r>
      <w:r>
        <w:rPr>
          <w:rFonts w:ascii="ArialMT" w:hAnsi="ArialMT" w:eastAsia="ArialMT"/>
          <w:b w:val="0"/>
          <w:i w:val="0"/>
          <w:color w:val="000000"/>
          <w:sz w:val="20"/>
        </w:rPr>
        <w:t>as a result of legally enforceable master netting arrangements ($59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lending and repurchase agreements expose IBRD to several risks, including counterparty risk,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reinvestment risk, and risk of a collateral gap (due to increases or decrease in the fair value of collateral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pledged). IBRD has procedures in place to ensure that trading activity and balances under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are below predefined counterparty and maturity limits, and to actively manage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counterparty exposure, after collateral, using daily market values. Whenever the collateral pledged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related to its borrowings under repurchase agreements and securities lending agreements declines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>in value, the transaction is re-priced as appropriate by returning cash or pledging additional collateral.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of securities by IBRD to counterparties are not accounted for as sales as the accounting criteria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treatment as a sale have not been met. Counterparties are permitted to repledge these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until the repurchase date.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liabilities relating to securities transferred under repurchase or securities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were $312 million ($256 million—June 30, 2024) and there were no unsettled trades relating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repurchase or securities lending agreements (Nil —June 30, 2024). There were no replacement trades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 into in anticipation of maturing trades of a similar amount (Nil—June 30, 2024).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2025 an</w:t>
      </w:r>
      <w:r>
        <w:rPr>
          <w:rFonts w:ascii="ArialMT" w:hAnsi="ArialMT" w:eastAsia="ArialMT"/>
          <w:b w:val="0"/>
          <w:i w:val="0"/>
          <w:color w:val="000000"/>
          <w:sz w:val="20"/>
        </w:rPr>
        <w:t>d June 30, 2024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the remaining contractual maturity of these agreements was up to 30 days. The 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99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109</w:t>
      </w:r>
    </w:p>
    <w:p>
      <w:pPr>
        <w:sectPr>
          <w:pgSz w:w="12240" w:h="15840"/>
          <w:pgMar w:top="700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transferred were mainly comprised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and agency obligations, equity securities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sovereign debt.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case of resale agreements, IBRD receives collateral in the form of liquid securities and is permitted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repledge these securities. While these transactions are legally considered to be true purchases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sales, the securities received are not recorded on IBRD’s Balance Sheets as the accounting criteria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treatment as a sale have not been met. As of June 30, 2025 and June 30, 2024, there were no unsettled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trades pertaining to securities purchased under resale agreements. For resale agreements,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securities with a fair value of $15 million as of June 30, 2025 ($79 million—June 30, 2024).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 and June 30, 2024, none of these securities had been transferred under repurchase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security lending agreements.</w:t>
      </w:r>
    </w:p>
    <w:p>
      <w:pPr>
        <w:autoSpaceDN w:val="0"/>
        <w:autoSpaceDE w:val="0"/>
        <w:widowControl/>
        <w:spacing w:line="314" w:lineRule="exact" w:before="4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loans and other exposures (collectively, “exposures”) are generally made to, or guaranteed by,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 of IBRD. In addition, IBRD may also make loans to the International Finance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Corporation (I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FC), an affiliated organization, without any guarantee. Other exposures include signed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commitments such as Deferred Drawdown Options (DDOs) and irrevocable commitments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guarantees. As of June 30, 2025, all of IBRD’s loans were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derivatives to manage the currency risk and the interest rate risk between its loans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borrowings. For details regarding derivatives used in the loan portfolio, see Note F—Derivative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Instruments.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majority of IBRD’s loans outstanding are denominated in U.S. dollars (78%) and euro (20%).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excludes the interest receivable balance from the amortized cost basis and from the 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disclosures. Accrued interest receivable on loans of $3,297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($3,706 million—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2024) is included in Receivables- Accrued income on loans and guarantee fees receivable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Sheets.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0.5% of IBRD’s loans were in nonaccrual status and related to two borrowers (see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D6: Loans in nonaccrual status). The total accumulated provision for losses on loans in accrual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status and nonaccrual status accounted for 0.8% of the total loan portfolio. Based on IBRD’s internal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credit quality indicators, the majority of loans outstanding are in the medium-risk or high-risk classes.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554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summary of IBRD’s loans outstanding by currency and by interest rate characteristics (fixed or variable)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as follows: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D1: Loans outstanding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currency and interest rate structure</w:t>
      </w:r>
    </w:p>
    <w:p>
      <w:pPr>
        <w:autoSpaceDN w:val="0"/>
        <w:tabs>
          <w:tab w:pos="5188" w:val="left"/>
        </w:tabs>
        <w:autoSpaceDE w:val="0"/>
        <w:widowControl/>
        <w:spacing w:line="196" w:lineRule="exact" w:before="66" w:after="4"/>
        <w:ind w:left="10" w:right="345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dollars, except as otherwise noted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2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trHeight w:hRule="exact" w:val="180"/>
        </w:trPr>
        <w:tc>
          <w:tcPr>
            <w:tcW w:type="dxa" w:w="329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U.S. dollars</w:t>
            </w:r>
          </w:p>
        </w:tc>
        <w:tc>
          <w:tcPr>
            <w:tcW w:type="dxa" w:w="132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Euro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Japanese Yen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Others</w:t>
            </w:r>
          </w:p>
        </w:tc>
        <w:tc>
          <w:tcPr>
            <w:tcW w:type="dxa" w:w="13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Loans Outstanding</w:t>
            </w:r>
          </w:p>
        </w:tc>
        <w:tc>
          <w:tcPr>
            <w:tcW w:type="dxa" w:w="67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261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2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6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4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4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67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Multicurrency terms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 xml:space="preserve"> a</w:t>
            </w:r>
          </w:p>
        </w:tc>
        <w:tc>
          <w:tcPr>
            <w:tcW w:type="dxa" w:w="44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15 </w:t>
            </w:r>
          </w:p>
        </w:tc>
        <w:tc>
          <w:tcPr>
            <w:tcW w:type="dxa" w:w="2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402 </w:t>
            </w:r>
          </w:p>
        </w:tc>
        <w:tc>
          <w:tcPr>
            <w:tcW w:type="dxa" w:w="3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 </w:t>
            </w:r>
          </w:p>
        </w:tc>
        <w:tc>
          <w:tcPr>
            <w:tcW w:type="dxa" w:w="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 </w:t>
            </w:r>
          </w:p>
        </w:tc>
        <w:tc>
          <w:tcPr>
            <w:tcW w:type="dxa" w:w="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9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22 </w:t>
            </w:r>
          </w:p>
        </w:tc>
        <w:tc>
          <w:tcPr>
            <w:tcW w:type="dxa" w:w="2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413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435 </w:t>
            </w:r>
          </w:p>
        </w:tc>
      </w:tr>
      <w:tr>
        <w:trPr>
          <w:trHeight w:hRule="exact" w:val="207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9.89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7.25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7.36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7.36 </w:t>
            </w:r>
          </w:p>
        </w:tc>
        <w:tc>
          <w:tcPr>
            <w:tcW w:type="dxa" w:w="1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7.41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7.26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7.26 </w:t>
            </w:r>
          </w:p>
        </w:tc>
      </w:tr>
      <w:tr>
        <w:trPr>
          <w:trHeight w:hRule="exact" w:val="27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Average Maturity (years)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c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0.11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0.62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0.62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0.29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0.01 </w:t>
            </w:r>
          </w:p>
        </w:tc>
      </w:tr>
      <w:tr>
        <w:trPr>
          <w:trHeight w:hRule="exact" w:val="242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Variable-spread terms</w:t>
            </w:r>
          </w:p>
        </w:tc>
        <w:tc>
          <w:tcPr>
            <w:tcW w:type="dxa" w:w="4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$ 178,794 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$ 36,763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1,869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2,133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$ 219,559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$ 219,559 </w:t>
            </w:r>
          </w:p>
        </w:tc>
      </w:tr>
      <w:tr>
        <w:trPr>
          <w:trHeight w:hRule="exact" w:val="20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Weighted average rate (%)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 xml:space="preserve"> 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5.45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3.01 </w:t>
            </w:r>
          </w:p>
        </w:tc>
        <w:tc>
          <w:tcPr>
            <w:tcW w:type="dxa" w:w="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1.00 </w:t>
            </w:r>
          </w:p>
        </w:tc>
        <w:tc>
          <w:tcPr>
            <w:tcW w:type="dxa" w:w="1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9.41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5.04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5.04 </w:t>
            </w:r>
          </w:p>
        </w:tc>
      </w:tr>
      <w:tr>
        <w:trPr>
          <w:trHeight w:hRule="exact" w:val="33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8.74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8.55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8.17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6.28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8.68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8.68 </w:t>
            </w:r>
          </w:p>
        </w:tc>
      </w:tr>
      <w:tr>
        <w:trPr>
          <w:trHeight w:hRule="exact" w:val="314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Fixed-spread terms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17,250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$ 23,172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$ 13,147 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8,074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690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380 </w:t>
            </w:r>
          </w:p>
        </w:tc>
        <w:tc>
          <w:tcPr>
            <w:tcW w:type="dxa" w:w="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383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$ 30,777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$ 32,319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$ 63,096 </w:t>
            </w:r>
          </w:p>
        </w:tc>
      </w:tr>
      <w:tr>
        <w:trPr>
          <w:trHeight w:hRule="exact" w:val="20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3.26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5.88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2.11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3.26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1.04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9.54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8.03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2.85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5.15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4.03 </w:t>
            </w:r>
          </w:p>
        </w:tc>
      </w:tr>
      <w:tr>
        <w:trPr>
          <w:trHeight w:hRule="exact" w:val="190"/>
        </w:trPr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7.10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8.40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9.10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6.62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3.76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9.13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6.67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7.98 </w:t>
            </w:r>
          </w:p>
        </w:tc>
        <w:tc>
          <w:tcPr>
            <w:tcW w:type="dxa" w:w="6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7.83 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7.90 </w:t>
            </w:r>
          </w:p>
        </w:tc>
      </w:tr>
      <w:tr>
        <w:trPr>
          <w:trHeight w:hRule="exact" w:val="170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3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5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17,265 </w:t>
            </w:r>
          </w:p>
        </w:tc>
        <w:tc>
          <w:tcPr>
            <w:tcW w:type="dxa" w:w="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$ 202,368 </w:t>
            </w:r>
          </w:p>
        </w:tc>
        <w:tc>
          <w:tcPr>
            <w:tcW w:type="dxa" w:w="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$ 13,150 </w:t>
            </w:r>
          </w:p>
        </w:tc>
        <w:tc>
          <w:tcPr>
            <w:tcW w:type="dxa" w:w="64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$ 44,844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2,563 </w:t>
            </w:r>
          </w:p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380 </w:t>
            </w:r>
          </w:p>
        </w:tc>
        <w:tc>
          <w:tcPr>
            <w:tcW w:type="dxa" w:w="2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2,516 </w:t>
            </w:r>
          </w:p>
        </w:tc>
        <w:tc>
          <w:tcPr>
            <w:tcW w:type="dxa" w:w="7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$ 30,799 </w:t>
            </w:r>
          </w:p>
        </w:tc>
        <w:tc>
          <w:tcPr>
            <w:tcW w:type="dxa" w:w="6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$ 252,291 </w:t>
            </w:r>
          </w:p>
        </w:tc>
        <w:tc>
          <w:tcPr>
            <w:tcW w:type="dxa" w:w="6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$ 283,090 </w:t>
            </w:r>
          </w:p>
        </w:tc>
      </w:tr>
      <w:tr>
        <w:trPr>
          <w:trHeight w:hRule="exact" w:val="18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3.27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5.50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2.11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3.06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1.02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9.54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9.20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2.85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5.06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4.82 </w:t>
            </w:r>
          </w:p>
        </w:tc>
      </w:tr>
      <w:tr>
        <w:trPr>
          <w:trHeight w:hRule="exact" w:val="190"/>
        </w:trPr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7.09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8.68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9.10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8.20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0.62 </w:t>
            </w:r>
          </w:p>
        </w:tc>
        <w:tc>
          <w:tcPr>
            <w:tcW w:type="dxa" w:w="650"/>
            <w:gridSpan w:val="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6.97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9.13 </w:t>
            </w:r>
          </w:p>
        </w:tc>
        <w:tc>
          <w:tcPr>
            <w:tcW w:type="dxa" w:w="640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6.34 </w:t>
            </w:r>
          </w:p>
        </w:tc>
        <w:tc>
          <w:tcPr>
            <w:tcW w:type="dxa" w:w="70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7.97 </w:t>
            </w:r>
          </w:p>
        </w:tc>
        <w:tc>
          <w:tcPr>
            <w:tcW w:type="dxa" w:w="65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8.56 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8.49 </w:t>
            </w:r>
          </w:p>
        </w:tc>
      </w:tr>
      <w:tr>
        <w:trPr>
          <w:trHeight w:hRule="exact" w:val="150"/>
        </w:trPr>
        <w:tc>
          <w:tcPr>
            <w:tcW w:type="dxa" w:w="4610"/>
            <w:gridSpan w:val="11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$ 283,090 </w:t>
            </w:r>
          </w:p>
        </w:tc>
      </w:tr>
      <w:tr>
        <w:trPr>
          <w:trHeight w:hRule="exact" w:val="210"/>
        </w:trPr>
        <w:tc>
          <w:tcPr>
            <w:tcW w:type="dxa" w:w="4610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Less accumulated provision for loan losses and deferred loan income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3,047 </w:t>
            </w:r>
          </w:p>
        </w:tc>
      </w:tr>
      <w:tr>
        <w:trPr>
          <w:trHeight w:hRule="exact" w:val="204"/>
        </w:trPr>
        <w:tc>
          <w:tcPr>
            <w:tcW w:type="dxa" w:w="4610"/>
            <w:gridSpan w:val="11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Net loans outstanding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$ 280,043 </w:t>
            </w:r>
          </w:p>
        </w:tc>
      </w:tr>
    </w:tbl>
    <w:p>
      <w:pPr>
        <w:autoSpaceDN w:val="0"/>
        <w:autoSpaceDE w:val="0"/>
        <w:widowControl/>
        <w:spacing w:line="222" w:lineRule="exact" w:before="37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D1.1</w:t>
      </w:r>
    </w:p>
    <w:p>
      <w:pPr>
        <w:autoSpaceDN w:val="0"/>
        <w:tabs>
          <w:tab w:pos="5952" w:val="left"/>
        </w:tabs>
        <w:autoSpaceDE w:val="0"/>
        <w:widowControl/>
        <w:spacing w:line="180" w:lineRule="exact" w:before="84" w:after="18"/>
        <w:ind w:left="10" w:right="2592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 xml:space="preserve">In millions of U.S. dollars, except as otherwise noted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2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hRule="exact" w:val="180"/>
        </w:trPr>
        <w:tc>
          <w:tcPr>
            <w:tcW w:type="dxa" w:w="3830"/>
            <w:gridSpan w:val="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9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U.S. dollars</w:t>
            </w:r>
          </w:p>
        </w:tc>
        <w:tc>
          <w:tcPr>
            <w:tcW w:type="dxa" w:w="7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Euro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Japanese Yen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Others</w:t>
            </w:r>
          </w:p>
        </w:tc>
        <w:tc>
          <w:tcPr>
            <w:tcW w:type="dxa" w:w="1348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Loans Outstanding</w:t>
            </w:r>
          </w:p>
        </w:tc>
        <w:tc>
          <w:tcPr>
            <w:tcW w:type="dxa" w:w="67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249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82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51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7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80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5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7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70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1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Multicurrency terms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a</w:t>
            </w:r>
          </w:p>
        </w:tc>
        <w:tc>
          <w:tcPr>
            <w:tcW w:type="dxa" w:w="35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21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402 </w:t>
            </w:r>
          </w:p>
        </w:tc>
        <w:tc>
          <w:tcPr>
            <w:tcW w:type="dxa" w:w="302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 </w:t>
            </w:r>
          </w:p>
        </w:tc>
        <w:tc>
          <w:tcPr>
            <w:tcW w:type="dxa" w:w="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5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20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 </w:t>
            </w:r>
          </w:p>
        </w:tc>
        <w:tc>
          <w:tcPr>
            <w:tcW w:type="dxa" w:w="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33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412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445 </w:t>
            </w:r>
          </w:p>
        </w:tc>
      </w:tr>
      <w:tr>
        <w:trPr>
          <w:trHeight w:hRule="exact" w:val="201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8.37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2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6.32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</w:tr>
      <w:tr>
        <w:trPr>
          <w:trHeight w:hRule="exact" w:val="27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Average Maturity (years)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c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0.39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1.12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1.09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134" w:lineRule="exact" w:before="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0.65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0.05 </w:t>
            </w:r>
          </w:p>
        </w:tc>
      </w:tr>
      <w:tr>
        <w:trPr>
          <w:trHeight w:hRule="exact" w:val="248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Variable-spread terms</w:t>
            </w: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$ 167,948 </w:t>
            </w:r>
          </w:p>
        </w:tc>
        <w:tc>
          <w:tcPr>
            <w:tcW w:type="dxa" w:w="2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$ 28,782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1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334 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$ 2,544 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$ 199,608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$ 199,608 </w:t>
            </w:r>
          </w:p>
        </w:tc>
      </w:tr>
      <w:tr>
        <w:trPr>
          <w:trHeight w:hRule="exact" w:val="202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6.35 </w:t>
            </w:r>
          </w:p>
        </w:tc>
        <w:tc>
          <w:tcPr>
            <w:tcW w:type="dxa" w:w="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4.40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0.84 </w:t>
            </w:r>
          </w:p>
        </w:tc>
        <w:tc>
          <w:tcPr>
            <w:tcW w:type="dxa" w:w="1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10.13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6.11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6.11 </w:t>
            </w:r>
          </w:p>
        </w:tc>
      </w:tr>
      <w:tr>
        <w:trPr>
          <w:trHeight w:hRule="exact" w:val="27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8.52 </w:t>
            </w:r>
          </w:p>
        </w:tc>
        <w:tc>
          <w:tcPr>
            <w:tcW w:type="dxa" w:w="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7.97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6.69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6.15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8.41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8.41 </w:t>
            </w:r>
          </w:p>
        </w:tc>
      </w:tr>
      <w:tr>
        <w:trPr>
          <w:trHeight w:hRule="exact" w:val="248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Fixed-spread terms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$ 18,351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$ 23,792 </w:t>
            </w:r>
          </w:p>
        </w:tc>
        <w:tc>
          <w:tcPr>
            <w:tcW w:type="dxa" w:w="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$ 12,429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$ 7,132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*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711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297 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425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$ 31,077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$ 32,060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$ 63,137 </w:t>
            </w:r>
          </w:p>
        </w:tc>
      </w:tr>
      <w:tr>
        <w:trPr>
          <w:trHeight w:hRule="exact" w:val="18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3.30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6.88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2.08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4.77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0.64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8.67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10.51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2.86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6.32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4.62 </w:t>
            </w:r>
          </w:p>
        </w:tc>
      </w:tr>
      <w:tr>
        <w:trPr>
          <w:trHeight w:hRule="exact" w:val="19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7.63 </w:t>
            </w:r>
          </w:p>
        </w:tc>
        <w:tc>
          <w:tcPr>
            <w:tcW w:type="dxa" w:w="918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8.96 </w:t>
            </w:r>
          </w:p>
        </w:tc>
        <w:tc>
          <w:tcPr>
            <w:tcW w:type="dxa" w:w="422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9.59 </w:t>
            </w:r>
          </w:p>
        </w:tc>
        <w:tc>
          <w:tcPr>
            <w:tcW w:type="dxa" w:w="7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7.14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4.18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8.27 </w:t>
            </w:r>
          </w:p>
        </w:tc>
        <w:tc>
          <w:tcPr>
            <w:tcW w:type="dxa" w:w="6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7.17 </w:t>
            </w:r>
          </w:p>
        </w:tc>
        <w:tc>
          <w:tcPr>
            <w:tcW w:type="dxa" w:w="5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8.42 </w:t>
            </w:r>
          </w:p>
        </w:tc>
        <w:tc>
          <w:tcPr>
            <w:tcW w:type="dxa" w:w="7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8.43 </w:t>
            </w:r>
          </w:p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8.43 </w:t>
            </w:r>
          </w:p>
        </w:tc>
      </w:tr>
      <w:tr>
        <w:trPr>
          <w:trHeight w:hRule="exact" w:val="166"/>
        </w:trPr>
        <w:tc>
          <w:tcPr>
            <w:tcW w:type="dxa" w:w="1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6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$ 18,372 </w:t>
            </w:r>
          </w:p>
        </w:tc>
        <w:tc>
          <w:tcPr>
            <w:tcW w:type="dxa" w:w="82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$ 192,142 </w:t>
            </w:r>
          </w:p>
        </w:tc>
        <w:tc>
          <w:tcPr>
            <w:tcW w:type="dxa" w:w="514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$ 12,437 </w:t>
            </w:r>
          </w:p>
        </w:tc>
        <w:tc>
          <w:tcPr>
            <w:tcW w:type="dxa" w:w="7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$ 35,921 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80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2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$ 1,048 </w:t>
            </w:r>
          </w:p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297 </w:t>
            </w:r>
          </w:p>
        </w:tc>
        <w:tc>
          <w:tcPr>
            <w:tcW w:type="dxa" w:w="6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$ 2,969 </w:t>
            </w:r>
          </w:p>
        </w:tc>
        <w:tc>
          <w:tcPr>
            <w:tcW w:type="dxa" w:w="5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$ 31,110 </w:t>
            </w:r>
          </w:p>
        </w:tc>
        <w:tc>
          <w:tcPr>
            <w:tcW w:type="dxa" w:w="7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$ 232,080 </w:t>
            </w:r>
          </w:p>
        </w:tc>
        <w:tc>
          <w:tcPr>
            <w:tcW w:type="dxa" w:w="67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$ 263,190 </w:t>
            </w:r>
          </w:p>
        </w:tc>
      </w:tr>
      <w:tr>
        <w:trPr>
          <w:trHeight w:hRule="exact" w:val="18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3.30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6.41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2.08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4.47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0.72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8.67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10.19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2.86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6.14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5.75 </w:t>
            </w:r>
          </w:p>
        </w:tc>
      </w:tr>
      <w:tr>
        <w:trPr>
          <w:trHeight w:hRule="exact" w:val="19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7.63 </w:t>
            </w:r>
          </w:p>
        </w:tc>
        <w:tc>
          <w:tcPr>
            <w:tcW w:type="dxa" w:w="918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8.56 </w:t>
            </w:r>
          </w:p>
        </w:tc>
        <w:tc>
          <w:tcPr>
            <w:tcW w:type="dxa" w:w="422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9.59 </w:t>
            </w:r>
          </w:p>
        </w:tc>
        <w:tc>
          <w:tcPr>
            <w:tcW w:type="dxa" w:w="7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7.80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1.09 </w:t>
            </w:r>
          </w:p>
        </w:tc>
        <w:tc>
          <w:tcPr>
            <w:tcW w:type="dxa" w:w="804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4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4.97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8.27 </w:t>
            </w:r>
          </w:p>
        </w:tc>
        <w:tc>
          <w:tcPr>
            <w:tcW w:type="dxa" w:w="696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6.29 </w:t>
            </w:r>
          </w:p>
        </w:tc>
        <w:tc>
          <w:tcPr>
            <w:tcW w:type="dxa" w:w="56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8.42 </w:t>
            </w:r>
          </w:p>
        </w:tc>
        <w:tc>
          <w:tcPr>
            <w:tcW w:type="dxa" w:w="7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8.39 </w:t>
            </w:r>
          </w:p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8.40 </w:t>
            </w:r>
          </w:p>
        </w:tc>
      </w:tr>
      <w:tr>
        <w:trPr>
          <w:trHeight w:hRule="exact" w:val="146"/>
        </w:trPr>
        <w:tc>
          <w:tcPr>
            <w:tcW w:type="dxa" w:w="4626"/>
            <w:gridSpan w:val="1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$ 263,190 </w:t>
            </w:r>
          </w:p>
        </w:tc>
      </w:tr>
      <w:tr>
        <w:trPr>
          <w:trHeight w:hRule="exact" w:val="214"/>
        </w:trPr>
        <w:tc>
          <w:tcPr>
            <w:tcW w:type="dxa" w:w="4626"/>
            <w:gridSpan w:val="1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Less accumulated provision for loan losses and deferred loan income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2,954 </w:t>
            </w:r>
          </w:p>
        </w:tc>
      </w:tr>
      <w:tr>
        <w:trPr>
          <w:trHeight w:hRule="exact" w:val="206"/>
        </w:trPr>
        <w:tc>
          <w:tcPr>
            <w:tcW w:type="dxa" w:w="4626"/>
            <w:gridSpan w:val="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Net loans outstanding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$ 260,236 </w:t>
            </w:r>
          </w:p>
        </w:tc>
      </w:tr>
    </w:tbl>
    <w:p>
      <w:pPr>
        <w:autoSpaceDN w:val="0"/>
        <w:autoSpaceDE w:val="0"/>
        <w:widowControl/>
        <w:spacing w:line="180" w:lineRule="exact" w:before="160" w:after="0"/>
        <w:ind w:left="62" w:right="4032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 xml:space="preserve">a. Variable rates for multicurrency loans are based on the weighted average cost of allocated debt. </w:t>
      </w:r>
      <w:r>
        <w:rPr>
          <w:rFonts w:ascii="Arial" w:hAnsi="Arial" w:eastAsia="Arial"/>
          <w:b w:val="0"/>
          <w:i/>
          <w:color w:val="000000"/>
          <w:sz w:val="12"/>
        </w:rPr>
        <w:t>b. Excludes effects of any waivers of loan interest.</w:t>
      </w:r>
    </w:p>
    <w:p>
      <w:pPr>
        <w:autoSpaceDN w:val="0"/>
        <w:autoSpaceDE w:val="0"/>
        <w:widowControl/>
        <w:spacing w:line="194" w:lineRule="exact" w:before="2" w:after="0"/>
        <w:ind w:left="62" w:right="5184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 xml:space="preserve">c. For loans past their repayment maturity, average maturity is not computed. </w:t>
      </w:r>
      <w:r>
        <w:br/>
      </w:r>
      <w:r>
        <w:rPr>
          <w:rFonts w:ascii="Arial" w:hAnsi="Arial" w:eastAsia="Arial"/>
          <w:b w:val="0"/>
          <w:i/>
          <w:color w:val="000000"/>
          <w:sz w:val="12"/>
        </w:rPr>
        <w:t>* Indicates amount less than $0.5 million.</w:t>
      </w:r>
    </w:p>
    <w:p>
      <w:pPr>
        <w:autoSpaceDN w:val="0"/>
        <w:tabs>
          <w:tab w:pos="9014" w:val="left"/>
        </w:tabs>
        <w:autoSpaceDE w:val="0"/>
        <w:widowControl/>
        <w:spacing w:line="224" w:lineRule="exact" w:before="284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111</w:t>
      </w: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maturity structure of IBRD’s loans is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D2: Loans maturity structure </w:t>
      </w:r>
    </w:p>
    <w:p>
      <w:pPr>
        <w:autoSpaceDN w:val="0"/>
        <w:tabs>
          <w:tab w:pos="5182" w:val="left"/>
        </w:tabs>
        <w:autoSpaceDE w:val="0"/>
        <w:widowControl/>
        <w:spacing w:line="180" w:lineRule="exact" w:before="82" w:after="0"/>
        <w:ind w:left="10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p>
      <w:pPr>
        <w:autoSpaceDN w:val="0"/>
        <w:autoSpaceDE w:val="0"/>
        <w:widowControl/>
        <w:spacing w:line="178" w:lineRule="exact" w:before="170" w:after="6"/>
        <w:ind w:left="0" w:right="164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Greater than 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8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Terms/Rate Type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1 year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 to 5 years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6-15 years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0" w:after="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Multicurrency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168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</w:tr>
      <w:tr>
        <w:trPr>
          <w:trHeight w:hRule="exact" w:val="60"/>
        </w:trPr>
        <w:tc>
          <w:tcPr>
            <w:tcW w:type="dxa" w:w="2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413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413 </w:t>
            </w:r>
          </w:p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Variable-spread terms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60"/>
        </w:trPr>
        <w:tc>
          <w:tcPr>
            <w:tcW w:type="dxa" w:w="2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11,329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63,813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111,412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33,005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219,559 </w:t>
            </w:r>
          </w:p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Fixed-spread terms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2,418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7,034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18,620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2,705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30,777 </w:t>
            </w:r>
          </w:p>
        </w:tc>
      </w:tr>
      <w:tr>
        <w:trPr>
          <w:trHeight w:hRule="exact" w:val="60"/>
        </w:trPr>
        <w:tc>
          <w:tcPr>
            <w:tcW w:type="dxa" w:w="21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2,527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10,729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15,004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4,059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32,319 </w:t>
            </w:r>
          </w:p>
        </w:tc>
      </w:tr>
      <w:tr>
        <w:trPr>
          <w:trHeight w:hRule="exact" w:val="140"/>
        </w:trPr>
        <w:tc>
          <w:tcPr>
            <w:tcW w:type="dxa" w:w="21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 Loans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2,440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7,034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18,620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2,705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30,799 </w:t>
            </w:r>
          </w:p>
        </w:tc>
      </w:tr>
      <w:tr>
        <w:trPr>
          <w:trHeight w:hRule="exact" w:val="60"/>
        </w:trPr>
        <w:tc>
          <w:tcPr>
            <w:tcW w:type="dxa" w:w="21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14,269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74,542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126,416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37,064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252,291 </w:t>
            </w:r>
          </w:p>
        </w:tc>
      </w:tr>
      <w:tr>
        <w:trPr>
          <w:trHeight w:hRule="exact" w:val="187"/>
        </w:trPr>
        <w:tc>
          <w:tcPr>
            <w:tcW w:type="dxa" w:w="21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16,709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81,576 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145,036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39,769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283,090 </w:t>
            </w:r>
          </w:p>
        </w:tc>
      </w:tr>
    </w:tbl>
    <w:p>
      <w:pPr>
        <w:autoSpaceDN w:val="0"/>
        <w:autoSpaceDE w:val="0"/>
        <w:widowControl/>
        <w:spacing w:line="222" w:lineRule="exact" w:before="384" w:after="4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D2.1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723"/>
        <w:gridCol w:w="4723"/>
      </w:tblGrid>
      <w:tr>
        <w:trPr>
          <w:trHeight w:hRule="exact" w:val="432"/>
        </w:trPr>
        <w:tc>
          <w:tcPr>
            <w:tcW w:type="dxa" w:w="2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72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124" w:after="8"/>
        <w:ind w:left="0" w:right="162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Greater than 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8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Terms/Rate Type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1 year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 to 5 years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 to 15 years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0" w:after="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Multicurrency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17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</w:tr>
      <w:tr>
        <w:trPr>
          <w:trHeight w:hRule="exact" w:val="141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412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412 </w:t>
            </w:r>
          </w:p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Variable-spread terms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219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141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12,034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56,517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104,736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26,321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199,608 </w:t>
            </w:r>
          </w:p>
        </w:tc>
      </w:tr>
      <w:tr>
        <w:trPr>
          <w:trHeight w:hRule="exact" w:val="18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Fixed-spread terms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</w:tr>
      <w:tr>
        <w:trPr>
          <w:trHeight w:hRule="exact" w:val="219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1,719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7,038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18,107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4,213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31,077 </w:t>
            </w:r>
          </w:p>
        </w:tc>
      </w:tr>
      <w:tr>
        <w:trPr>
          <w:trHeight w:hRule="exact" w:val="171"/>
        </w:trPr>
        <w:tc>
          <w:tcPr>
            <w:tcW w:type="dxa" w:w="21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2,018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9,391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16,040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4,611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32,060 </w:t>
            </w:r>
          </w:p>
        </w:tc>
      </w:tr>
      <w:tr>
        <w:trPr>
          <w:trHeight w:hRule="exact" w:val="150"/>
        </w:trPr>
        <w:tc>
          <w:tcPr>
            <w:tcW w:type="dxa" w:w="21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 Loans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1,743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7,047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18,107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4,213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31,110 </w:t>
            </w:r>
          </w:p>
        </w:tc>
      </w:tr>
      <w:tr>
        <w:trPr>
          <w:trHeight w:hRule="exact" w:val="181"/>
        </w:trPr>
        <w:tc>
          <w:tcPr>
            <w:tcW w:type="dxa" w:w="21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14,464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65,908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120,776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30,932 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232,080 </w:t>
            </w:r>
          </w:p>
        </w:tc>
      </w:tr>
      <w:tr>
        <w:trPr>
          <w:trHeight w:hRule="exact" w:val="194"/>
        </w:trPr>
        <w:tc>
          <w:tcPr>
            <w:tcW w:type="dxa" w:w="21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16,207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72,955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138,883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35,145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68" w:lineRule="exact" w:before="3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Quality of Sovereign Exposures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Sovereign loans constitute the substantial majority of IBRD's exposures.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country risk ratings are an assessment of its borrowers’ ability and willingness to repay IBRD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 and in full. These ratings are internal credit quality indicators. Individual country risk ratings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derived on the basis of both quantitative and qualitative analysis. The components considered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analysis can be grouped broadly into eight categories: political risk, external debt and liquidity,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policy and public debt burden, balance of payments risks, economic structure and growth prospects,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monetary and exchange rate policy, financial sector risks, and corporate sector debt and vulnerabilities.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analysis also takes into account Environmental, Social, and Governance (ESG) factors.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the borrower risk ratings, IBRD classifies loans into three credit quality categories—Low Risk,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Medium Risk, and High Risk. These categories, which are described below, are intended to differentiate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varying levels of borrower credit risk and the associated likelihood of non-timely debt service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>across IBRD’s loan portfolio.</w:t>
      </w:r>
    </w:p>
    <w:p>
      <w:pPr>
        <w:autoSpaceDN w:val="0"/>
        <w:autoSpaceDE w:val="0"/>
        <w:widowControl/>
        <w:spacing w:line="216" w:lineRule="exact" w:before="166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Low Risk</w:t>
      </w:r>
      <w:r>
        <w:rPr>
          <w:rFonts w:ascii="ArialMT" w:hAnsi="ArialMT" w:eastAsia="ArialMT"/>
          <w:b w:val="0"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in this group generally exhibit strong credit characteristics with minimal uncertainty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around repayment. Borrowers in this category typically demonstrate solid financial performance,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and stable cash flows, and a history of timely debt service. The likelihood of non-timely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service is considered low.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68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p>
      <w:pPr>
        <w:autoSpaceDN w:val="0"/>
        <w:autoSpaceDE w:val="0"/>
        <w:widowControl/>
        <w:spacing w:line="218" w:lineRule="exact" w:before="4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Medium Risk</w:t>
      </w:r>
      <w:r>
        <w:rPr>
          <w:rFonts w:ascii="ArialMT" w:hAnsi="ArialMT" w:eastAsia="ArialMT"/>
          <w:b w:val="0"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in this group display satisfactory credit profiles, but may be subject to moderate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factors, such as country-specific volatility or operational challenges. Borrowers in this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usually exhibit adequate financial performance, though their resilience to adverse conditions may be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>limited. The likelihood of non-timely debt service is considered moderate to low.</w:t>
      </w:r>
    </w:p>
    <w:p>
      <w:pPr>
        <w:autoSpaceDN w:val="0"/>
        <w:autoSpaceDE w:val="0"/>
        <w:widowControl/>
        <w:spacing w:line="214" w:lineRule="exact" w:before="278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High Risk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in this category exhibit signs of elevated credit risk. Borrowers in this category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show weak or deteriorating financial indicators, irregular or delayed payment history, or limited capacity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absorb external shocks. While these loans remain on accrual status, the likelihood of non-timely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service is considered heightened.</w:t>
      </w:r>
    </w:p>
    <w:p>
      <w:pPr>
        <w:autoSpaceDN w:val="0"/>
        <w:autoSpaceDE w:val="0"/>
        <w:widowControl/>
        <w:spacing w:line="240" w:lineRule="exact" w:before="22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borrowers’ country risk ratings are key determinants in the provision for losses. Country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ratings are grouped in pools of borrowers with similar credit ratings for the purpose of the calculation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expected credit losses. Exposure for certain countries in accrual status may be individually assessed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the basis that they do not share common risk characteristics with an existing pool of exposures.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for countries in nonaccrual status are individually assessed. Country risk ratings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determined in review meetings that take place several times a year. All countries are reviewed at least </w:t>
      </w:r>
      <w:r>
        <w:rPr>
          <w:rFonts w:ascii="ArialMT" w:hAnsi="ArialMT" w:eastAsia="ArialMT"/>
          <w:b w:val="0"/>
          <w:i w:val="0"/>
          <w:color w:val="000000"/>
          <w:sz w:val="20"/>
        </w:rPr>
        <w:t>once a year, or more frequently, if circumstances warrant, to determine the appropriate ratings.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assessment was also performed to determine whether a qualitative adjustment of the loan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was needed as of June 30, 2025, including consideration of global and macroeconomic events.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concluded that a qualitative adjustment beyond the regular application of IBRD’s loan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provision framework was not warranted.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considers loans to be past due when a borrower fails to make payment on any principal, interest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other charges due to IBRD on the dates provided in the contractual loan agreement.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no principal or interest are overdue by more than three months for loans in accrual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status.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tables provide an aging analysis and amounts past due of the loans outstanding: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D3: Loans outstanding aging structure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2"/>
        </w:trPr>
        <w:tc>
          <w:tcPr>
            <w:tcW w:type="dxa" w:w="22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9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8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Past </w:t>
            </w:r>
          </w:p>
        </w:tc>
        <w:tc>
          <w:tcPr>
            <w:tcW w:type="dxa" w:w="8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8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</w:tr>
      <w:tr>
        <w:trPr>
          <w:trHeight w:hRule="exact" w:val="222"/>
        </w:trPr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23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5,903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5,903 </w:t>
            </w:r>
          </w:p>
        </w:tc>
        <w:tc>
          <w:tcPr>
            <w:tcW w:type="dxa" w:w="1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130,396 </w:t>
            </w:r>
          </w:p>
        </w:tc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130,396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2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145,340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145,354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2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9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281,639 </w:t>
            </w:r>
          </w:p>
        </w:tc>
        <w:tc>
          <w:tcPr>
            <w:tcW w:type="dxa" w:w="8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281,653 </w:t>
            </w:r>
          </w:p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2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794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578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794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873 </w:t>
            </w:r>
          </w:p>
        </w:tc>
        <w:tc>
          <w:tcPr>
            <w:tcW w:type="dxa" w:w="92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$ 282,217 </w:t>
            </w:r>
          </w:p>
        </w:tc>
        <w:tc>
          <w:tcPr>
            <w:tcW w:type="dxa" w:w="8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$ 283,090 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</w:tr>
      <w:tr>
        <w:trPr>
          <w:trHeight w:hRule="exact" w:val="260"/>
        </w:trPr>
        <w:tc>
          <w:tcPr>
            <w:tcW w:type="dxa" w:w="2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Represents the principal amounts not yet contractually due.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b.The total amount of loans at amortized cost which contain principal past due amounts was $1,648 million.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2552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113</w:t>
      </w:r>
    </w:p>
    <w:p>
      <w:pPr>
        <w:sectPr>
          <w:pgSz w:w="12240" w:h="15840"/>
          <w:pgMar w:top="840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D3.1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0"/>
        </w:trPr>
        <w:tc>
          <w:tcPr>
            <w:tcW w:type="dxa" w:w="20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9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1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Past </w:t>
            </w:r>
          </w:p>
        </w:tc>
        <w:tc>
          <w:tcPr>
            <w:tcW w:type="dxa" w:w="9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8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</w:tr>
      <w:tr>
        <w:trPr>
          <w:trHeight w:hRule="exact" w:val="214"/>
        </w:trPr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224"/>
        </w:trPr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124,106 </w:t>
            </w:r>
          </w:p>
        </w:tc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124,106 </w:t>
            </w:r>
          </w:p>
        </w:tc>
        <w:tc>
          <w:tcPr>
            <w:tcW w:type="dxa" w:w="525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0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130,723 </w:t>
            </w:r>
          </w:p>
        </w:tc>
        <w:tc>
          <w:tcPr>
            <w:tcW w:type="dxa" w:w="94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130,739 </w:t>
            </w:r>
          </w:p>
        </w:tc>
        <w:tc>
          <w:tcPr>
            <w:tcW w:type="dxa" w:w="525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20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9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261,764 </w:t>
            </w:r>
          </w:p>
        </w:tc>
        <w:tc>
          <w:tcPr>
            <w:tcW w:type="dxa" w:w="9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261,780 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20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684 </w:t>
            </w:r>
          </w:p>
        </w:tc>
        <w:tc>
          <w:tcPr>
            <w:tcW w:type="dxa" w:w="94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  <w:tc>
          <w:tcPr>
            <w:tcW w:type="dxa" w:w="52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742 </w:t>
            </w:r>
          </w:p>
        </w:tc>
        <w:tc>
          <w:tcPr>
            <w:tcW w:type="dxa" w:w="9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$ 262,448 </w:t>
            </w:r>
          </w:p>
        </w:tc>
        <w:tc>
          <w:tcPr>
            <w:tcW w:type="dxa" w:w="9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</w:tr>
      <w:tr>
        <w:trPr>
          <w:trHeight w:hRule="exact" w:val="260"/>
        </w:trPr>
        <w:tc>
          <w:tcPr>
            <w:tcW w:type="dxa" w:w="2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Represents the principal amounts not yet contractually due.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b.The total amount of loans at amortized cost which contain principal past due amounts was $1,621 million.</w:t>
      </w:r>
    </w:p>
    <w:p>
      <w:pPr>
        <w:autoSpaceDN w:val="0"/>
        <w:autoSpaceDE w:val="0"/>
        <w:widowControl/>
        <w:spacing w:line="240" w:lineRule="exact" w:before="1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provide a summary of selected financial information related to loans in nonaccrual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status: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D4: Loans in nonaccrual status</w:t>
      </w:r>
    </w:p>
    <w:p>
      <w:pPr>
        <w:autoSpaceDN w:val="0"/>
        <w:autoSpaceDE w:val="0"/>
        <w:widowControl/>
        <w:spacing w:line="180" w:lineRule="exact" w:before="144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40"/>
        </w:trPr>
        <w:tc>
          <w:tcPr>
            <w:tcW w:type="dxa" w:w="12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2" w:after="0"/>
              <w:ind w:left="0" w:right="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0" w:right="2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260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206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Nonaccrual since</w:t>
            </w:r>
          </w:p>
        </w:tc>
        <w:tc>
          <w:tcPr>
            <w:tcW w:type="dxa" w:w="1574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260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</w:p>
        </w:tc>
      </w:tr>
      <w:tr>
        <w:trPr>
          <w:trHeight w:hRule="exact" w:val="21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losses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2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26"/>
        </w:trPr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2022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1,012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989 </w:t>
            </w:r>
          </w:p>
        </w:tc>
        <w:tc>
          <w:tcPr>
            <w:tcW w:type="dxa" w:w="13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434 </w:t>
            </w:r>
          </w:p>
        </w:tc>
        <w:tc>
          <w:tcPr>
            <w:tcW w:type="dxa" w:w="12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</w:tr>
      <w:tr>
        <w:trPr>
          <w:trHeight w:hRule="exact" w:val="254"/>
        </w:trPr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425 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213 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3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425 </w:t>
            </w:r>
          </w:p>
        </w:tc>
        <w:tc>
          <w:tcPr>
            <w:tcW w:type="dxa" w:w="12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715 </w:t>
            </w:r>
          </w:p>
        </w:tc>
      </w:tr>
      <w:tr>
        <w:trPr>
          <w:trHeight w:hRule="exact" w:val="22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2025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1,415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851 </w:t>
            </w:r>
          </w:p>
        </w:tc>
      </w:tr>
      <w:tr>
        <w:trPr>
          <w:trHeight w:hRule="exact" w:val="24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1,418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</w:tr>
    </w:tbl>
    <w:p>
      <w:pPr>
        <w:autoSpaceDN w:val="0"/>
        <w:autoSpaceDE w:val="0"/>
        <w:widowControl/>
        <w:spacing w:line="240" w:lineRule="exact" w:before="41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no loans were placed in nonaccrual status or restored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accrual status.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interest and other revenue not recognized as a result of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>being in nonaccrual status was $79 million ($80 million– June 30, 2024 and $69 million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>– June 30, 2023).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during the fiscal year ended June 30, 2025, no  interest income was recognized on loans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nonaccrual status upon receipt of payment ($4 million —June 30, 2024 and $2 million—June 30, 2023).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482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considers the signature date of a loan agreement as the best indicator of the decision point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origination process, rather than the disbursement date. The tables below disclose the balances of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outstanding, classified by the year the loan agreement was signed.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D5: Loans outstanding vintage disclosure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31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p>
      <w:pPr>
        <w:autoSpaceDN w:val="0"/>
        <w:autoSpaceDE w:val="0"/>
        <w:widowControl/>
        <w:spacing w:line="178" w:lineRule="exact" w:before="62" w:after="20"/>
        <w:ind w:left="0" w:right="433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3.9999999999998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0"/>
        </w:trPr>
        <w:tc>
          <w:tcPr>
            <w:tcW w:type="dxa" w:w="7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8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234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$ 148 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$ 5,740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5,903 </w:t>
            </w:r>
          </w:p>
        </w:tc>
      </w:tr>
      <w:tr>
        <w:trPr>
          <w:trHeight w:hRule="exact" w:val="24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7,159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8,626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9,501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7,702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10,850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83,477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449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2,632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130,396 </w:t>
            </w:r>
          </w:p>
        </w:tc>
      </w:tr>
      <w:tr>
        <w:trPr>
          <w:trHeight w:hRule="exact" w:val="246"/>
        </w:trPr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11,095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14,781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8,294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13,031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11,124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86,124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904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145,354 </w:t>
            </w:r>
          </w:p>
        </w:tc>
      </w:tr>
      <w:tr>
        <w:trPr>
          <w:trHeight w:hRule="exact" w:val="242"/>
        </w:trPr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18,269 </w:t>
            </w:r>
          </w:p>
        </w:tc>
        <w:tc>
          <w:tcPr>
            <w:tcW w:type="dxa" w:w="7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23,555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17,795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20,733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21,974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175,341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450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3,536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281,653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16"/>
        </w:trPr>
        <w:tc>
          <w:tcPr>
            <w:tcW w:type="dxa" w:w="18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</w:tr>
      <w:tr>
        <w:trPr>
          <w:trHeight w:hRule="exact" w:val="220"/>
        </w:trPr>
        <w:tc>
          <w:tcPr>
            <w:tcW w:type="dxa" w:w="18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$ 18,269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$ 23,555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$ 17,795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$ 20,733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$ 21,974 </w:t>
            </w:r>
          </w:p>
        </w:tc>
        <w:tc>
          <w:tcPr>
            <w:tcW w:type="dxa" w:w="8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$ 176,778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450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3,536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$ 283,090 </w:t>
            </w:r>
          </w:p>
        </w:tc>
      </w:tr>
    </w:tbl>
    <w:p>
      <w:pPr>
        <w:autoSpaceDN w:val="0"/>
        <w:autoSpaceDE w:val="0"/>
        <w:widowControl/>
        <w:spacing w:line="224" w:lineRule="exact" w:before="4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D5.1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31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2" w:after="20"/>
        <w:ind w:left="0" w:right="433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3.9999999999998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00"/>
        </w:trPr>
        <w:tc>
          <w:tcPr>
            <w:tcW w:type="dxa" w:w="7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8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18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20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</w:t>
            </w:r>
          </w:p>
        </w:tc>
      </w:tr>
      <w:tr>
        <w:trPr>
          <w:trHeight w:hRule="exact" w:val="20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30, </w:t>
            </w:r>
          </w:p>
        </w:tc>
      </w:tr>
      <w:tr>
        <w:trPr>
          <w:trHeight w:hRule="exact" w:val="226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234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$ 150 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$ 250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$ 6,535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7,885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8,445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6,893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10,126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8,421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79,700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2,334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124,106 </w:t>
            </w:r>
          </w:p>
        </w:tc>
      </w:tr>
      <w:tr>
        <w:trPr>
          <w:trHeight w:hRule="exact" w:val="246"/>
        </w:trPr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11,645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7,402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11,897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9,951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8,486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80,454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903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130,739 </w:t>
            </w:r>
          </w:p>
        </w:tc>
      </w:tr>
      <w:tr>
        <w:trPr>
          <w:trHeight w:hRule="exact" w:val="242"/>
        </w:trPr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19,680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15,847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19,040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20,077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16,907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166,689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16"/>
        </w:trPr>
        <w:tc>
          <w:tcPr>
            <w:tcW w:type="dxa" w:w="18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8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1,295 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18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$ 19,680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$ 15,847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$ 19,040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$ 20,077 </w:t>
            </w:r>
          </w:p>
        </w:tc>
        <w:tc>
          <w:tcPr>
            <w:tcW w:type="dxa" w:w="8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$ 17,022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$ 167,984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</w:tr>
    </w:tbl>
    <w:p>
      <w:pPr>
        <w:autoSpaceDN w:val="0"/>
        <w:autoSpaceDE w:val="0"/>
        <w:widowControl/>
        <w:spacing w:line="240" w:lineRule="exact" w:before="42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Catastrophe Deferred Draw-Down Option (CAT-DDO) promotes countries' resilience to disasters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expands the range of IBRD's crisis instruments. It is a contingent credit line that provides immediate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to countries in the aftermath of a catastrophe. The amount of Catastrophe Deferred Drawdown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 (CAT DDOs) converted to term loans during the fiscal year ended June 30, 2025, is $300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($500 million—fiscal year ended June 30, 2024).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determines the appropriate level of accumulated provision for losses, which reflects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expected losses inherent in IBRD’s exposures.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Delays in receiving loan payments result in economic losses to IBRD since it does not charge additional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on any overdue interest or loan charges. These economic losses are estimated as the difference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the present value of payments of interest and charges made according to the related loan's 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59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115</w:t>
      </w:r>
    </w:p>
    <w:p>
      <w:pPr>
        <w:sectPr>
          <w:pgSz w:w="12240" w:h="15840"/>
          <w:pgMar w:top="88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contractual terms and the present value of its expected future cash flows. It is IBRD’s practice not to write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 its loans. Historically, all contractual obligations associated with exposures in nonaccrual status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eventually cleared, thereby allowing borrowers to emerge from nonaccrual status. To date, no loans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>been written off by IBRD.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reassesses the adequacy of the accumulated provision on a quarterly basis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to the accumulated provision are recorded as a charge to or release of provision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of Income.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D6: Accumulated provision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1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- release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(75)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8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2,366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510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$ 2,964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61"/>
        <w:gridCol w:w="2361"/>
        <w:gridCol w:w="2361"/>
        <w:gridCol w:w="2361"/>
      </w:tblGrid>
      <w:tr>
        <w:trPr>
          <w:trHeight w:hRule="exact" w:val="238"/>
        </w:trPr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5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2,054 </w:t>
            </w:r>
          </w:p>
        </w:tc>
      </w:tr>
      <w:tr>
        <w:trPr>
          <w:trHeight w:hRule="exact" w:val="240"/>
        </w:trPr>
        <w:tc>
          <w:tcPr>
            <w:tcW w:type="dxa" w:w="2361"/>
            <w:vMerge/>
            <w:tcBorders>
              <w:bottom w:sz="8.0" w:val="single" w:color="#000000"/>
            </w:tcBorders>
          </w:tcPr>
          <w:p/>
        </w:tc>
        <w:tc>
          <w:tcPr>
            <w:tcW w:type="dxa" w:w="3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2361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</w:tr>
      <w:tr>
        <w:trPr>
          <w:trHeight w:hRule="exact" w:val="220"/>
        </w:trPr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2,366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3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281,653 </w:t>
            </w:r>
          </w:p>
        </w:tc>
      </w:tr>
      <w:tr>
        <w:trPr>
          <w:trHeight w:hRule="exact" w:val="24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9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283,090 </w:t>
            </w:r>
          </w:p>
        </w:tc>
      </w:tr>
    </w:tbl>
    <w:p>
      <w:pPr>
        <w:autoSpaceDN w:val="0"/>
        <w:autoSpaceDE w:val="0"/>
        <w:widowControl/>
        <w:spacing w:line="224" w:lineRule="exact" w:before="4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D6.1: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1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452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$ 2,878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- charge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5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2,036 </w:t>
            </w:r>
          </w:p>
        </w:tc>
      </w:tr>
      <w:tr>
        <w:trPr>
          <w:trHeight w:hRule="exact" w:val="240"/>
        </w:trPr>
        <w:tc>
          <w:tcPr>
            <w:tcW w:type="dxa" w:w="2361"/>
            <w:vMerge/>
            <w:tcBorders>
              <w:bottom w:sz="8.0" w:val="single" w:color="#000000"/>
            </w:tcBorders>
          </w:tcPr>
          <w:p/>
        </w:tc>
        <w:tc>
          <w:tcPr>
            <w:tcW w:type="dxa" w:w="3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2361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</w:tr>
      <w:tr>
        <w:trPr>
          <w:trHeight w:hRule="exact" w:val="220"/>
        </w:trPr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4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149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Primarily relates to guarantees given. For more details, see Guarantees section.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5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8" w:lineRule="exact" w:before="42" w:after="20"/>
        <w:ind w:left="0" w:right="2888" w:firstLine="0"/>
        <w:jc w:val="right"/>
      </w:pPr>
      <w:r>
        <w:rPr>
          <w:rFonts w:ascii="Arial" w:hAnsi="Arial" w:eastAsia="Arial"/>
          <w:b/>
          <w:i/>
          <w:color w:val="000000"/>
          <w:sz w:val="16"/>
        </w:rPr>
        <w:t>Reported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2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6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Balance Sheets</w:t>
            </w:r>
          </w:p>
        </w:tc>
        <w:tc>
          <w:tcPr>
            <w:tcW w:type="dxa" w:w="3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6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Statements of Income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32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Accumulated Provision for Losses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9"/>
        <w:gridCol w:w="3149"/>
        <w:gridCol w:w="3149"/>
      </w:tblGrid>
      <w:tr>
        <w:trPr>
          <w:trHeight w:hRule="exact" w:val="23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Loans outstanding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  <w:tr>
        <w:trPr>
          <w:trHeight w:hRule="exact" w:val="22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Loan commitments and other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exposures</w:t>
      </w:r>
    </w:p>
    <w:p>
      <w:pPr>
        <w:autoSpaceDN w:val="0"/>
        <w:autoSpaceDE w:val="0"/>
        <w:widowControl/>
        <w:spacing w:line="240" w:lineRule="exact" w:before="448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losses on loan and other exposures as of June 30, 2025 was $2,964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million, compared to $2,966 million as of June 30, 2024. The decrease of $2 million in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for losses on loan and other exposures is attributable to a release of  $75 million primarily driven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a decrease in loss severity and expected default frequency offset by increase in exposure, and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>currency translation losses of $73  million.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considers loans to be past due when a borrower fails to make payment on any principal, interest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other charges due to IBRD on the dates provided in the contractual loan agreement</w:t>
      </w:r>
      <w:r>
        <w:rPr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Guarantees</w:t>
      </w:r>
    </w:p>
    <w:p>
      <w:pPr>
        <w:autoSpaceDN w:val="0"/>
        <w:autoSpaceDE w:val="0"/>
        <w:widowControl/>
        <w:spacing w:line="246" w:lineRule="exact" w:before="1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of $7,465 million were outstanding as of June 30, 2025 ($7,168 million—June 30, 2024),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guarantees provided under the EEA. These amounts represent the maximum potential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undiscounted future payments that IBRD could be required to make under these guarantees,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included in the Balance Sheets. These guarantees have original maturities ranging between 10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23 years and expire in decreasing amounts through 2047.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liabilities related to IBRD's obligations under guarantees included the obligation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stand ready of $288 million ($296 million—June 30, 2024), and the accumulated provision for guarantee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of $63 million ($71 million—June 30, 2024). These are included in Other liabilities -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payable and miscellaneous liabilities on the Balance Sheets.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 and June 30, 2024, no guarantees provided by IBRD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called.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Exposure Exchange Agreements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participates in Exposure Exchange Agreements (EEAs) which are recognized as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in the financial statements. Information on the location and amounts associated with the EEAs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executed with the African Development Bank and Inter-American Development Bank included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Sheets is presented in the following table: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D7: Amounts associated with EEAs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24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3094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"/>
        </w:trPr>
        <w:tc>
          <w:tcPr>
            <w:tcW w:type="dxa" w:w="19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19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93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16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Location on </w:t>
            </w:r>
          </w:p>
        </w:tc>
      </w:tr>
      <w:tr>
        <w:trPr>
          <w:trHeight w:hRule="exact" w:val="180"/>
        </w:trPr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0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the Balance </w:t>
            </w:r>
          </w:p>
        </w:tc>
      </w:tr>
      <w:tr>
        <w:trPr>
          <w:trHeight w:hRule="exact" w:val="230"/>
        </w:trPr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9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1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0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1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Sheets</w:t>
            </w:r>
          </w:p>
        </w:tc>
      </w:tr>
      <w:tr>
        <w:trPr>
          <w:trHeight w:hRule="exact" w:val="230"/>
        </w:trPr>
        <w:tc>
          <w:tcPr>
            <w:tcW w:type="dxa" w:w="19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Guarantees provided </w:t>
            </w:r>
          </w:p>
        </w:tc>
        <w:tc>
          <w:tcPr>
            <w:tcW w:type="dxa" w:w="8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$ 3,609 </w:t>
            </w:r>
          </w:p>
        </w:tc>
        <w:tc>
          <w:tcPr>
            <w:tcW w:type="dxa" w:w="41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(109)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8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$ 3,609 </w:t>
            </w:r>
          </w:p>
        </w:tc>
        <w:tc>
          <w:tcPr>
            <w:tcW w:type="dxa" w:w="2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(129)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  <w:tr>
        <w:trPr>
          <w:trHeight w:hRule="exact" w:val="250"/>
        </w:trPr>
        <w:tc>
          <w:tcPr>
            <w:tcW w:type="dxa" w:w="19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Guarantees received </w:t>
            </w:r>
          </w:p>
        </w:tc>
        <w:tc>
          <w:tcPr>
            <w:tcW w:type="dxa" w:w="10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(3,609) </w:t>
            </w:r>
          </w:p>
        </w:tc>
        <w:tc>
          <w:tcPr>
            <w:tcW w:type="dxa" w:w="9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  <w:tc>
          <w:tcPr>
            <w:tcW w:type="dxa" w:w="11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0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(3,611) 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129 </w:t>
            </w:r>
          </w:p>
        </w:tc>
        <w:tc>
          <w:tcPr>
            <w:tcW w:type="dxa" w:w="11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</w:tr>
      <w:tr>
        <w:trPr>
          <w:trHeight w:hRule="exact" w:val="22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8"/>
            <w:gridSpan w:val="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  $ </w:t>
            </w:r>
          </w:p>
        </w:tc>
        <w:tc>
          <w:tcPr>
            <w:tcW w:type="dxa" w:w="58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gridSpan w:val="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17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received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 had received third-party financial guarantees, including guarantees received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EEA, of $14,947 million ($12,461 million as of June 30, 2024). In addition, during the year,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received a notional value of $1.1 billion of portfolio guarantees under PGP from its shareholders. 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624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117</w:t>
      </w:r>
    </w:p>
    <w:p>
      <w:pPr>
        <w:sectPr>
          <w:pgSz w:w="12240" w:h="15840"/>
          <w:pgMar w:top="71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guarantees are accounted for as financial guarantees and the related recoverable asset of $136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as of June 30, 2025 (Nil- as of June 30, 2024) is presented as Other assets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Sheets. Financial guarantees received protect IBRD against the risk of loss related to loans in IBRD's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and increase IBRD's lending capacity.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Waivers of Loan Charges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Executive Directors have approved waivers of certain charges on eligible loans. These include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portion of interest on loans, a portion of the commitment charge on undisbursed balances, and a portion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front-end fee. In addition, in October 2024, as part of the adjustments to IBRD's loan pricing,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Executive Directors approved the waiver of future prepayment premiums on existing loans, as applicable.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forgone income resulting from these waivers  was $11 million for year ended June 30, 2025 ($9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million— June 30, 2024 and $16 million —June 30, 2023).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Concentration risk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revenue comprises interest, commitment fees, loan origination fees and prepayment premiums,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waivers. For the fiscal year ended June 30, 2025, there was no country that contributed more than 10%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the total loan revenue.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loan revenue and associated loans outstanding by geographic region is presented in the following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table: </w:t>
      </w:r>
    </w:p>
    <w:p>
      <w:pPr>
        <w:autoSpaceDN w:val="0"/>
        <w:autoSpaceDE w:val="0"/>
        <w:widowControl/>
        <w:spacing w:line="224" w:lineRule="exact" w:before="136" w:after="84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D8: Loan revenue and associated outstanding loan balances by geographic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trHeight w:hRule="exact" w:val="268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5780"/>
            <w:gridSpan w:val="1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 ended and as of</w:t>
            </w:r>
          </w:p>
        </w:tc>
      </w:tr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970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04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28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3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297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3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604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30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Latin America and the Caribbean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 Asia and Pacific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Europe and Central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Middle East and North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Eastern and Southern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4,481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83,935 </w:t>
            </w:r>
          </w:p>
        </w:tc>
        <w:tc>
          <w:tcPr>
            <w:tcW w:type="dxa" w:w="5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4,674 </w:t>
            </w:r>
          </w:p>
        </w:tc>
        <w:tc>
          <w:tcPr>
            <w:tcW w:type="dxa" w:w="6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80,934 </w:t>
            </w:r>
          </w:p>
        </w:tc>
      </w:tr>
      <w:tr>
        <w:trPr>
          <w:trHeight w:hRule="exact" w:val="24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2,953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54,000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3,154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52,621 </w:t>
            </w:r>
          </w:p>
        </w:tc>
      </w:tr>
      <w:tr>
        <w:trPr>
          <w:trHeight w:hRule="exact" w:val="24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2,790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62,017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2,769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54,838 </w:t>
            </w:r>
          </w:p>
        </w:tc>
      </w:tr>
      <w:tr>
        <w:trPr>
          <w:trHeight w:hRule="exact" w:val="24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1,811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39,180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1,860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35,300 </w:t>
            </w:r>
          </w:p>
        </w:tc>
      </w:tr>
      <w:tr>
        <w:trPr>
          <w:trHeight w:hRule="exact" w:val="24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1,663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28,465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1,655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26,415 </w:t>
            </w:r>
          </w:p>
        </w:tc>
      </w:tr>
      <w:tr>
        <w:trPr>
          <w:trHeight w:hRule="exact" w:val="24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12,124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524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11,014 </w:t>
            </w:r>
          </w:p>
        </w:tc>
      </w:tr>
      <w:tr>
        <w:trPr>
          <w:trHeight w:hRule="exact" w:val="250"/>
        </w:trPr>
        <w:tc>
          <w:tcPr>
            <w:tcW w:type="dxa" w:w="72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3,369 </w:t>
            </w:r>
          </w:p>
        </w:tc>
        <w:tc>
          <w:tcPr>
            <w:tcW w:type="dxa" w:w="2080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2,068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14,431 </w:t>
            </w:r>
          </w:p>
        </w:tc>
        <w:tc>
          <w:tcPr>
            <w:tcW w:type="dxa" w:w="3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283,090 </w:t>
            </w:r>
          </w:p>
        </w:tc>
        <w:tc>
          <w:tcPr>
            <w:tcW w:type="dxa" w:w="5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14,712 </w:t>
            </w:r>
          </w:p>
        </w:tc>
        <w:tc>
          <w:tcPr>
            <w:tcW w:type="dxa" w:w="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29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>a. Excludes $1,022 million interest income from loan related derivatives for the fiscal year ended June 30, 2025 ($1,268 million—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fiscal year ended June 30, 2024). Includes commitment charges of $152 million for the fiscal year ended June 30, 2025 ($149 </w:t>
      </w:r>
      <w:r>
        <w:rPr>
          <w:rFonts w:ascii="Arial" w:hAnsi="Arial" w:eastAsia="Arial"/>
          <w:b w:val="0"/>
          <w:i/>
          <w:color w:val="000000"/>
          <w:sz w:val="16"/>
        </w:rPr>
        <w:t>million—fiscal year ended June 30, 2024).</w:t>
      </w:r>
    </w:p>
    <w:p>
      <w:pPr>
        <w:autoSpaceDN w:val="0"/>
        <w:autoSpaceDE w:val="0"/>
        <w:widowControl/>
        <w:spacing w:line="240" w:lineRule="exact" w:before="198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fiscal year ended June 30, 2025, Interest revenue—Loans, net in the Statements of Income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$15,301 million ($15,831 million—June 30, 2024 and $10,522 million —June 30, 2023). This includes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$1,022 million of interest income, net related to loan related derivatives associated with the Loan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>(interest income, net of $1,268 million June 30, 2024 and $367 million —June 30, 2023).</w:t>
      </w:r>
    </w:p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E—BORROWINGS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issues unsubordinated and unsecured fixed and variable rate debt in a variety of currencies. 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are reported at fair value. IBRD has issued hybrid capital at variable rates to shareholders,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is subordinated to all other debt, and is reported at amortized cost. Variable rates are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>based on exchange rates or market interest rates.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98% of the instruments were classified as Level 2 within the fair value hierarchy.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addition, most of these instruments were denominated in U.S. dollars and euro (62% and 16%,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respectively, refer Table E3).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96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derivatives, reported at fair value, to manage the currency risk and the interest rate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its loans and borrowings. For details regarding the derivatives used, see Note F—Derivative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the effect of these derivatives, the borrowing portfolio carried variable interest rates, with a weighted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average cost of 4.40% as of June 30, 2025 (5.54% as of 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summary of IBRD’s borrowings at fair value, is as follows (for details on principal due upon maturity, see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Note J—Fair Value Disclosures):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E1: Borrowings and borrowing-related derivatives, at fair value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305,679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1,788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7,427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12,277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17,900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319,744 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</w:tr>
    </w:tbl>
    <w:p>
      <w:pPr>
        <w:autoSpaceDN w:val="0"/>
        <w:autoSpaceDE w:val="0"/>
        <w:widowControl/>
        <w:spacing w:line="240" w:lineRule="exact" w:before="41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borrowings reported at amortized cost were $482 million related to IBRD's issuances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hybrid capital which represents the outstanding principal of these instruments. The majority of holders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hybrid capital as of June 30, 2025,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 into separate agreements with IBRD that allow them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redeem the hybrid capital to satisfy the payment condition for their paid-in portion of any future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increase.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fiscal year ended June 30, 2025, Borrowing expenses, net in the Statements of Income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$14,920 million ($15,215 million—June 30, 2024 and $9,562 million —June 30, 2023). This includes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$6,470 million of interest expense, net related to derivatives associated with the borrowings (interest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expense, net of $7,781 million— June 30, 2024 and interest expense, net of $4,237 million —June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2023).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provides a summary of the interest rate characteristics of IBRD’s borrowings: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E2: Interest rate composition of Borrowings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as otherwise noted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  <w:tc>
          <w:tcPr>
            <w:tcW w:type="dxa" w:w="12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</w:tr>
      <w:tr>
        <w:trPr>
          <w:trHeight w:hRule="exact" w:val="240"/>
        </w:trPr>
        <w:tc>
          <w:tcPr>
            <w:tcW w:type="dxa" w:w="4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288,323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2.81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253,337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2.42</w:t>
            </w:r>
          </w:p>
        </w:tc>
      </w:tr>
      <w:tr>
        <w:trPr>
          <w:trHeight w:hRule="exact" w:val="240"/>
        </w:trPr>
        <w:tc>
          <w:tcPr>
            <w:tcW w:type="dxa" w:w="4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32,843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6.61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29,494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8.40</w:t>
            </w:r>
          </w:p>
        </w:tc>
      </w:tr>
      <w:tr>
        <w:trPr>
          <w:trHeight w:hRule="exact" w:val="240"/>
        </w:trPr>
        <w:tc>
          <w:tcPr>
            <w:tcW w:type="dxa" w:w="4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321,166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3.20%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282,831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3.04%</w:t>
            </w:r>
          </w:p>
        </w:tc>
      </w:tr>
      <w:tr>
        <w:trPr>
          <w:trHeight w:hRule="exact" w:val="240"/>
        </w:trPr>
        <w:tc>
          <w:tcPr>
            <w:tcW w:type="dxa" w:w="4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Fair Value Adjustment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(15,005)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(21,041)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Borrowings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306,161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WAC refers to weighted average borrowings cost as of the reporting date.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At amortized cost.</w:t>
      </w:r>
    </w:p>
    <w:p>
      <w:pPr>
        <w:autoSpaceDN w:val="0"/>
        <w:autoSpaceDE w:val="0"/>
        <w:widowControl/>
        <w:spacing w:line="224" w:lineRule="exact" w:before="21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currency composition of IBRD’s borrowings before derivatives was as follows: </w:t>
      </w:r>
    </w:p>
    <w:p>
      <w:pPr>
        <w:autoSpaceDN w:val="0"/>
        <w:autoSpaceDE w:val="0"/>
        <w:widowControl/>
        <w:spacing w:line="224" w:lineRule="exact" w:before="136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E3: Currency composition of Borrowings (before derivatives)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2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90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U.S. Dollar</w:t>
            </w:r>
          </w:p>
        </w:tc>
        <w:tc>
          <w:tcPr>
            <w:tcW w:type="dxa" w:w="4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62.1</w:t>
            </w:r>
          </w:p>
        </w:tc>
        <w:tc>
          <w:tcPr>
            <w:tcW w:type="dxa" w:w="83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0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62.6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16.3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4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21.6</w:t>
            </w:r>
          </w:p>
        </w:tc>
        <w:tc>
          <w:tcPr>
            <w:tcW w:type="dxa" w:w="19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22.3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100.0</w:t>
            </w:r>
          </w:p>
        </w:tc>
        <w:tc>
          <w:tcPr>
            <w:tcW w:type="dxa" w:w="7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10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100.0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1710"/>
        </w:trPr>
        <w:tc>
          <w:tcPr>
            <w:tcW w:type="dxa" w:w="2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9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62" w:val="left"/>
        </w:tabs>
        <w:autoSpaceDE w:val="0"/>
        <w:widowControl/>
        <w:spacing w:line="302" w:lineRule="exact" w:before="0" w:after="20"/>
        <w:ind w:left="1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maturity structure of IBRD’s borrowings outstanding was as follows: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Table E4: Maturity structure of Borrowings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2"/>
        </w:trPr>
        <w:tc>
          <w:tcPr>
            <w:tcW w:type="dxa" w:w="5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 than 1 year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47,162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41,955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Between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8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1-2 years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37,482 </w:t>
            </w:r>
          </w:p>
        </w:tc>
        <w:tc>
          <w:tcPr>
            <w:tcW w:type="dxa" w:w="4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32,883 </w:t>
            </w:r>
          </w:p>
        </w:tc>
      </w:tr>
      <w:tr>
        <w:trPr>
          <w:trHeight w:hRule="exact" w:val="24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2-3 years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36,816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31,082 </w:t>
            </w:r>
          </w:p>
        </w:tc>
      </w:tr>
      <w:tr>
        <w:trPr>
          <w:trHeight w:hRule="exact" w:val="24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3-4 years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32,710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29,994 </w:t>
            </w:r>
          </w:p>
        </w:tc>
      </w:tr>
      <w:tr>
        <w:trPr>
          <w:trHeight w:hRule="exact" w:val="22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4-5 years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39,117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32,042 </w:t>
            </w:r>
          </w:p>
        </w:tc>
      </w:tr>
      <w:tr>
        <w:trPr>
          <w:trHeight w:hRule="exact" w:val="260"/>
        </w:trPr>
        <w:tc>
          <w:tcPr>
            <w:tcW w:type="dxa" w:w="5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Thereafter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112,874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93,834 </w:t>
            </w:r>
          </w:p>
        </w:tc>
      </w:tr>
      <w:tr>
        <w:trPr>
          <w:trHeight w:hRule="exact" w:val="22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306,161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</w:tbl>
    <w:p>
      <w:pPr>
        <w:autoSpaceDN w:val="0"/>
        <w:autoSpaceDE w:val="0"/>
        <w:widowControl/>
        <w:spacing w:line="200" w:lineRule="exact" w:before="270" w:after="0"/>
        <w:ind w:left="62" w:right="0" w:firstLine="0"/>
        <w:jc w:val="left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a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Includes hybrid capital.</w:t>
      </w:r>
    </w:p>
    <w:p>
      <w:pPr>
        <w:autoSpaceDN w:val="0"/>
        <w:autoSpaceDE w:val="0"/>
        <w:widowControl/>
        <w:spacing w:line="240" w:lineRule="exact" w:before="19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borrowings at fair value have original maturities ranging from 20 days to 50 years, with the final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maturity in 2073. Hybrid capital is a perpetual financial instrument, accounted for at amortized cost. </w:t>
      </w:r>
    </w:p>
    <w:p>
      <w:pPr>
        <w:autoSpaceDN w:val="0"/>
        <w:autoSpaceDE w:val="0"/>
        <w:widowControl/>
        <w:spacing w:line="286" w:lineRule="exact" w:before="27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F—DERIVATIVE INSTRUMENTS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uses derivative instruments in its investment, loan and borrowing portfolios, and for asset/liability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purposes. It also offers derivative intermediation services to clients and, concurrently, enters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offsetting transactions with market counterparties. </w:t>
      </w:r>
    </w:p>
    <w:p>
      <w:pPr>
        <w:autoSpaceDN w:val="0"/>
        <w:autoSpaceDE w:val="0"/>
        <w:widowControl/>
        <w:spacing w:line="224" w:lineRule="exact" w:before="136" w:after="162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IBRD’s use of derivatives in its various financial portfolios: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3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Purpose / 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149"/>
        <w:gridCol w:w="3149"/>
        <w:gridCol w:w="3149"/>
      </w:tblGrid>
      <w:tr>
        <w:trPr>
          <w:trHeight w:hRule="exact" w:val="21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</w:t>
            </w:r>
          </w:p>
        </w:tc>
      </w:tr>
    </w:tbl>
    <w:p>
      <w:pPr>
        <w:autoSpaceDN w:val="0"/>
        <w:autoSpaceDE w:val="0"/>
        <w:widowControl/>
        <w:spacing w:line="190" w:lineRule="exact" w:before="0" w:after="36"/>
        <w:ind w:left="2388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options, swaptions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futures contracts, to-be-announced (TBA)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10"/>
        </w:trPr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3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0"/>
        <w:ind w:left="0" w:right="129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08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0"/>
        <w:ind w:left="0" w:right="129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10"/>
        </w:trPr>
        <w:tc>
          <w:tcPr>
            <w:tcW w:type="dxa" w:w="2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asset/liability </w:t>
            </w:r>
          </w:p>
        </w:tc>
        <w:tc>
          <w:tcPr>
            <w:tcW w:type="dxa" w:w="3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the duration of IBRD’s </w:t>
            </w:r>
          </w:p>
        </w:tc>
      </w:tr>
      <w:tr>
        <w:trPr>
          <w:trHeight w:hRule="exact" w:val="226"/>
        </w:trPr>
        <w:tc>
          <w:tcPr>
            <w:tcW w:type="dxa" w:w="2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 derivatives</w:t>
            </w:r>
          </w:p>
        </w:tc>
        <w:tc>
          <w:tcPr>
            <w:tcW w:type="dxa" w:w="31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149"/>
        <w:gridCol w:w="3149"/>
        <w:gridCol w:w="3149"/>
      </w:tblGrid>
      <w:tr>
        <w:trPr>
          <w:trHeight w:hRule="exact" w:val="21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178" w:lineRule="exact" w:before="6" w:after="0"/>
        <w:ind w:left="0" w:right="540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and interest rate swaps</w:t>
      </w:r>
    </w:p>
    <w:p>
      <w:pPr>
        <w:autoSpaceDN w:val="0"/>
        <w:autoSpaceDE w:val="0"/>
        <w:widowControl/>
        <w:spacing w:line="300" w:lineRule="exact" w:before="14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client operations, derivative intermediation services are provided to the following: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Borrowing Countries: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and interest rate swap transactions are executed between IBRD and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borrowers under master derivatives agreements.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Non-Affiliated Organizations: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IBRD has a master derivatives agreement with the International Finance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Facility for Immunisation (IFFIm), under which several transactions have been executed.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Affiliated Organizations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Derivative contracts are executed between IBRD and IDA, under an agreement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allowing IBRD to intermediate derivative contracts on behalf of IDA.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the presentation in the Balance Sheets is shown in Table F1.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27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enters into International Swaps and Derivatives Association, Inc. (ISDA) master netting agreements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substantially all of its derivative counterparties. These legally enforceable master netting agreements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 IBRD the right to liquidate securities held as collateral and to offset receivables and payables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same counterparty in the event of default by the counterparty.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summarize the gross and net derivative positions by instrument type.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are in a net asset position are included in the Derivative Assets columns and instruments that are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liability position are included in the Derivative Liabilities columns.  The effects of the ISDA master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netting agreements are applied on an aggregate basis to the total derivative asset and liability positions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are presented net of any cash collateral received on the Balance Sheets. The net derivative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positions in the tables below have been further reduced by any securities received as collateral to show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net exposure on its derivative asset positions.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F1: Derivative assets and liabilities before and after netting adjustments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40"/>
        </w:trPr>
        <w:tc>
          <w:tcPr>
            <w:tcW w:type="dxa" w:w="4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64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12"/>
        </w:trPr>
        <w:tc>
          <w:tcPr>
            <w:tcW w:type="dxa" w:w="40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3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45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22"/>
        </w:trPr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3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198"/>
        </w:trPr>
        <w:tc>
          <w:tcPr>
            <w:tcW w:type="dxa" w:w="4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7,559 </w:t>
            </w:r>
          </w:p>
        </w:tc>
        <w:tc>
          <w:tcPr>
            <w:tcW w:type="dxa" w:w="6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17,523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4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4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5,115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7,192 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38"/>
        </w:trPr>
        <w:tc>
          <w:tcPr>
            <w:tcW w:type="dxa" w:w="4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20"/>
        </w:trPr>
        <w:tc>
          <w:tcPr>
            <w:tcW w:type="dxa" w:w="4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12,676 </w:t>
            </w:r>
          </w:p>
        </w:tc>
        <w:tc>
          <w:tcPr>
            <w:tcW w:type="dxa" w:w="6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24,715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  <w:tc>
          <w:tcPr>
            <w:tcW w:type="dxa" w:w="4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5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8"/>
        </w:trPr>
        <w:tc>
          <w:tcPr>
            <w:tcW w:type="dxa" w:w="4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11,978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ᵈ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12,261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ᵉ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ᵈ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8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ᵉ</w:t>
            </w:r>
          </w:p>
        </w:tc>
      </w:tr>
      <w:tr>
        <w:trPr>
          <w:trHeight w:hRule="exact" w:val="200"/>
        </w:trPr>
        <w:tc>
          <w:tcPr>
            <w:tcW w:type="dxa" w:w="4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4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8"/>
        </w:trPr>
        <w:tc>
          <w:tcPr>
            <w:tcW w:type="dxa" w:w="4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 on the Balance Sheet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666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12,454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1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6"/>
        </w:trPr>
        <w:tc>
          <w:tcPr>
            <w:tcW w:type="dxa" w:w="4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442 </w:t>
            </w:r>
          </w:p>
        </w:tc>
        <w:tc>
          <w:tcPr>
            <w:tcW w:type="dxa" w:w="20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298 </w:t>
            </w:r>
          </w:p>
        </w:tc>
      </w:tr>
      <w:tr>
        <w:trPr>
          <w:trHeight w:hRule="exact" w:val="220"/>
        </w:trPr>
        <w:tc>
          <w:tcPr>
            <w:tcW w:type="dxa" w:w="4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 </w:t>
            </w:r>
          </w:p>
        </w:tc>
        <w:tc>
          <w:tcPr>
            <w:tcW w:type="dxa" w:w="20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 </w:t>
            </w:r>
          </w:p>
        </w:tc>
      </w:tr>
    </w:tbl>
    <w:p>
      <w:pPr>
        <w:autoSpaceDN w:val="0"/>
        <w:autoSpaceDE w:val="0"/>
        <w:widowControl/>
        <w:spacing w:line="178" w:lineRule="exact" w:before="27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</w:t>
      </w:r>
      <w:r>
        <w:rPr>
          <w:rFonts w:ascii="Arial" w:hAnsi="Arial" w:eastAsia="Arial"/>
          <w:b w:val="0"/>
          <w:i/>
          <w:strike/>
          <w:color w:val="000000"/>
          <w:sz w:val="16"/>
        </w:rPr>
        <w:t xml:space="preserve"> </w:t>
      </w:r>
      <w:r>
        <w:rPr>
          <w:rFonts w:ascii="Arial" w:hAnsi="Arial" w:eastAsia="Arial"/>
          <w:b w:val="0"/>
          <w:i/>
          <w:color w:val="000000"/>
          <w:sz w:val="16"/>
        </w:rPr>
        <w:t>forward contracts.</w:t>
      </w:r>
    </w:p>
    <w:p>
      <w:pPr>
        <w:autoSpaceDN w:val="0"/>
        <w:autoSpaceDE w:val="0"/>
        <w:widowControl/>
        <w:spacing w:line="178" w:lineRule="exact" w:before="46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 to swaptions, options and futures contracts.</w:t>
      </w:r>
    </w:p>
    <w:p>
      <w:pPr>
        <w:autoSpaceDN w:val="0"/>
        <w:autoSpaceDE w:val="0"/>
        <w:widowControl/>
        <w:spacing w:line="180" w:lineRule="exact" w:before="54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Does not include excess collateral received.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$36 million Credit Valuation Adjustment (CVA) ($29 million—June 30, 2024).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Includes $319 million Debit Valuation Adjustment (DVA) ($409 million—June 30, 2024).</w:t>
      </w:r>
    </w:p>
    <w:p>
      <w:pPr>
        <w:autoSpaceDN w:val="0"/>
        <w:autoSpaceDE w:val="0"/>
        <w:widowControl/>
        <w:spacing w:line="240" w:lineRule="exact" w:before="1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provide information about the credit risk exposures at fair value of IBRD’s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instruments by portfolio, before the effects of master netting arrangements and collateral:</w:t>
      </w:r>
    </w:p>
    <w:p>
      <w:pPr>
        <w:autoSpaceDN w:val="0"/>
        <w:autoSpaceDE w:val="0"/>
        <w:widowControl/>
        <w:spacing w:line="250" w:lineRule="exact" w:before="11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F2: Credit risk exposure of the derivative instruments </w:t>
      </w:r>
      <w:r>
        <w:rPr>
          <w:rFonts w:ascii="Arial" w:hAnsi="Arial" w:eastAsia="Arial"/>
          <w:b/>
          <w:i w:val="0"/>
          <w:color w:val="000000"/>
          <w:sz w:val="13"/>
        </w:rPr>
        <w:t>a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5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p>
      <w:pPr>
        <w:autoSpaceDN w:val="0"/>
        <w:autoSpaceDE w:val="0"/>
        <w:widowControl/>
        <w:spacing w:line="178" w:lineRule="exact" w:before="64" w:after="6"/>
        <w:ind w:left="0" w:right="21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1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282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forward contracts)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 </w:t>
            </w:r>
          </w:p>
        </w:tc>
        <w:tc>
          <w:tcPr>
            <w:tcW w:type="dxa" w:w="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4,986 </w:t>
            </w:r>
          </w:p>
        </w:tc>
        <w:tc>
          <w:tcPr>
            <w:tcW w:type="dxa" w:w="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6,040 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459 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1,985 </w:t>
            </w:r>
          </w:p>
        </w:tc>
        <w:tc>
          <w:tcPr>
            <w:tcW w:type="dxa" w:w="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5,521 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282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945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7,559 </w:t>
            </w:r>
          </w:p>
        </w:tc>
        <w:tc>
          <w:tcPr>
            <w:tcW w:type="dxa" w:w="105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5,115 </w:t>
            </w:r>
          </w:p>
        </w:tc>
        <w:tc>
          <w:tcPr>
            <w:tcW w:type="dxa" w:w="5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12,674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2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88" w:after="0"/>
              <w:ind w:left="5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8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F2.1</w:t>
      </w:r>
    </w:p>
    <w:p>
      <w:pPr>
        <w:autoSpaceDN w:val="0"/>
        <w:autoSpaceDE w:val="0"/>
        <w:widowControl/>
        <w:spacing w:line="178" w:lineRule="exact" w:before="13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54" w:after="0"/>
        <w:ind w:left="0" w:right="25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4" w:after="6"/>
        <w:ind w:left="0" w:right="214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forward contracts)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5,893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7,207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698 </w:t>
            </w:r>
          </w:p>
        </w:tc>
      </w:tr>
      <w:tr>
        <w:trPr>
          <w:trHeight w:hRule="exact" w:val="24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3,062 </w:t>
            </w:r>
          </w:p>
        </w:tc>
      </w:tr>
      <w:tr>
        <w:trPr>
          <w:trHeight w:hRule="exact" w:val="22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asset-liability management derivatives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</w:tr>
      <w:tr>
        <w:trPr>
          <w:trHeight w:hRule="exact" w:val="204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12,034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exchange traded instruments as they are generally subject to daily margin requirements and are deemed to have no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material credit risk.</w:t>
      </w:r>
    </w:p>
    <w:p>
      <w:pPr>
        <w:autoSpaceDN w:val="0"/>
        <w:autoSpaceDE w:val="0"/>
        <w:widowControl/>
        <w:spacing w:line="240" w:lineRule="exact" w:before="13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volume of derivative contracts is measured using the U.S. dollar equivalent notional balance.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notional balance represents the face value or reference value on which the calculations of payments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derivative instruments are determined. As of June 30, 2025, the notional amounts of IBRD’s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contracts outstanding were as follows: interest rate swaps $445,827 million ($436,783 million—June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2024), currency swaps $129,923 million ($120,483 million—June 30, 2024), long positions of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 $304 million ($280 million—June 30, 2024), and short positions of other derivatives $115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($201 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rating. The aggregate fair value of all derivative instruments with credit-risk related contingent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features that were in a liability position as of June 30, 2025 was $12,627 million ($22,858 million—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2024). IBRD has not posted any collateral with these counterparties due to its triple-A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credit risk related contingent features underlying these agreements were triggered to the extent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would be required to post collateral as of June 30, 2025, the amount of collateral that would need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posted would be $9,241 million ($18,593 million—June 30, 2024). Subsequent triggers of contingent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features would require posting of additional collateral, up to a maximum of $12,627 million ($22,858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million—June 30, 2024). IBRD received collateral totaling $520 million as of June 30, 2025 ($343 million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>—June 30, 2024), in relation to swap transactions (see Note C—Investments).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provides information on the unrealized mark-to-market gains and losses on the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>trading derivatives and their location on the Statements of Income: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F3: Unrealized mark-to-market gains or losses on non-trading derivatives</w:t>
      </w:r>
    </w:p>
    <w:p>
      <w:pPr>
        <w:autoSpaceDN w:val="0"/>
        <w:autoSpaceDE w:val="0"/>
        <w:widowControl/>
        <w:spacing w:line="180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24"/>
        </w:trPr>
        <w:tc>
          <w:tcPr>
            <w:tcW w:type="dxa" w:w="2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2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5"/>
        </w:trPr>
        <w:tc>
          <w:tcPr>
            <w:tcW w:type="dxa" w:w="2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6,283 </w:t>
            </w:r>
          </w:p>
        </w:tc>
        <w:tc>
          <w:tcPr>
            <w:tcW w:type="dxa" w:w="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3,324 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(4,948) </w:t>
            </w:r>
          </w:p>
        </w:tc>
      </w:tr>
      <w:tr>
        <w:trPr>
          <w:trHeight w:hRule="exact" w:val="220"/>
        </w:trPr>
        <w:tc>
          <w:tcPr>
            <w:tcW w:type="dxa" w:w="2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(including forward </w:t>
            </w:r>
          </w:p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gains (losses) on non-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1,897 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1,145 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(867) </w:t>
            </w:r>
          </w:p>
        </w:tc>
      </w:tr>
      <w:tr>
        <w:trPr>
          <w:trHeight w:hRule="exact" w:val="231"/>
        </w:trPr>
        <w:tc>
          <w:tcPr>
            <w:tcW w:type="dxa" w:w="2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contracts )</w:t>
            </w:r>
          </w:p>
        </w:tc>
        <w:tc>
          <w:tcPr>
            <w:tcW w:type="dxa" w:w="2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 portfolios, net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2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8,180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4,469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(5,815) </w:t>
            </w:r>
          </w:p>
        </w:tc>
      </w:tr>
    </w:tbl>
    <w:p>
      <w:pPr>
        <w:autoSpaceDN w:val="0"/>
        <w:autoSpaceDE w:val="0"/>
        <w:widowControl/>
        <w:spacing w:line="180" w:lineRule="exact" w:before="26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For disclosures related to derivatives in trading portfolio, see Table F4. </w:t>
      </w:r>
    </w:p>
    <w:p>
      <w:pPr>
        <w:autoSpaceDN w:val="0"/>
        <w:autoSpaceDE w:val="0"/>
        <w:widowControl/>
        <w:spacing w:line="240" w:lineRule="exact" w:before="19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of the instruments in IBRD’s investment portfolio are held for trading purposes. Within the investment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portfolio, IBRD holds highly rated fixed income securities, equity securities and derivatives. The 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is primarily held to ensure the availability of funds to meet future cash flow requirements and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management purposes.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64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provides information on the amount of unrealized mark-to-market gains and losses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net Investment–Trading portfolio and their location on the Statements of Income: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F4: Unrealized mark-to-market gains or losses on net investment-trading portfolio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5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0" w:after="2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Type of instrument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04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</w:t>
            </w:r>
          </w:p>
        </w:tc>
        <w:tc>
          <w:tcPr>
            <w:tcW w:type="dxa" w:w="3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4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gains (losses) on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136"/>
        </w:trPr>
        <w:tc>
          <w:tcPr>
            <w:tcW w:type="dxa" w:w="2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and other fund 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112"/>
        </w:trPr>
        <w:tc>
          <w:tcPr>
            <w:tcW w:type="dxa" w:w="1180"/>
            <w:vMerge/>
            <w:tcBorders/>
          </w:tcPr>
          <w:p/>
        </w:tc>
        <w:tc>
          <w:tcPr>
            <w:tcW w:type="dxa" w:w="3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Investments-Trading portfolio, net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associated with each type of instrument include gains and losses on both derivative instruments and investment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securities.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Related to PEBP holdings and investments related to LPF1 and GFPP.</w:t>
      </w:r>
    </w:p>
    <w:p>
      <w:pPr>
        <w:autoSpaceDN w:val="0"/>
        <w:autoSpaceDE w:val="0"/>
        <w:widowControl/>
        <w:spacing w:line="336" w:lineRule="exact" w:before="538" w:after="0"/>
        <w:ind w:left="10" w:right="576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G — RETAINED EARNINGS AND BOARD OF GOVERNORS </w:t>
      </w:r>
      <w:r>
        <w:rPr>
          <w:rFonts w:ascii="Arial" w:hAnsi="Arial" w:eastAsia="Arial"/>
          <w:b/>
          <w:i w:val="0"/>
          <w:color w:val="004972"/>
          <w:sz w:val="28"/>
        </w:rPr>
        <w:t>APPROVED TRANSFERS</w:t>
      </w:r>
    </w:p>
    <w:p>
      <w:pPr>
        <w:autoSpaceDN w:val="0"/>
        <w:autoSpaceDE w:val="0"/>
        <w:widowControl/>
        <w:spacing w:line="224" w:lineRule="exact" w:before="1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Retained earnings are comprised of the following components:</w:t>
      </w:r>
    </w:p>
    <w:p>
      <w:pPr>
        <w:autoSpaceDN w:val="0"/>
        <w:autoSpaceDE w:val="0"/>
        <w:widowControl/>
        <w:spacing w:line="224" w:lineRule="exact" w:before="2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G1: Retained earnings composition</w:t>
      </w:r>
    </w:p>
    <w:p>
      <w:pPr>
        <w:autoSpaceDN w:val="0"/>
        <w:autoSpaceDE w:val="0"/>
        <w:widowControl/>
        <w:spacing w:line="178" w:lineRule="exact" w:before="7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8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reserve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33,224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reserve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681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fair value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1,390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Unallocated net income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2,915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2,513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retained earnings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52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reserves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729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40,383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38,283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Unrealized mark-to-market gains (losses), net related to non-trading portfolios reported at fair value.</w:t>
      </w:r>
    </w:p>
    <w:p>
      <w:pPr>
        <w:autoSpaceDN w:val="0"/>
        <w:autoSpaceDE w:val="0"/>
        <w:widowControl/>
        <w:spacing w:line="192" w:lineRule="exact" w:before="7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Comprised of $324 million of currency remeasurement gains/losses, net ($251 million - June 30, 2024), $301 million ( $101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- June 30, 2024) and $100 million ( Nil- June 30, 2024) balances available for LPF1 and the GFPP, respectively, and $4 </w:t>
      </w:r>
      <w:r>
        <w:rPr>
          <w:rFonts w:ascii="Arial" w:hAnsi="Arial" w:eastAsia="Arial"/>
          <w:b w:val="0"/>
          <w:i/>
          <w:color w:val="000000"/>
          <w:sz w:val="16"/>
        </w:rPr>
        <w:t>million revenue from prior years which is set aside for a dedicated purpose ( $6 million - June 30, 2024).</w:t>
      </w:r>
    </w:p>
    <w:p>
      <w:pPr>
        <w:autoSpaceDN w:val="0"/>
        <w:autoSpaceDE w:val="0"/>
        <w:widowControl/>
        <w:spacing w:line="224" w:lineRule="exact" w:before="332" w:after="0"/>
        <w:ind w:left="1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Governors-approved transfers that were expensed during the stated fiscal years are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following table:</w:t>
      </w:r>
    </w:p>
    <w:p>
      <w:pPr>
        <w:autoSpaceDN w:val="0"/>
        <w:autoSpaceDE w:val="0"/>
        <w:widowControl/>
        <w:spacing w:line="222" w:lineRule="exact" w:before="28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G2: Board of Governors-approved transfers expensed</w:t>
      </w:r>
    </w:p>
    <w:p>
      <w:pPr>
        <w:autoSpaceDN w:val="0"/>
        <w:autoSpaceDE w:val="0"/>
        <w:widowControl/>
        <w:spacing w:line="180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Transfers funded from: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30"/>
        </w:trPr>
        <w:tc>
          <w:tcPr>
            <w:tcW w:type="dxa" w:w="50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</w:t>
            </w:r>
          </w:p>
        </w:tc>
        <w:tc>
          <w:tcPr>
            <w:tcW w:type="dxa" w:w="3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3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40"/>
        </w:trPr>
        <w:tc>
          <w:tcPr>
            <w:tcW w:type="dxa" w:w="5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for Gaza and West Bank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</w:tr>
      <w:tr>
        <w:trPr>
          <w:trHeight w:hRule="exact" w:val="250"/>
        </w:trPr>
        <w:tc>
          <w:tcPr>
            <w:tcW w:type="dxa" w:w="50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LPF1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</w:tr>
      <w:tr>
        <w:trPr>
          <w:trHeight w:hRule="exact" w:val="22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815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</w:tr>
    </w:tbl>
    <w:p>
      <w:pPr>
        <w:autoSpaceDN w:val="0"/>
        <w:autoSpaceDE w:val="0"/>
        <w:widowControl/>
        <w:spacing w:line="180" w:lineRule="exact" w:before="28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amount less than $0.5 million.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96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123</w:t>
      </w: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September 9, 2024, IBRD’s Board of Governors approved transfers from Surplus of $100 million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Trust Fund for Gaza and the West Bank. On September 18, 2024, IBRD's Board of Governors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an additional transfer of $200 million from Surplus to the Trust Fund for Gaza and the West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Bank. </w:t>
      </w:r>
    </w:p>
    <w:p>
      <w:pPr>
        <w:autoSpaceDN w:val="0"/>
        <w:autoSpaceDE w:val="0"/>
        <w:widowControl/>
        <w:spacing w:line="240" w:lineRule="exact" w:before="10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September 18, 2024, IBRD’s Board of Governors approved a transfer of $515 million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Development Association (IDA).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were no amounts payable for the transfers approved by the Board of Governors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2025, and June 30, 2024.</w:t>
      </w:r>
    </w:p>
    <w:p>
      <w:pPr>
        <w:autoSpaceDN w:val="0"/>
        <w:autoSpaceDE w:val="0"/>
        <w:widowControl/>
        <w:spacing w:line="314" w:lineRule="exact" w:before="48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transacts with affiliated organizations by providing loans, administrative, derivative and investment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intermediation services, and through its pension and other postretirement benefit plans.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IBRD provides transfers to IDA out of its net income, upon approval by the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Governors (see Note G—Board of Governors approved transfers).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had the following receivables from (payables to) its affiliated organizations: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H1: IBRD’s receivables and payables with affiliated organizations</w:t>
      </w:r>
    </w:p>
    <w:p>
      <w:pPr>
        <w:autoSpaceDN w:val="0"/>
        <w:autoSpaceDE w:val="0"/>
        <w:widowControl/>
        <w:spacing w:line="178" w:lineRule="exact" w:before="13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24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7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8"/>
        <w:ind w:left="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Receivable (payable)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21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administrative services, net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631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(64) 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584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</w:tr>
      <w:tr>
        <w:trPr>
          <w:trHeight w:hRule="exact" w:val="24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Payable for PCRF investments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(721)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(502)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(1,223)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(489)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(833)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1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postretirement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6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</w:t>
            </w:r>
          </w:p>
        </w:tc>
        <w:tc>
          <w:tcPr>
            <w:tcW w:type="dxa" w:w="7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(1,086)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(859)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(1,979)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(774)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(1,710)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97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(1,176)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(1,425)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300"/>
            <w:gridSpan w:val="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(2,618)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(2,247) </w:t>
            </w:r>
          </w:p>
        </w:tc>
      </w:tr>
      <w:tr>
        <w:trPr>
          <w:trHeight w:hRule="exact" w:val="24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0"/>
            <w:gridSpan w:val="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10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6" w:after="164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receivables from (payables to) these affiliated organizations are reported on the Balance Sheets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898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Receivables / Payables related to: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5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860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Reported as: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liabilities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</w:tbl>
    <w:p>
      <w:pPr>
        <w:autoSpaceDN w:val="0"/>
        <w:autoSpaceDE w:val="0"/>
        <w:widowControl/>
        <w:spacing w:line="268" w:lineRule="exact" w:before="16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Administrative Services</w:t>
      </w:r>
    </w:p>
    <w:p>
      <w:pPr>
        <w:autoSpaceDN w:val="0"/>
        <w:autoSpaceDE w:val="0"/>
        <w:widowControl/>
        <w:spacing w:line="246" w:lineRule="exact" w:before="1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Expenses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 jointly incurred by IBRD and IDA are allocated based on an agreed cost-sharing methodology,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amounts are settled quarterly. For the fiscal year ended June 30, 2025, IBRD’s administrative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 exclude the share of expenses allocated to IDA of $1,989 million ($1,750 million—fiscal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>ended June 30, 2024 and $1,744 million fiscal year ended June 30, 2023).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Revenue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jointly earned by IBRD and IDA is allocated based on an agreed revenue-sharing methodology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amounts are settled quarterly. For the fiscal year ended June 30, 2025, IBRD’s Non</w:t>
      </w:r>
      <w:r>
        <w:rPr>
          <w:rFonts w:ascii="Quivira" w:hAnsi="Quivira" w:eastAsia="Quivir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revenue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excludes revenue allocated to IDA of $330 million ($326 million—fiscal year ended June 30, 2024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$280 million fiscal year ended June 30, 2023). IBRD's share of revenue jointly earned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externally funded activities on the Statements of Income. This revenue also includes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contracts with clients that are not affiliated with IBRD and are as follows: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79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H2: Revenue from contracts with clients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0"/>
        </w:trPr>
        <w:tc>
          <w:tcPr>
            <w:tcW w:type="dxa" w:w="50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fees</w:t>
            </w:r>
          </w:p>
        </w:tc>
        <w:tc>
          <w:tcPr>
            <w:tcW w:type="dxa" w:w="3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</w:tr>
      <w:tr>
        <w:trPr>
          <w:trHeight w:hRule="exact" w:val="240"/>
        </w:trPr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advisory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</w:tr>
      <w:tr>
        <w:trPr>
          <w:trHeight w:hRule="exact" w:val="260"/>
        </w:trPr>
        <w:tc>
          <w:tcPr>
            <w:tcW w:type="dxa" w:w="50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 management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</w:tr>
      <w:tr>
        <w:trPr>
          <w:trHeight w:hRule="exact" w:val="240"/>
        </w:trPr>
        <w:tc>
          <w:tcPr>
            <w:tcW w:type="dxa" w:w="50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2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4"/>
        </w:trPr>
        <w:tc>
          <w:tcPr>
            <w:tcW w:type="dxa" w:w="3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21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 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 </w:t>
            </w:r>
          </w:p>
        </w:tc>
      </w:tr>
      <w:tr>
        <w:trPr>
          <w:trHeight w:hRule="exact" w:val="520"/>
        </w:trPr>
        <w:tc>
          <w:tcPr>
            <w:tcW w:type="dxa" w:w="3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revenue stream represents compensation for services provided and the related revenue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recognized over time.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IBRD performs services, its rights to consideration are deemed unconditional and are classified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receivables. IBRD also has an obligation to provide certain services for which it has received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consideration in advance. Such consideration is presented as a contract liability and is subsequently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recognized as revenue when the related performance obligation is satisfied.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shows IBRD’s receivables and contract liabilities related to revenue from contracts </w:t>
      </w:r>
      <w:r>
        <w:rPr>
          <w:rFonts w:ascii="ArialMT" w:hAnsi="ArialMT" w:eastAsia="ArialMT"/>
          <w:b w:val="0"/>
          <w:i w:val="0"/>
          <w:color w:val="000000"/>
          <w:sz w:val="20"/>
        </w:rPr>
        <w:t>with clients: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H3: Receivables and contract liabilities related to revenue from contracts with clients</w:t>
      </w:r>
    </w:p>
    <w:p>
      <w:pPr>
        <w:autoSpaceDN w:val="0"/>
        <w:autoSpaceDE w:val="0"/>
        <w:widowControl/>
        <w:spacing w:line="178" w:lineRule="exact" w:before="13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4"/>
        </w:trPr>
        <w:tc>
          <w:tcPr>
            <w:tcW w:type="dxa" w:w="6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1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10"/>
        </w:trPr>
        <w:tc>
          <w:tcPr>
            <w:tcW w:type="dxa" w:w="6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466"/>
        </w:trPr>
        <w:tc>
          <w:tcPr>
            <w:tcW w:type="dxa" w:w="6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 liabilities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 </w:t>
            </w:r>
          </w:p>
        </w:tc>
        <w:tc>
          <w:tcPr>
            <w:tcW w:type="dxa" w:w="11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40" w:lineRule="exact" w:before="1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 of fee revenue associated with services provided to affiliated organizations that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Revenue from externally funded activities in the Statements of Income, is as follows: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H4: Fee revenue from affiliated organizations </w:t>
      </w:r>
    </w:p>
    <w:p>
      <w:pPr>
        <w:autoSpaceDN w:val="0"/>
        <w:autoSpaceDE w:val="0"/>
        <w:widowControl/>
        <w:spacing w:line="178" w:lineRule="exact" w:before="138" w:after="1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4"/>
        </w:trPr>
        <w:tc>
          <w:tcPr>
            <w:tcW w:type="dxa" w:w="4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6"/>
        </w:trPr>
        <w:tc>
          <w:tcPr>
            <w:tcW w:type="dxa" w:w="4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</w:tr>
      <w:tr>
        <w:trPr>
          <w:trHeight w:hRule="exact" w:val="450"/>
        </w:trPr>
        <w:tc>
          <w:tcPr>
            <w:tcW w:type="dxa" w:w="4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68" w:lineRule="exact" w:before="16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relate to investments that IBRD has made on behalf of IFC associated with the PCRF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in Investments-Trading on IBRD’s Balance Sheets. The corresponding payable to IFC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in Other liabilities – Accounts payable and miscellaneous liabilities on IBRD’s Balance Sheets. </w:t>
      </w:r>
      <w:r>
        <w:rPr>
          <w:rFonts w:ascii="ArialMT" w:hAnsi="ArialMT" w:eastAsia="ArialMT"/>
          <w:b w:val="0"/>
          <w:i w:val="0"/>
          <w:color w:val="000000"/>
          <w:sz w:val="20"/>
        </w:rPr>
        <w:t>As a result, there is no impact on IBRD’s net asset value from these transactions.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Pension and Other Postretirement Benefits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payable to IDA represents IDA’s net share of prepaid costs for pension and other postretirement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 plans and PEBP assets. These will be realized over the life of the pension plan participants.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payables to IFC and MIGA represent their respective share of PEBP assets.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PEBP assets are managed by IBRD and are part of the investment portfolio. For Pension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Postretirement Benefits related disclosures, see Note K—Pension and Other Postretirement Benefits.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252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I—ACCUMULATED OTHER COMPREHENSIVE INCOME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 or loss consists of net income and other gains and losses affecting equity that,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U.S. GAAP, are excluded from net income. Other comprehensive income (loss) comprises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translation adjustments on assets and liabilities denominated in euro, DVA on Fair Value Option elected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liabilities, and pension related items. These items are presented in the Statements of Comprehensive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tables present the changes in Accumulated Other Comprehensive Income (AOCI):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I1: AOCI/AOCL changes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80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2025</w:t>
      </w:r>
    </w:p>
    <w:p>
      <w:pPr>
        <w:autoSpaceDN w:val="0"/>
        <w:autoSpaceDE w:val="0"/>
        <w:widowControl/>
        <w:spacing w:line="180" w:lineRule="exact" w:before="70" w:after="6"/>
        <w:ind w:left="0" w:right="261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180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00"/>
        </w:trPr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/>
          </w:tcPr>
          <w:p/>
        </w:tc>
        <w:tc>
          <w:tcPr>
            <w:tcW w:type="dxa" w:w="1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18"/>
        </w:trPr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1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42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(445)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1,281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1,281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836 </w:t>
            </w:r>
          </w:p>
        </w:tc>
      </w:tr>
      <w:tr>
        <w:trPr>
          <w:trHeight w:hRule="exact" w:val="256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1,009 </w:t>
            </w:r>
          </w:p>
        </w:tc>
        <w:tc>
          <w:tcPr>
            <w:tcW w:type="dxa" w:w="1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991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1,664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1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(64) ᵃ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3,420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7,161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4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  <w:tc>
          <w:tcPr>
            <w:tcW w:type="dxa" w:w="4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 ᵃ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3,954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5,774  $ 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(74)  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5,700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9,654 </w:t>
            </w:r>
          </w:p>
        </w:tc>
      </w:tr>
    </w:tbl>
    <w:p>
      <w:pPr>
        <w:autoSpaceDN w:val="0"/>
        <w:autoSpaceDE w:val="0"/>
        <w:widowControl/>
        <w:spacing w:line="224" w:lineRule="exact" w:before="44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I1.1: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80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p>
      <w:pPr>
        <w:autoSpaceDN w:val="0"/>
        <w:autoSpaceDE w:val="0"/>
        <w:widowControl/>
        <w:spacing w:line="180" w:lineRule="exact" w:before="70" w:after="6"/>
        <w:ind w:left="0" w:right="261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190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180"/>
        </w:trPr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28"/>
        </w:trPr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87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0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2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52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(150)   $ </w:t>
            </w:r>
          </w:p>
        </w:tc>
        <w:tc>
          <w:tcPr>
            <w:tcW w:type="dxa" w:w="8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(150) 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(445) </w:t>
            </w:r>
          </w:p>
        </w:tc>
      </w:tr>
      <w:tr>
        <w:trPr>
          <w:trHeight w:hRule="exact" w:val="246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945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1                   322 </w:t>
            </w:r>
          </w:p>
        </w:tc>
        <w:tc>
          <w:tcPr>
            <w:tcW w:type="dxa" w:w="1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1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318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(67) ᵃ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3,741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14"/>
        </w:trPr>
        <w:tc>
          <w:tcPr>
            <w:tcW w:type="dxa" w:w="39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 ᵃ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</w:tr>
      <w:tr>
        <w:trPr>
          <w:trHeight w:hRule="exact" w:val="220"/>
        </w:trPr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(58)   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431 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3,954 </w:t>
            </w:r>
          </w:p>
        </w:tc>
      </w:tr>
      <w:tr>
        <w:trPr>
          <w:trHeight w:hRule="exact" w:val="4136"/>
        </w:trPr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126</w:t>
            </w:r>
          </w:p>
        </w:tc>
        <w:tc>
          <w:tcPr>
            <w:tcW w:type="dxa" w:w="444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I1.2: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80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p>
      <w:pPr>
        <w:autoSpaceDN w:val="0"/>
        <w:autoSpaceDE w:val="0"/>
        <w:widowControl/>
        <w:spacing w:line="180" w:lineRule="exact" w:before="70" w:after="6"/>
        <w:ind w:left="0" w:right="261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174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00"/>
        </w:trPr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26"/>
        </w:trPr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8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54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(790)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    $ </w:t>
            </w:r>
          </w:p>
        </w:tc>
        <w:tc>
          <w:tcPr>
            <w:tcW w:type="dxa" w:w="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</w:t>
            </w:r>
          </w:p>
        </w:tc>
      </w:tr>
      <w:tr>
        <w:trPr>
          <w:trHeight w:hRule="exact" w:val="242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364 </w:t>
            </w:r>
          </w:p>
        </w:tc>
        <w:tc>
          <w:tcPr>
            <w:tcW w:type="dxa" w:w="945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1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ᵃ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14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ᵃ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2,566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2,605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</w:tr>
    </w:tbl>
    <w:p>
      <w:pPr>
        <w:autoSpaceDN w:val="0"/>
        <w:autoSpaceDE w:val="0"/>
        <w:widowControl/>
        <w:spacing w:line="156" w:lineRule="exact" w:before="30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a. See Note K—Pension and Other Post Retirement Benefits.</w:t>
      </w:r>
    </w:p>
    <w:p>
      <w:pPr>
        <w:autoSpaceDN w:val="0"/>
        <w:autoSpaceDE w:val="0"/>
        <w:widowControl/>
        <w:spacing w:line="312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J— FAIR VALUE DISCLOSURES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As of June 30, 2025 and June 30, 2024, IBRD had no assets or liabilities measured at fair value on a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Due from Banks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carrying amount of unrestricted and restricted cash is considered a reasonable estimate of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of these positions.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Loans and Loan commitments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were no loans carried at fair value as of June 30, 2025 or June 30, 2024. IBRD’s loans and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commitments would be classified as Level 3 within the fair value hierarchy.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Summarized below are the techniques applied in determining the fair values of IBRD’s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instruments. 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 securities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securities are classified based on management’s intention on the date of purchase,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nature, and IBRD’s policies governing the level and use of such investments. As of June 30, 2025, all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financial instruments in IBRD’s investment portfolio were classified as trading. These securities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carried and reported at fair value, or at face value or NAV, which approximates fair value.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available, quoted market prices are used to determine the fair value of trading securities. Examples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most government and agency securities, mutual funds, exchange-traded equity securities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For instruments for which market quotations are not available, fair values are determined using model-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valuation techniques, whether internally generated or vendor-supplied, that include the standard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discounted cash flow method using observable market inputs such as yield curves, credit spreads,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conditional prepayment rates. Where applicable, unobservable inputs such as conditional prepayment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rates, probability of default and loss severity are used. Unless quoted prices are available, time deposits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reported at face value, which approximates fair value, as they are short term in nature.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588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127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864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Securities purchased under resale agreements, Securities sold under repurchase </w:t>
      </w:r>
      <w:r>
        <w:rPr>
          <w:rFonts w:ascii="Arial" w:hAnsi="Arial" w:eastAsia="Arial"/>
          <w:b/>
          <w:i w:val="0"/>
          <w:color w:val="004972"/>
          <w:sz w:val="22"/>
        </w:rPr>
        <w:t>agreements, and Securities lent under securities lending agreements</w:t>
      </w:r>
    </w:p>
    <w:p>
      <w:pPr>
        <w:autoSpaceDN w:val="0"/>
        <w:autoSpaceDE w:val="0"/>
        <w:widowControl/>
        <w:spacing w:line="224" w:lineRule="exact" w:before="1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These securities are of a short-term nature and reported at face value, which approximates fair value.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Borrowings</w:t>
      </w:r>
    </w:p>
    <w:p>
      <w:pPr>
        <w:autoSpaceDN w:val="0"/>
        <w:autoSpaceDE w:val="0"/>
        <w:widowControl/>
        <w:spacing w:line="246" w:lineRule="exact" w:before="13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(i) Discount notes and vanilla bonds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 notes and vanilla bonds issued by IBRD are valued using the standard discounted cash flow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method, which relies on observable market inputs such as yield curves, foreign exchange rates,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>spreads and funding spreads.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(ii) Structured bonds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Structured bonds issued by IBRD have coupon or repayment terms linked to the level or the performance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interest rates, foreign exchange rates, equity indices, catastrophic events, or commodities.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the structured bonds is generally derived using the discounted cash flow method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future pay-offs determined by applicable models and computation of embedded optionality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as caps, floors and calls. A wide range of industry standard models such as one factor Hull-White,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Generalized Forward Market Model and Black-Scholes are used depending on the specific structure.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models incorporate observable market inputs, such as yield curves, foreign exchange rates,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spreads, funding spreads, interest rate volatilities, equity index volatilities and equity indices.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applicable, the models also incorporate significant unobservable inputs such as correlations between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relevant market data and long-dated interest rate volatilities. Generally, the movements in correlations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considered to be independent of movements in long-dated interest rate volatilities.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(iii) Borrowings, at amortized cost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 of borrowings measured at amortized cost would be classified as Level 3 within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hierarchy.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Derivative instruments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contracts include currency forward contracts, TBA securities, swaptions, options and futures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contracts, currency swaps and interest rate swaps. Currency swaps and interest rate swaps are either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plain vanilla or structured. Currency forward contracts and plain vanilla currency and interest rate swaps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valued using the standard discounted cash flow methods using observable market inputs such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yield curves, foreign exchange rates, basis spreads and funding spreads. For structured currency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 swaps, which primarily consist of callable swaps linked to interest rates, foreign exchange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rates, and equity indices, valuation models and inputs similar to the ones applicable to the valuation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structured bonds are used. Where applicable, the models also incorporate significant unobservable inputs </w:t>
      </w:r>
      <w:r>
        <w:rPr>
          <w:rFonts w:ascii="ArialMT" w:hAnsi="ArialMT" w:eastAsia="ArialMT"/>
          <w:b w:val="0"/>
          <w:i w:val="0"/>
          <w:color w:val="000000"/>
          <w:sz w:val="20"/>
        </w:rPr>
        <w:t>such as correlations and long-dated interest rate volatilities.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DVA on fair value option elected liabilities is measured by revaluing each liability to determine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fair value of that liability arising from changes in IBRD’s funding spread applicable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relevant reference rate.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26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892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table below presents IBRD’s estimates of fair value of its financial assets and liabilities along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their respective carrying amounts: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J1: Fair value and carrying amount of financial assets and liabilities</w:t>
      </w:r>
    </w:p>
    <w:p>
      <w:pPr>
        <w:autoSpaceDN w:val="0"/>
        <w:autoSpaceDE w:val="0"/>
        <w:widowControl/>
        <w:spacing w:line="180" w:lineRule="exact" w:before="158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56"/>
        </w:trPr>
        <w:tc>
          <w:tcPr>
            <w:tcW w:type="dxa" w:w="639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91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56"/>
        </w:trPr>
        <w:tc>
          <w:tcPr>
            <w:tcW w:type="dxa" w:w="4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Investments-Trading (including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04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purchased under resale agreements)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102,688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102,688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</w:tr>
      <w:tr>
        <w:trPr>
          <w:trHeight w:hRule="exact" w:val="2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280,043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278,883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257,415 </w:t>
            </w:r>
          </w:p>
        </w:tc>
      </w:tr>
      <w:tr>
        <w:trPr>
          <w:trHeight w:hRule="exact" w:val="2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666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86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80" w:lineRule="exact" w:before="270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305,679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305,679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5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amortized cost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482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" w:after="6"/>
        <w:ind w:left="6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sold/lent under repurchase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agreements/securities lending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0"/>
        </w:trPr>
        <w:tc>
          <w:tcPr>
            <w:tcW w:type="dxa" w:w="3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payable for cash collateral received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514"/>
        </w:trPr>
        <w:tc>
          <w:tcPr>
            <w:tcW w:type="dxa" w:w="3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12,454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12,454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IBRD’s signed loan commitments were $77 billion ($67 billion—June 30, 2024)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had a fair value of $(0.014) billion ($0.3 billion—June 30, 2024).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7324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129</w:t>
      </w: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present IBRD’s fair value hierarchy for assets and liabilities measured at fair value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recurring basis. The fair value of the investments included in the Other fund investments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measured using the NAV as a practical expedient are included in the table below but excluded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fair value hierarchy.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J2: Fair value hierarchy of IBRD’s assets and liabilities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9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62" w:after="20"/>
        <w:ind w:left="0" w:right="156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7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6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3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 obligations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15,957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28,194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44,151 </w:t>
            </w:r>
          </w:p>
        </w:tc>
      </w:tr>
      <w:tr>
        <w:trPr>
          <w:trHeight w:hRule="exact" w:val="24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2,750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49,533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52,283 </w:t>
            </w:r>
          </w:p>
        </w:tc>
      </w:tr>
      <w:tr>
        <w:trPr>
          <w:trHeight w:hRule="exact" w:val="22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3,210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3,210 </w:t>
            </w:r>
          </w:p>
        </w:tc>
      </w:tr>
      <w:tr>
        <w:trPr>
          <w:trHeight w:hRule="exact" w:val="26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416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2,775 </w:t>
            </w:r>
          </w:p>
        </w:tc>
      </w:tr>
      <w:tr>
        <w:trPr>
          <w:trHeight w:hRule="exact" w:val="240"/>
        </w:trPr>
        <w:tc>
          <w:tcPr>
            <w:tcW w:type="dxa" w:w="5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 </w:t>
            </w:r>
          </w:p>
        </w:tc>
      </w:tr>
      <w:tr>
        <w:trPr>
          <w:trHeight w:hRule="exact" w:val="240"/>
        </w:trPr>
        <w:tc>
          <w:tcPr>
            <w:tcW w:type="dxa" w:w="5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18,962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81,353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102,674 </w:t>
            </w:r>
          </w:p>
        </w:tc>
      </w:tr>
      <w:tr>
        <w:trPr>
          <w:trHeight w:hRule="exact" w:val="242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5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4,926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5,115 </w:t>
            </w:r>
          </w:p>
        </w:tc>
      </w:tr>
      <w:tr>
        <w:trPr>
          <w:trHeight w:hRule="exact" w:val="24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7,392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7,559 </w:t>
            </w:r>
          </w:p>
        </w:tc>
      </w:tr>
      <w:tr>
        <w:trPr>
          <w:trHeight w:hRule="exact" w:val="254"/>
        </w:trPr>
        <w:tc>
          <w:tcPr>
            <w:tcW w:type="dxa" w:w="5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5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12,318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12,676 </w:t>
            </w:r>
          </w:p>
        </w:tc>
      </w:tr>
      <w:tr>
        <w:trPr>
          <w:trHeight w:hRule="exact" w:val="586"/>
        </w:trPr>
        <w:tc>
          <w:tcPr>
            <w:tcW w:type="dxa" w:w="5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$ 300,845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$ 4,834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305,679 </w:t>
            </w:r>
          </w:p>
        </w:tc>
      </w:tr>
      <w:tr>
        <w:trPr>
          <w:trHeight w:hRule="exact" w:val="21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 securities lent under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</w:tr>
      <w:tr>
        <w:trPr>
          <w:trHeight w:hRule="exact" w:val="22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44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7,097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7,192 </w:t>
            </w:r>
          </w:p>
        </w:tc>
      </w:tr>
      <w:tr>
        <w:trPr>
          <w:trHeight w:hRule="exact" w:val="220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17,331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17,523 </w:t>
            </w:r>
          </w:p>
        </w:tc>
      </w:tr>
      <w:tr>
        <w:trPr>
          <w:trHeight w:hRule="exact" w:val="266"/>
        </w:trPr>
        <w:tc>
          <w:tcPr>
            <w:tcW w:type="dxa" w:w="5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24,428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24,715 </w:t>
            </w:r>
          </w:p>
        </w:tc>
      </w:tr>
      <w:tr>
        <w:trPr>
          <w:trHeight w:hRule="exact" w:val="554"/>
        </w:trPr>
        <w:tc>
          <w:tcPr>
            <w:tcW w:type="dxa" w:w="5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tabs>
          <w:tab w:pos="196" w:val="left"/>
        </w:tabs>
        <w:autoSpaceDE w:val="0"/>
        <w:widowControl/>
        <w:spacing w:line="192" w:lineRule="exact" w:before="262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 Investments held by LPF1 and GFPP of $416 million, which are carried at fair value and investments in PEBP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holdings of $2,359 million, which are carried at NAV and excluded from the fair value hierarchy.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swaptions, options, and futures contracts.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Excludes payable for cash collateral received.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96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J2.1:</w:t>
      </w:r>
    </w:p>
    <w:p>
      <w:pPr>
        <w:autoSpaceDN w:val="0"/>
        <w:autoSpaceDE w:val="0"/>
        <w:widowControl/>
        <w:spacing w:line="178" w:lineRule="exact" w:before="13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8" w:after="0"/>
        <w:ind w:left="0" w:right="4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46" w:after="12"/>
        <w:ind w:left="0" w:right="158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26.0" w:type="dxa"/>
      </w:tblPr>
      <w:tblGrid>
        <w:gridCol w:w="2361"/>
        <w:gridCol w:w="2361"/>
        <w:gridCol w:w="2361"/>
        <w:gridCol w:w="2361"/>
      </w:tblGrid>
      <w:tr>
        <w:trPr>
          <w:trHeight w:hRule="exact" w:val="226"/>
        </w:trPr>
        <w:tc>
          <w:tcPr>
            <w:tcW w:type="dxa" w:w="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48" w:after="2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08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agency and corporate obligations</w:t>
            </w:r>
          </w:p>
        </w:tc>
        <w:tc>
          <w:tcPr>
            <w:tcW w:type="dxa" w:w="2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12,940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19,413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3,517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42,474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0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34"/>
        </w:trPr>
        <w:tc>
          <w:tcPr>
            <w:tcW w:type="dxa" w:w="5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26"/>
        </w:trPr>
        <w:tc>
          <w:tcPr>
            <w:tcW w:type="dxa" w:w="5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16,806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63,767 </w:t>
            </w:r>
          </w:p>
        </w:tc>
        <w:tc>
          <w:tcPr>
            <w:tcW w:type="dxa" w:w="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26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3,935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</w:tr>
      <w:tr>
        <w:trPr>
          <w:trHeight w:hRule="exact" w:val="22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7,836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</w:tr>
      <w:tr>
        <w:trPr>
          <w:trHeight w:hRule="exact" w:val="246"/>
        </w:trPr>
        <w:tc>
          <w:tcPr>
            <w:tcW w:type="dxa" w:w="5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24"/>
        </w:trPr>
        <w:tc>
          <w:tcPr>
            <w:tcW w:type="dxa" w:w="5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11,771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</w:tr>
      <w:tr>
        <w:trPr>
          <w:trHeight w:hRule="exact" w:val="496"/>
        </w:trPr>
        <w:tc>
          <w:tcPr>
            <w:tcW w:type="dxa" w:w="5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2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$ 257,735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1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securities lent under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22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8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9,816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43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24,556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37"/>
        </w:trPr>
        <w:tc>
          <w:tcPr>
            <w:tcW w:type="dxa" w:w="5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6"/>
        </w:trPr>
        <w:tc>
          <w:tcPr>
            <w:tcW w:type="dxa" w:w="5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34,372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294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  <w:tr>
        <w:trPr>
          <w:trHeight w:hRule="exact" w:val="448"/>
        </w:trPr>
        <w:tc>
          <w:tcPr>
            <w:tcW w:type="dxa" w:w="5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78" w:lineRule="exact" w:before="25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</w:t>
      </w:r>
      <w:r>
        <w:rPr>
          <w:rFonts w:ascii="Arial" w:hAnsi="Arial" w:eastAsia="Arial"/>
          <w:b w:val="0"/>
          <w:i/>
          <w:strike/>
          <w:color w:val="000000"/>
          <w:sz w:val="16"/>
        </w:rPr>
        <w:t xml:space="preserve">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forward contracts.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swaptions, options, and futures contracts.</w:t>
      </w:r>
    </w:p>
    <w:p>
      <w:pPr>
        <w:autoSpaceDN w:val="0"/>
        <w:autoSpaceDE w:val="0"/>
        <w:widowControl/>
        <w:spacing w:line="180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Excludes payable for cash collateral received.</w:t>
      </w:r>
    </w:p>
    <w:p>
      <w:pPr>
        <w:autoSpaceDN w:val="0"/>
        <w:autoSpaceDE w:val="0"/>
        <w:widowControl/>
        <w:spacing w:line="240" w:lineRule="exact" w:before="19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Level 3 borrowings primarily relate to structured bonds. The fair value of these bonds is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using discounted cash flow valuation models that incorporate model parameters, observable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inputs, and unobservable inputs. The significant unobservable inputs used in the fair value measurement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structured bonds and swaps are correlations and long-dated market interest rate volatilities. Generally,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movements in correlations are considered to be independent of the movements in long-dated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>rate volatilities.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3244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131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Correlation is the statistical measurement of the relationship between two variables. For contracts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holder benefits from the convergence of the underlying index prices (e.g., market interest rates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foreign exchange rates), an increase in correlation would generally result in an increase in the fair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instrument. The magnitude and direction of the fair value adjustment would depend on whether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holder is short or long the option.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 volatility is the extent to which the level of interest rates change over time. For purchased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options, an increase in volatility will generally result in an increase in the fair value. In general,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volatility used to price the option depends on the maturity of the underlying instrument and the option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strike price. During the fiscal year ended June 30, 2025 and the fiscal year ended June 30, 2024,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 volatilities for certain currencies were extrapolated for certain tenors and, thus,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considered an unobservable input.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entered into transactions which have an embedded option associated with an equity index.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Valuation inputs of such transactions include, among other valuation inputs, volatilities of the equity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indices, that are the extent to which the level of equity index changes over time. These index volatility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are consistent with the respective index construction methodologies and historical movements.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Similar to the impact of the volatility of the other asset classes described above, an increase in the equity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index volatility will result in an increase in the value of the purchase option and vice versa.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certain instances, particularly for instruments with coupon or repayment terms linked to catastrophic </w:t>
      </w:r>
      <w:r>
        <w:rPr>
          <w:rFonts w:ascii="ArialMT" w:hAnsi="ArialMT" w:eastAsia="ArialMT"/>
          <w:b w:val="0"/>
          <w:i w:val="0"/>
          <w:color w:val="000000"/>
          <w:sz w:val="20"/>
        </w:rPr>
        <w:t>events, management relies on instrument valuations supplied by external pricing vendors.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provides a summary of the valuation technique applied in determining fair values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Level 3 instruments and quantitative information regarding the significant unobservable inputs used. </w:t>
      </w:r>
      <w:r>
        <w:rPr>
          <w:rFonts w:ascii="ArialMT" w:hAnsi="ArialMT" w:eastAsia="ArialMT"/>
          <w:b w:val="0"/>
          <w:i w:val="0"/>
          <w:color w:val="000000"/>
          <w:sz w:val="20"/>
        </w:rPr>
        <w:t>Level 3 instruments represent 2% of IBRD’s borrowings.</w:t>
      </w:r>
    </w:p>
    <w:p>
      <w:pPr>
        <w:autoSpaceDN w:val="0"/>
        <w:autoSpaceDE w:val="0"/>
        <w:widowControl/>
        <w:spacing w:line="240" w:lineRule="exact" w:before="120" w:after="0"/>
        <w:ind w:left="1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J3: Level 3 Borrowings and derivatives valuation technique and quantitative information </w:t>
      </w:r>
      <w:r>
        <w:rPr>
          <w:rFonts w:ascii="Arial" w:hAnsi="Arial" w:eastAsia="Arial"/>
          <w:b/>
          <w:i w:val="0"/>
          <w:color w:val="000000"/>
          <w:sz w:val="20"/>
        </w:rPr>
        <w:t>regarding the significant unobservable inputs: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20"/>
        </w:trPr>
        <w:tc>
          <w:tcPr>
            <w:tcW w:type="dxa" w:w="8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17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116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9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Valuation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Unobservable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2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Range (average), 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Range (average),</w:t>
            </w:r>
          </w:p>
        </w:tc>
      </w:tr>
      <w:tr>
        <w:trPr>
          <w:trHeight w:hRule="exact" w:val="10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116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8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577"/>
            <w:gridSpan w:val="3"/>
            <w:vMerge/>
            <w:tcBorders/>
          </w:tcPr>
          <w:p/>
        </w:tc>
        <w:tc>
          <w:tcPr>
            <w:tcW w:type="dxa" w:w="2577"/>
            <w:gridSpan w:val="3"/>
            <w:vMerge/>
            <w:tcBorders/>
          </w:tcPr>
          <w:p/>
        </w:tc>
        <w:tc>
          <w:tcPr>
            <w:tcW w:type="dxa" w:w="9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Technique</w:t>
            </w:r>
          </w:p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input</w:t>
            </w:r>
          </w:p>
        </w:tc>
        <w:tc>
          <w:tcPr>
            <w:tcW w:type="dxa" w:w="1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6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6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1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603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-14% to 80% (10%)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14"/>
        </w:trPr>
        <w:tc>
          <w:tcPr>
            <w:tcW w:type="dxa" w:w="8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88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4,834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106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66% to 72% (70%)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80"/>
        </w:trPr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/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(10%)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34"/>
        </w:trPr>
        <w:tc>
          <w:tcPr>
            <w:tcW w:type="dxa" w:w="6034"/>
            <w:gridSpan w:val="9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603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-14% to 80% (10%)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06"/>
        </w:trPr>
        <w:tc>
          <w:tcPr>
            <w:tcW w:type="dxa" w:w="14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2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06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66% to 72% (70%)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100"/>
        </w:trPr>
        <w:tc>
          <w:tcPr>
            <w:tcW w:type="dxa" w:w="144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assets/(liabilities), </w:t>
            </w:r>
          </w:p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1718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859"/>
            <w:vMerge/>
            <w:tcBorders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14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</w:t>
            </w:r>
          </w:p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</w:tcBorders>
          </w:tcPr>
          <w:p/>
        </w:tc>
        <w:tc>
          <w:tcPr>
            <w:tcW w:type="dxa" w:w="1718"/>
            <w:gridSpan w:val="2"/>
            <w:vMerge/>
            <w:tcBorders/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(10%)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26"/>
        </w:trPr>
        <w:tc>
          <w:tcPr>
            <w:tcW w:type="dxa" w:w="6034"/>
            <w:gridSpan w:val="9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4184"/>
        </w:trPr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132</w:t>
            </w:r>
          </w:p>
        </w:tc>
        <w:tc>
          <w:tcPr>
            <w:tcW w:type="dxa" w:w="5184"/>
            <w:gridSpan w:val="8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tables below provide the details of transfers between Level 2 and Level 3 that are due to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observable inputs.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J4: Borrowings and derivatives inter level transfers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480"/>
        </w:trPr>
        <w:tc>
          <w:tcPr>
            <w:tcW w:type="dxa" w:w="3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(91) </w:t>
            </w:r>
          </w:p>
        </w:tc>
        <w:tc>
          <w:tcPr>
            <w:tcW w:type="dxa" w:w="6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(103) </w:t>
            </w:r>
          </w:p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(46) 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  <w:tc>
          <w:tcPr>
            <w:tcW w:type="dxa" w:w="6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(95)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(into) out of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6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(63) </w:t>
            </w:r>
          </w:p>
        </w:tc>
        <w:tc>
          <w:tcPr>
            <w:tcW w:type="dxa" w:w="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out of (into)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(56)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</w:tr>
      <w:tr>
        <w:trPr>
          <w:trHeight w:hRule="exact" w:val="22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Derivative Transfers, net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(27)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</w:tr>
    </w:tbl>
    <w:p>
      <w:pPr>
        <w:autoSpaceDN w:val="0"/>
        <w:autoSpaceDE w:val="0"/>
        <w:widowControl/>
        <w:spacing w:line="240" w:lineRule="exact" w:before="3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provide a summary of changes in the fair value of IBRD’s Level 3 borrowings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derivatives: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J5: Borrowings Level 3 changes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4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4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4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</w:tr>
      <w:tr>
        <w:trPr>
          <w:trHeight w:hRule="exact" w:val="24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796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1,054 </w:t>
            </w:r>
          </w:p>
        </w:tc>
      </w:tr>
      <w:tr>
        <w:trPr>
          <w:trHeight w:hRule="exact" w:val="24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(430)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(831)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mark-to-market losses (gains)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38"/>
        </w:trPr>
        <w:tc>
          <w:tcPr>
            <w:tcW w:type="dxa" w:w="3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352 </w:t>
            </w:r>
          </w:p>
        </w:tc>
        <w:tc>
          <w:tcPr>
            <w:tcW w:type="dxa" w:w="5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income</w:t>
            </w:r>
          </w:p>
        </w:tc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(83)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43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1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4,834 </w:t>
            </w:r>
          </w:p>
        </w:tc>
        <w:tc>
          <w:tcPr>
            <w:tcW w:type="dxa" w:w="7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90"/>
        </w:trPr>
        <w:tc>
          <w:tcPr>
            <w:tcW w:type="dxa" w:w="3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76" w:after="0"/>
              <w:ind w:left="8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7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62" w:val="left"/>
        </w:tabs>
        <w:autoSpaceDE w:val="0"/>
        <w:widowControl/>
        <w:spacing w:line="272" w:lineRule="exact" w:before="0" w:after="20"/>
        <w:ind w:left="10" w:right="576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J6: Derivatives Level 3 changes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54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2025</w:t>
            </w:r>
          </w:p>
        </w:tc>
        <w:tc>
          <w:tcPr>
            <w:tcW w:type="dxa" w:w="318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2024</w:t>
            </w:r>
          </w:p>
        </w:tc>
      </w:tr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54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Derivatives, Assets/(Liabilities)</w:t>
            </w:r>
          </w:p>
        </w:tc>
        <w:tc>
          <w:tcPr>
            <w:tcW w:type="dxa" w:w="318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Derivatives, Assets/(Liabilities)</w:t>
            </w:r>
          </w:p>
        </w:tc>
      </w:tr>
      <w:tr>
        <w:trPr>
          <w:trHeight w:hRule="exact" w:val="220"/>
        </w:trPr>
        <w:tc>
          <w:tcPr>
            <w:tcW w:type="dxa" w:w="30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229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10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211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</w:t>
            </w:r>
          </w:p>
        </w:tc>
      </w:tr>
      <w:tr>
        <w:trPr>
          <w:trHeight w:hRule="exact" w:val="214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Swaps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Swaps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0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Swaps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Swaps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  <w:tr>
        <w:trPr>
          <w:trHeight w:hRule="exact" w:val="546"/>
        </w:trPr>
        <w:tc>
          <w:tcPr>
            <w:tcW w:type="dxa" w:w="3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 $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(62) 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(78)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(78) </w:t>
            </w:r>
          </w:p>
        </w:tc>
      </w:tr>
      <w:tr>
        <w:trPr>
          <w:trHeight w:hRule="exact" w:val="252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(53)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192" w:lineRule="exact" w:before="10" w:after="30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market gains (losses)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4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3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income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</w:tr>
      <w:tr>
        <w:trPr>
          <w:trHeight w:hRule="exact" w:val="246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(27) 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(27)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 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 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(62) 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</w:tr>
    </w:tbl>
    <w:p>
      <w:pPr>
        <w:autoSpaceDN w:val="0"/>
        <w:tabs>
          <w:tab w:pos="62" w:val="left"/>
        </w:tabs>
        <w:autoSpaceDE w:val="0"/>
        <w:widowControl/>
        <w:spacing w:line="290" w:lineRule="exact" w:before="376" w:after="2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on the unrealized gains or losses included in the Statements of Income and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 relating to IBRD’s Level 3 borrowings and derivatives that are still held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reporting dates, is presented in the following table: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Table J7: Unrealized gains or losses relating to IBRD’s Level 3 borrowings and derivatives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8"/>
        <w:gridCol w:w="3148"/>
        <w:gridCol w:w="3148"/>
      </w:tblGrid>
      <w:tr>
        <w:trPr>
          <w:trHeight w:hRule="exact" w:val="254"/>
        </w:trPr>
        <w:tc>
          <w:tcPr>
            <w:tcW w:type="dxa" w:w="6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08" w:lineRule="exact" w:before="0" w:after="12"/>
        <w:ind w:left="62" w:right="83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Reported 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(loss)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(302)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income (loss)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(53)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24"/>
        </w:trPr>
        <w:tc>
          <w:tcPr>
            <w:tcW w:type="dxa" w:w="4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income (loss 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(107)       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(54) </w:t>
            </w:r>
          </w:p>
        </w:tc>
      </w:tr>
      <w:tr>
        <w:trPr>
          <w:trHeight w:hRule="exact" w:val="460"/>
        </w:trPr>
        <w:tc>
          <w:tcPr>
            <w:tcW w:type="dxa" w:w="4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(loss) income 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2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(91)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16" w:lineRule="exact" w:before="0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are included in Unrealized mark-to-market gains (losses) on non-trading portfolios, net on the Statements of Income.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b. Amounts are included in Currency translation adjustment on functional currency and Net Change in DVA on fair value option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elected liabilities, in the Statements of Comprehensive Income.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Amounts are included in Currency translation adjustment on functional currency, in the Statements of Comprehensive Income.</w:t>
      </w:r>
    </w:p>
    <w:p>
      <w:pPr>
        <w:autoSpaceDN w:val="0"/>
        <w:tabs>
          <w:tab w:pos="62" w:val="left"/>
          <w:tab w:pos="5838" w:val="left"/>
        </w:tabs>
        <w:autoSpaceDE w:val="0"/>
        <w:widowControl/>
        <w:spacing w:line="282" w:lineRule="exact" w:before="154" w:after="8"/>
        <w:ind w:left="10" w:right="201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J8: Borrowings fair value and contractual principal balance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Principal Amount Due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14"/>
        </w:trPr>
        <w:tc>
          <w:tcPr>
            <w:tcW w:type="dxa" w:w="570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Upon Maturity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30"/>
        </w:trPr>
        <w:tc>
          <w:tcPr>
            <w:tcW w:type="dxa" w:w="24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2025</w:t>
            </w:r>
          </w:p>
        </w:tc>
        <w:tc>
          <w:tcPr>
            <w:tcW w:type="dxa" w:w="1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305,679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325,327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(19,648) </w:t>
            </w:r>
          </w:p>
        </w:tc>
      </w:tr>
      <w:tr>
        <w:trPr>
          <w:trHeight w:hRule="exact" w:val="490"/>
        </w:trPr>
        <w:tc>
          <w:tcPr>
            <w:tcW w:type="dxa" w:w="2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1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285,322 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(23,532) </w:t>
            </w:r>
          </w:p>
        </w:tc>
      </w:tr>
      <w:tr>
        <w:trPr>
          <w:trHeight w:hRule="exact" w:val="3100"/>
        </w:trPr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8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134</w:t>
            </w:r>
          </w:p>
        </w:tc>
        <w:tc>
          <w:tcPr>
            <w:tcW w:type="dxa" w:w="509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86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provide information on the changes in fair value due to the change in IBRD’s own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for financial liabilities measured under the fair value option, included in the Statements of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Comprehensive Income: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J9: Changes in fair value due to IBRD’s own credit risk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mark-to-market gains (losses) due to DVA on fair value option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4"/>
        </w:trPr>
        <w:tc>
          <w:tcPr>
            <w:tcW w:type="dxa" w:w="59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elected liabilities</w:t>
            </w:r>
          </w:p>
        </w:tc>
        <w:tc>
          <w:tcPr>
            <w:tcW w:type="dxa" w:w="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26"/>
        </w:trPr>
        <w:tc>
          <w:tcPr>
            <w:tcW w:type="dxa" w:w="59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4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1,009 </w:t>
            </w:r>
          </w:p>
        </w:tc>
        <w:tc>
          <w:tcPr>
            <w:tcW w:type="dxa" w:w="4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</w:tr>
      <w:tr>
        <w:trPr>
          <w:trHeight w:hRule="exact" w:val="226"/>
        </w:trPr>
        <w:tc>
          <w:tcPr>
            <w:tcW w:type="dxa" w:w="59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Amounts reclassified to net income upon derecognition of a liability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04"/>
        </w:trPr>
        <w:tc>
          <w:tcPr>
            <w:tcW w:type="dxa" w:w="59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change in DVA on Fair Value Option Elected Liabilities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991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IBRD’s Balance Sheets included a DVA of $1,664 million cumulative gains ($673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cumulative gain—June 30, 2024) in Accumulated other comprehensive income, associated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changes in IBRD’s own credit for financial liabilities measured under the fair value option.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J10: Unrealized mark-to-market gains or losses on investments-trading, and non-trading </w:t>
      </w:r>
      <w:r>
        <w:rPr>
          <w:rFonts w:ascii="Arial" w:hAnsi="Arial" w:eastAsia="Arial"/>
          <w:b/>
          <w:i w:val="0"/>
          <w:color w:val="000000"/>
          <w:sz w:val="20"/>
        </w:rPr>
        <w:t>portfolios, net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5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2025</w:t>
      </w:r>
    </w:p>
    <w:p>
      <w:pPr>
        <w:autoSpaceDN w:val="0"/>
        <w:autoSpaceDE w:val="0"/>
        <w:widowControl/>
        <w:spacing w:line="178" w:lineRule="exact" w:before="82" w:after="6"/>
        <w:ind w:left="0" w:right="209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68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40"/>
        </w:trPr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(343)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557  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(1,376)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(1,372)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61"/>
        <w:gridCol w:w="2361"/>
        <w:gridCol w:w="2361"/>
        <w:gridCol w:w="2361"/>
      </w:tblGrid>
      <w:tr>
        <w:trPr>
          <w:trHeight w:hRule="exact" w:val="21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1,839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1,839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04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7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(234)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(234) ᵇ  </w:t>
            </w:r>
          </w:p>
        </w:tc>
      </w:tr>
      <w:tr>
        <w:trPr>
          <w:trHeight w:hRule="exact" w:val="250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  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</w:tbl>
    <w:p>
      <w:pPr>
        <w:autoSpaceDN w:val="0"/>
        <w:autoSpaceDE w:val="0"/>
        <w:widowControl/>
        <w:spacing w:line="222" w:lineRule="exact" w:before="5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J10.1: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5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p>
      <w:pPr>
        <w:autoSpaceDN w:val="0"/>
        <w:autoSpaceDE w:val="0"/>
        <w:widowControl/>
        <w:spacing w:line="178" w:lineRule="exact" w:before="82" w:after="6"/>
        <w:ind w:left="0" w:right="209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78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30"/>
        </w:trPr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42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61"/>
        <w:gridCol w:w="2361"/>
        <w:gridCol w:w="2361"/>
        <w:gridCol w:w="2361"/>
      </w:tblGrid>
      <w:tr>
        <w:trPr>
          <w:trHeight w:hRule="exact" w:val="21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1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 ᵇ</w:t>
            </w:r>
          </w:p>
        </w:tc>
      </w:tr>
      <w:tr>
        <w:trPr>
          <w:trHeight w:hRule="exact" w:val="240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6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289 </w:t>
            </w:r>
          </w:p>
        </w:tc>
      </w:tr>
      <w:tr>
        <w:trPr>
          <w:trHeight w:hRule="exact" w:val="2190"/>
        </w:trPr>
        <w:tc>
          <w:tcPr>
            <w:tcW w:type="dxa" w:w="40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56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7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J10.2: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54" w:after="0"/>
        <w:ind w:left="0" w:right="25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p>
      <w:pPr>
        <w:autoSpaceDN w:val="0"/>
        <w:autoSpaceDE w:val="0"/>
        <w:widowControl/>
        <w:spacing w:line="180" w:lineRule="exact" w:before="90" w:after="6"/>
        <w:ind w:left="0" w:right="209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82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26"/>
        </w:trPr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(42)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4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1,673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61"/>
        <w:gridCol w:w="2361"/>
        <w:gridCol w:w="2361"/>
        <w:gridCol w:w="2361"/>
      </w:tblGrid>
      <w:tr>
        <w:trPr>
          <w:trHeight w:hRule="exact" w:val="21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(1,642)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(1,642)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00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(198)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(190) ᵇ  </w:t>
            </w:r>
          </w:p>
        </w:tc>
      </w:tr>
      <w:tr>
        <w:trPr>
          <w:trHeight w:hRule="exact" w:val="254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(167)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(155) </w:t>
            </w:r>
          </w:p>
        </w:tc>
      </w:tr>
    </w:tbl>
    <w:p>
      <w:pPr>
        <w:autoSpaceDN w:val="0"/>
        <w:autoSpaceDE w:val="0"/>
        <w:widowControl/>
        <w:spacing w:line="178" w:lineRule="exact" w:before="36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autoSpaceDE w:val="0"/>
        <w:widowControl/>
        <w:spacing w:line="192" w:lineRule="exact" w:before="70" w:after="0"/>
        <w:ind w:left="0" w:right="5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$7,714 million of unrealized mark-to-market gains related to derivatives associated with borrowings for fiscal year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ended June 30, 2025 (unrealized mark-to-market gains of $4,220 million—fiscal year ended June 30, 2024 and unrealized </w:t>
      </w:r>
      <w:r>
        <w:rPr>
          <w:rFonts w:ascii="Arial" w:hAnsi="Arial" w:eastAsia="Arial"/>
          <w:b w:val="0"/>
          <w:i/>
          <w:color w:val="000000"/>
          <w:sz w:val="16"/>
        </w:rPr>
        <w:t>mark-to-market losses of $5,851 million—fiscal year ended June 30, 2023).</w:t>
      </w:r>
    </w:p>
    <w:p>
      <w:pPr>
        <w:autoSpaceDN w:val="0"/>
        <w:autoSpaceDE w:val="0"/>
        <w:widowControl/>
        <w:spacing w:line="312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K—PENSION AND OTHER POSTRETIREMENT BENEFITS</w:t>
      </w:r>
    </w:p>
    <w:p>
      <w:pPr>
        <w:autoSpaceDN w:val="0"/>
        <w:autoSpaceDE w:val="0"/>
        <w:widowControl/>
        <w:spacing w:line="240" w:lineRule="exact" w:before="118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IBRD, IFC and MIGA participate in the defined benefit Staff Retirement Plan (SRP), a Retired Staff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Benefits Plan (RSBP) and PEBP (collectively "the Pension Plans") that cover substantially all of their staff </w:t>
      </w:r>
      <w:r>
        <w:rPr>
          <w:rFonts w:ascii="ArialMT" w:hAnsi="ArialMT" w:eastAsia="ArialMT"/>
          <w:b w:val="0"/>
          <w:i w:val="0"/>
          <w:color w:val="000000"/>
          <w:sz w:val="20"/>
        </w:rPr>
        <w:t>members.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SRP provides pension benefits and includes a cash balance plan. The RSBP provides certain health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life insurance benefits to eligible retirees. The PEBP provides certain pension benefits administered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outside the SRP.</w:t>
      </w:r>
    </w:p>
    <w:p>
      <w:pPr>
        <w:autoSpaceDN w:val="0"/>
        <w:autoSpaceDE w:val="0"/>
        <w:widowControl/>
        <w:spacing w:line="250" w:lineRule="exact" w:before="11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uses a June 30</w:t>
      </w:r>
      <w:r>
        <w:rPr>
          <w:rFonts w:ascii="ArialMT" w:hAnsi="ArialMT" w:eastAsia="ArialMT"/>
          <w:b w:val="0"/>
          <w:i w:val="0"/>
          <w:color w:val="000000"/>
          <w:sz w:val="13"/>
        </w:rPr>
        <w:t>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measurement date for its pension and other postretirement benefit plans.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costs, assets and liabilities associated with these plans are allocated between IBRD, IFC, and MIGA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upon their employees’ respective participation in the Pension Plans. Costs allocated to IBRD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then shared between IBRD and IDA based on an agreed cost-sharing methodology. IDA, IFC and MIGA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reimburse IBRD for their proportionate share of any contributions made to these plans by IBRD.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to the Pension Plans are calculated as a percentage of salary.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491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summarizes the benefit costs associated with the SRP, RSBP, and PEBP for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IDA: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K1: Pension Plan benefit costs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240"/>
        </w:trPr>
        <w:tc>
          <w:tcPr>
            <w:tcW w:type="dxa" w:w="1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1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</w:tr>
      <w:tr>
        <w:trPr>
          <w:trHeight w:hRule="exact" w:val="24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1,011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944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Expected return on plan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(1,492)    (1,377)    (1,386)   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(266)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(243)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(238)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40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Amortization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6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unrecognized prior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4" w:after="6"/>
        <w:ind w:left="6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Amortization of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80"/>
        </w:trPr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actuarial (gains) </w:t>
            </w:r>
          </w:p>
        </w:tc>
        <w:tc>
          <w:tcPr>
            <w:tcW w:type="dxa" w:w="10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(64) </w:t>
            </w:r>
          </w:p>
        </w:tc>
        <w:tc>
          <w:tcPr>
            <w:tcW w:type="dxa" w:w="9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(67)  </w:t>
            </w:r>
          </w:p>
        </w:tc>
        <w:tc>
          <w:tcPr>
            <w:tcW w:type="dxa" w:w="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</w:t>
            </w:r>
          </w:p>
        </w:tc>
        <w:tc>
          <w:tcPr>
            <w:tcW w:type="dxa" w:w="10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8"/>
        </w:trPr>
        <w:tc>
          <w:tcPr>
            <w:tcW w:type="dxa" w:w="1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losses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34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periodic pension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196"/>
        </w:trPr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cost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(37)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238"/>
        </w:trPr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2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1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2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</w:tr>
      <w:tr>
        <w:trPr>
          <w:trHeight w:hRule="exact" w:val="480"/>
        </w:trPr>
        <w:tc>
          <w:tcPr>
            <w:tcW w:type="dxa" w:w="1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(19)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</w:tr>
      <w:tr>
        <w:trPr>
          <w:trHeight w:hRule="exact" w:val="240"/>
        </w:trPr>
        <w:tc>
          <w:tcPr>
            <w:tcW w:type="dxa" w:w="1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periodic pension cost (all three plans combined)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8"/>
        </w:trPr>
        <w:tc>
          <w:tcPr>
            <w:tcW w:type="dxa" w:w="4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30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</w:tr>
      <w:tr>
        <w:trPr>
          <w:trHeight w:hRule="exact" w:val="480"/>
        </w:trPr>
        <w:tc>
          <w:tcPr>
            <w:tcW w:type="dxa" w:w="4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Included in Amounts reclassified into net income in Note I—Accumulated Other Comprehensive Income.</w:t>
      </w:r>
    </w:p>
    <w:p>
      <w:pPr>
        <w:autoSpaceDN w:val="0"/>
        <w:autoSpaceDE w:val="0"/>
        <w:widowControl/>
        <w:spacing w:line="240" w:lineRule="exact" w:before="13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share of benefit costs is included as a payable to/receivable from IDA in Other liabilities –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payable and miscellaneous liabilities on the Balance Sheets (see Note H—Transactions with Affiliated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Organizations).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components of net periodic pension cost, other than the service cost component, are included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Non-interest expenses – Other line item in the Statements of Income. The service cost component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in the line item Non-interest expenses – Administrative expenses. 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4998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137</w:t>
      </w: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provides details of the Pension service cost: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K2: Pension service cost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612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38"/>
        </w:trPr>
        <w:tc>
          <w:tcPr>
            <w:tcW w:type="dxa" w:w="3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</w:tr>
      <w:tr>
        <w:trPr>
          <w:trHeight w:hRule="exact" w:val="434"/>
        </w:trPr>
        <w:tc>
          <w:tcPr>
            <w:tcW w:type="dxa" w:w="3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225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595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24"/>
        </w:trPr>
        <w:tc>
          <w:tcPr>
            <w:tcW w:type="dxa" w:w="3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284 </w:t>
            </w:r>
          </w:p>
        </w:tc>
      </w:tr>
      <w:tr>
        <w:trPr>
          <w:trHeight w:hRule="exact" w:val="450"/>
        </w:trPr>
        <w:tc>
          <w:tcPr>
            <w:tcW w:type="dxa" w:w="3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311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743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228"/>
        </w:trPr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</w:tr>
      <w:tr>
        <w:trPr>
          <w:trHeight w:hRule="exact" w:val="446"/>
        </w:trPr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48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392 </w:t>
            </w:r>
          </w:p>
        </w:tc>
      </w:tr>
      <w:tr>
        <w:trPr>
          <w:trHeight w:hRule="exact" w:val="7424"/>
        </w:trPr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138</w:t>
            </w:r>
          </w:p>
        </w:tc>
        <w:tc>
          <w:tcPr>
            <w:tcW w:type="dxa" w:w="48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10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42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summarizes the Projected Benefit Obligations (PBO), fair value of plan assets,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funded status associated with the SRP, RSBP, and PEBP for IBRD and IDA. The SRP and RSBP assets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held in separate trusts and the PEBP assets are included in IBRD's investment portfolio. The assets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PEBP are mostly invested in fixed income, equity instruments and other fund investments.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K3: PBO, funded status and accumulated benefit obligations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480"/>
        </w:trPr>
        <w:tc>
          <w:tcPr>
            <w:tcW w:type="dxa" w:w="3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Projected Benefit Obligations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38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year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22,166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21,208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3,408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3,341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2,097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2,057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Participant contributions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 paid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(1,073)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(961)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(126)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(117)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(58)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</w:tr>
      <w:tr>
        <w:trPr>
          <w:trHeight w:hRule="exact" w:val="240"/>
        </w:trPr>
        <w:tc>
          <w:tcPr>
            <w:tcW w:type="dxa" w:w="2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Actuarial loss (gain)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(1,307)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326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(882)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(123)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(161)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(88) </w:t>
            </w:r>
          </w:p>
        </w:tc>
      </w:tr>
      <w:tr>
        <w:trPr>
          <w:trHeight w:hRule="exact" w:val="240"/>
        </w:trPr>
        <w:tc>
          <w:tcPr>
            <w:tcW w:type="dxa" w:w="2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year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21,555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22,166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2,725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3,408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2,070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2,097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Fair value of plan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38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year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25,689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24,565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4,540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4,281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Participant contributions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Actual return on assets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2,454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1,749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Employer contributions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 paid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(1,073)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(961)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(126)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(117)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year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27,400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25,689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4,921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4,540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Funded Status-Over (Under)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5,845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2,196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1,132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(2,070) 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(2,097) </w:t>
            </w:r>
          </w:p>
        </w:tc>
      </w:tr>
    </w:tbl>
    <w:p>
      <w:pPr>
        <w:autoSpaceDN w:val="0"/>
        <w:autoSpaceDE w:val="0"/>
        <w:widowControl/>
        <w:spacing w:line="180" w:lineRule="exact" w:before="54" w:after="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Benefit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454"/>
        </w:trPr>
        <w:tc>
          <w:tcPr>
            <w:tcW w:type="dxa" w:w="1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Obligations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20,506 </w:t>
            </w:r>
          </w:p>
        </w:tc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20,968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2,725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3,408 </w:t>
            </w:r>
          </w:p>
        </w:tc>
        <w:tc>
          <w:tcPr>
            <w:tcW w:type="dxa" w:w="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1,925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1,931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Over-Funded status is included in Other Assets – Assets under retirement benefits plans on the Balance Sheets and Under -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Funded status Other liabilities – Liabilities under retirement benefits plans on the Balance Sheets. </w:t>
      </w:r>
    </w:p>
    <w:p>
      <w:pPr>
        <w:autoSpaceDN w:val="0"/>
        <w:autoSpaceDE w:val="0"/>
        <w:widowControl/>
        <w:spacing w:line="240" w:lineRule="exact" w:before="13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SRP and RSBP were overfunded by $5,845 million and $2,196 million,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respectively. The PEBP, after reflecting IBRD and IDA’s share of assets which totals  $2,359 million, within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IBRD’s investment portfolio, was overfunded by $289 million.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years ended June 30, 2025 and June 30, 2024, there were no amendments made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retirement benefit plans.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present the amounts included in Accumulated Other Comprehensive Income/Loss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relating to Pension and Other Postretirement Benefits: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K4: Amounts included in Accumulated Other Comprehensive Income as of June 30, 2025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5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5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actuarial (gains)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(4,491)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(2,424)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(246) </w:t>
            </w:r>
          </w:p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(7,161) </w:t>
            </w:r>
          </w:p>
        </w:tc>
      </w:tr>
      <w:tr>
        <w:trPr>
          <w:trHeight w:hRule="exact" w:val="250"/>
        </w:trPr>
        <w:tc>
          <w:tcPr>
            <w:tcW w:type="dxa" w:w="5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Prior service cost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80" w:lineRule="exact" w:before="24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6"/>
        </w:trPr>
        <w:tc>
          <w:tcPr>
            <w:tcW w:type="dxa" w:w="2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2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(4,491) </w:t>
            </w:r>
          </w:p>
        </w:tc>
        <w:tc>
          <w:tcPr>
            <w:tcW w:type="dxa" w:w="3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(2,417) 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(246) </w:t>
            </w:r>
          </w:p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(7,154) </w:t>
            </w:r>
          </w:p>
        </w:tc>
      </w:tr>
      <w:tr>
        <w:trPr>
          <w:trHeight w:hRule="exact" w:val="2784"/>
        </w:trPr>
        <w:tc>
          <w:tcPr>
            <w:tcW w:type="dxa" w:w="2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57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5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K4.1: Amounts included in Accumulated Other Comprehensive Income as of June 30, 2024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40"/>
        </w:trPr>
        <w:tc>
          <w:tcPr>
            <w:tcW w:type="dxa" w:w="5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5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actuarial (gains)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(2,222) 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(1,434)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(85)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(3,741) </w:t>
            </w:r>
          </w:p>
        </w:tc>
      </w:tr>
      <w:tr>
        <w:trPr>
          <w:trHeight w:hRule="exact" w:val="240"/>
        </w:trPr>
        <w:tc>
          <w:tcPr>
            <w:tcW w:type="dxa" w:w="5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Prior service cost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80" w:lineRule="exact" w:before="24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94"/>
        </w:trPr>
        <w:tc>
          <w:tcPr>
            <w:tcW w:type="dxa" w:w="5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2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(2,219)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(1,425) 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(82)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(3,726) </w:t>
            </w:r>
          </w:p>
        </w:tc>
      </w:tr>
    </w:tbl>
    <w:p>
      <w:pPr>
        <w:autoSpaceDN w:val="0"/>
        <w:autoSpaceDE w:val="0"/>
        <w:widowControl/>
        <w:spacing w:line="268" w:lineRule="exact" w:before="3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Assumptions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actuarial assumptions used are based on financial market interest rates, inflation expectations, past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experience, and Management’s best estimate of future benefit changes and economic conditions.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Changes in these assumptions will impact future benefit costs and obligations.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expected long-term rate of return for the SRP assets is a weighted average of the expected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(10 years or more) returns for the various asset classes, weighted by the portfolio allocation. Asset class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returns are developed using a forward-looking building block approach. Equity returns are generally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developed as the sum of expected inflation, expected real earnings growth and expected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dividend yield. Bond returns are generally developed as the sum of expected inflation, real bond yield,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duration-adjusted change in yields and risk premium/spread (as appropriate). Other asset class returns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derived from their relationship to equity and bond markets. The expected long-term rate of return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RSBP is computed using procedures similar to those used for the SRP. The discount rate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determining the benefit obligation is selected by reference to the year-end yield of AA corporate bonds.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Actuarial gains and losses occur when actual results are different from expected results. Amortization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unrecognized gains and losses will be included in income if, at the beginning of the fiscal year, they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 10% of the greater of the projected benefit obligation or the market-related value of plan assets. If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required, the unrecognized gains and losses are amortized over the expected average remaining service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lives of the employee group.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present the weighted-average assumptions used in determining the projected benefit </w:t>
      </w:r>
      <w:r>
        <w:rPr>
          <w:rFonts w:ascii="ArialMT" w:hAnsi="ArialMT" w:eastAsia="ArialMT"/>
          <w:b w:val="0"/>
          <w:i w:val="0"/>
          <w:color w:val="000000"/>
          <w:sz w:val="20"/>
        </w:rPr>
        <w:t>obligations and the net periodic pension costs: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K5: Weighted average assumptions used to determine projected benefit obligations</w:t>
      </w:r>
    </w:p>
    <w:p>
      <w:pPr>
        <w:autoSpaceDN w:val="0"/>
        <w:autoSpaceDE w:val="0"/>
        <w:widowControl/>
        <w:spacing w:line="180" w:lineRule="exact" w:before="144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percent, except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3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38"/>
        </w:trPr>
        <w:tc>
          <w:tcPr>
            <w:tcW w:type="dxa" w:w="3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Discount rate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5.50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11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5.60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5.50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</w:tr>
      <w:tr>
        <w:trPr>
          <w:trHeight w:hRule="exact" w:val="244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of compensation increase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4.80</w:t>
            </w:r>
          </w:p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4.80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Health care growth 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36"/>
        </w:trPr>
        <w:tc>
          <w:tcPr>
            <w:tcW w:type="dxa" w:w="54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at end of fiscal year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6.00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11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5.00</w:t>
            </w:r>
          </w:p>
        </w:tc>
        <w:tc>
          <w:tcPr>
            <w:tcW w:type="dxa" w:w="7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</w:tr>
      <w:tr>
        <w:trPr>
          <w:trHeight w:hRule="exact" w:val="240"/>
        </w:trPr>
        <w:tc>
          <w:tcPr>
            <w:tcW w:type="dxa" w:w="54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Ultimate health care growth rate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4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Year in which ultimate rate is reached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26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crediting rate</w:t>
            </w:r>
          </w:p>
        </w:tc>
        <w:tc>
          <w:tcPr>
            <w:tcW w:type="dxa" w:w="1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5.00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3526"/>
        </w:trPr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3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140</w:t>
            </w:r>
          </w:p>
        </w:tc>
        <w:tc>
          <w:tcPr>
            <w:tcW w:type="dxa" w:w="486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3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2025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K6: Weighted average assumptions used to determine net periodic pension cost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percent, except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Discount rate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4.50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4.50</w:t>
            </w:r>
          </w:p>
        </w:tc>
      </w:tr>
      <w:tr>
        <w:trPr>
          <w:trHeight w:hRule="exact" w:val="242"/>
        </w:trPr>
        <w:tc>
          <w:tcPr>
            <w:tcW w:type="dxa" w:w="3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Expected return on plan assets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5.70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5.70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</w:tr>
      <w:tr>
        <w:trPr>
          <w:trHeight w:hRule="exact" w:val="240"/>
        </w:trPr>
        <w:tc>
          <w:tcPr>
            <w:tcW w:type="dxa" w:w="3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of compensation increase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Health care growth 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238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at end of fiscal year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7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5.80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</w:tr>
      <w:tr>
        <w:trPr>
          <w:trHeight w:hRule="exact" w:val="240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Ultimate health care growth rate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Year in which ultimate rate is reached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crediting rate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  <w:tc>
          <w:tcPr>
            <w:tcW w:type="dxa" w:w="945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medical cost trend rate can significantly affect the reported postretirement benefit income or costs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benefit obligations for the RSBP. For the fiscal year ended June 30, 2025, the net actuarial gains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primarily attributable to the decrease in the expected inflation assumption and an increase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nominal discount rate, offset by changes in demographic experience. In addition, there was an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value of the plan assets that exceeded the expected asset returns. For the fiscal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2024, the actuarial gains were primarily due to an increase in the value of the plan assets in excess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asset returns which was partially offset by the actuarial losses attributable to the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inflation assumptions and demographic experience.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 Strategy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investment policies establish the framework for investment of the plan assets based on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objectives and the trade-offs inherent in seeking adequate investment returns within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acceptable risk parameters. A key component of the investment policy is to establish a Strategic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(SAA) representing the policy portfolio (i.e., policy mix of assets) around which the SRP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RSBP (the Plans) are invested. The SAA is derived using a mix of quantitative analysis that incorporates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returns and volatilities by asset class as well as correlations across the asset classes,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qualitative considerations such as the liquidity needs of the Plans. The SAA for the Plans is reviewed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 and reset about every three to five years, with more frequent reviews and changes if and as needed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market conditions.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key long-term objective is to generate asset performance that is reasonable in relation to the growth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of the underlying liabilities and the assumed sponsor contribution rates, without taking undue risks.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Given the relatively long investment horizons of the SRP and RSBP, and the relatively modest liquidity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needs over the short-term to pay benefits and meet other cash requirements, the focus of the investment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strategy is on generating sustainable long-term investment returns through a globally diversified set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strategies including fixed income, public and private equity and real assets. The last SAA review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July 1, 2024  resulted in an increased allocation to Credit Strategies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6% to 7% and Real Assets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13% to 15% while reducing the Public Equities allocation from 31% to 29% and Market Neutral Hedge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Funds from 10% to 9%.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351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141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presents the policy asset allocation and the actual asset allocations by asset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the SRP and RSBP:</w:t>
      </w:r>
    </w:p>
    <w:p>
      <w:pPr>
        <w:autoSpaceDN w:val="0"/>
        <w:autoSpaceDE w:val="0"/>
        <w:widowControl/>
        <w:spacing w:line="224" w:lineRule="exact" w:before="136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K7: Policy and actual asset allocations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Policy allocation </w:t>
            </w:r>
          </w:p>
        </w:tc>
        <w:tc>
          <w:tcPr>
            <w:tcW w:type="dxa" w:w="1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Actual Allocation (%)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Policy allocation </w:t>
            </w:r>
          </w:p>
        </w:tc>
        <w:tc>
          <w:tcPr>
            <w:tcW w:type="dxa" w:w="23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Actual Allocation (%)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 class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 (%)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 (%)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 income and Cash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9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Credit Strategies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   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Public equity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Private equity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2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neutral hedge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Real assets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60"/>
        </w:trPr>
        <w:tc>
          <w:tcPr>
            <w:tcW w:type="dxa" w:w="2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1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</w:tr>
      <w:tr>
        <w:trPr>
          <w:trHeight w:hRule="exact" w:val="22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public and private real estate, infrastructure and timber.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authorized investments that are outside the policy allocations primarily in hedge funds.</w:t>
      </w:r>
    </w:p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Significant Concentrations of Risk in Plan Assets</w:t>
      </w:r>
    </w:p>
    <w:p>
      <w:pPr>
        <w:autoSpaceDN w:val="0"/>
        <w:autoSpaceDE w:val="0"/>
        <w:widowControl/>
        <w:spacing w:line="240" w:lineRule="exact" w:before="130" w:after="0"/>
        <w:ind w:left="10" w:right="1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assets of the SRP and RSBP are diversified across a variety of asset classes. Investments in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 classes are further diversified across funds, managers, strategies, geographies and sectors, to limit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impact of any individual investment. In spite of such level of diversification, equity market risk remains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primary source of the overall return volatility of the Plans. As of June 30, 2025, the largest exposure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single counterparty was 12% and 13% of the plan assets in SRP and RSBP, respectively (10%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12%, respectively—June 30, 2024).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Risk Management Practices </w:t>
      </w:r>
    </w:p>
    <w:p>
      <w:pPr>
        <w:autoSpaceDN w:val="0"/>
        <w:autoSpaceDE w:val="0"/>
        <w:widowControl/>
        <w:spacing w:line="240" w:lineRule="exact" w:before="130" w:after="0"/>
        <w:ind w:left="10" w:right="1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Managing investment risk is an integral part of managing the assets of the Plans. Asset diversification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central to the overall investment strategy and risk management approach for the Plans. Absolute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indicators such as the overall return volatility and drawdown of the Plans are the primary measures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define the risk tolerance level and establish the overall level of investment risk. In addition, the level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active risk (defined as the annualized standard deviation of portfolio returns relative to those of the policy </w:t>
      </w:r>
      <w:r>
        <w:rPr>
          <w:rFonts w:ascii="ArialMT" w:hAnsi="ArialMT" w:eastAsia="ArialMT"/>
          <w:b w:val="0"/>
          <w:i w:val="0"/>
          <w:color w:val="000000"/>
          <w:sz w:val="20"/>
        </w:rPr>
        <w:t>portfolio) is closely monitored and managed on an ongoing basis.</w:t>
      </w:r>
    </w:p>
    <w:p>
      <w:pPr>
        <w:autoSpaceDN w:val="0"/>
        <w:autoSpaceDE w:val="0"/>
        <w:widowControl/>
        <w:spacing w:line="240" w:lineRule="exact" w:before="120" w:after="0"/>
        <w:ind w:left="10" w:right="1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risk is regularly monitored at the absolute level, as well as at the relative levels with respect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policy, manager benchmarks, and liabilities of the Plans. Stress tests are performed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periodically using relevant market scenarios to assess the impact of extreme market events.</w:t>
      </w:r>
    </w:p>
    <w:p>
      <w:pPr>
        <w:autoSpaceDN w:val="0"/>
        <w:autoSpaceDE w:val="0"/>
        <w:widowControl/>
        <w:spacing w:line="240" w:lineRule="exact" w:before="120" w:after="0"/>
        <w:ind w:left="10" w:right="1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of performance (at both manager and asset class levels) against benchmarks, and compliance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investment guidelines, are carried out on a regular basis which provides helpful information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assessing the impact on the portfolios caused by market risk factors. Risk management for different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classes is tailored to their specific characteristics and is an integral part of the external managers’ due </w:t>
      </w:r>
      <w:r>
        <w:rPr>
          <w:rFonts w:ascii="ArialMT" w:hAnsi="ArialMT" w:eastAsia="ArialMT"/>
          <w:b w:val="0"/>
          <w:i w:val="0"/>
          <w:color w:val="000000"/>
          <w:sz w:val="20"/>
        </w:rPr>
        <w:t>diligence and monitoring processes.</w:t>
      </w:r>
    </w:p>
    <w:p>
      <w:pPr>
        <w:autoSpaceDN w:val="0"/>
        <w:autoSpaceDE w:val="0"/>
        <w:widowControl/>
        <w:spacing w:line="240" w:lineRule="exact" w:before="120" w:after="0"/>
        <w:ind w:left="1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is monitored on a regular basis and assessed for possible credit event impacts. The liquidity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position of the Plans is analyzed at regular intervals and periodically tested using various stress scenarios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ensure that the Plans have sufficient liquidity to meet all cash flow requirements. In addition, the long-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cash flow needs of the Plans are considered during the SAA exercise and are one of the main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drivers in determining maximum allocation to the illiquid investment vehicles.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78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21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Fair Value Measurements and Disclosures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plan assets are measured at fair value on a recurring basis. The following tables present the fair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>hierarchy of major categories of plan assets: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K8: Plan assets fair value hierarchy</w:t>
      </w:r>
    </w:p>
    <w:p>
      <w:pPr>
        <w:autoSpaceDN w:val="0"/>
        <w:tabs>
          <w:tab w:pos="5626" w:val="left"/>
        </w:tabs>
        <w:autoSpaceDE w:val="0"/>
        <w:widowControl/>
        <w:spacing w:line="196" w:lineRule="exact" w:before="100" w:after="0"/>
        <w:ind w:left="62" w:right="288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4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6"/>
        </w:trPr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SRP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RSBP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56" w:lineRule="exact" w:before="1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Debt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19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Short-term investments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56" w:lineRule="exact" w:before="18" w:after="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5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agreements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</w:tr>
      <w:tr>
        <w:trPr>
          <w:trHeight w:hRule="exact" w:val="22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Government and agency securities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3,434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461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3,895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666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760 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Corporate and convertible bonds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385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385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73 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ABS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199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199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</w:tr>
      <w:tr>
        <w:trPr>
          <w:trHeight w:hRule="exact" w:val="194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MBS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618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618 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106 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106 </w:t>
            </w:r>
          </w:p>
        </w:tc>
      </w:tr>
      <w:tr>
        <w:trPr>
          <w:trHeight w:hRule="exact" w:val="19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debt securities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3,593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1,671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5,264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705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314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1,019 </w:t>
            </w:r>
          </w:p>
        </w:tc>
      </w:tr>
    </w:tbl>
    <w:p>
      <w:pPr>
        <w:autoSpaceDN w:val="0"/>
        <w:autoSpaceDE w:val="0"/>
        <w:widowControl/>
        <w:spacing w:line="156" w:lineRule="exact" w:before="2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Equity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8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Stocks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2,607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2,607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485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485 </w:t>
            </w:r>
          </w:p>
        </w:tc>
      </w:tr>
      <w:tr>
        <w:trPr>
          <w:trHeight w:hRule="exact" w:val="192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Real estate investment trusts (REITs)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184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184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27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27 </w:t>
            </w:r>
          </w:p>
        </w:tc>
      </w:tr>
      <w:tr>
        <w:trPr>
          <w:trHeight w:hRule="exact" w:val="196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equity securities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2,791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2,791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512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512 </w:t>
            </w:r>
          </w:p>
        </w:tc>
      </w:tr>
    </w:tbl>
    <w:p>
      <w:pPr>
        <w:autoSpaceDN w:val="0"/>
        <w:autoSpaceDE w:val="0"/>
        <w:widowControl/>
        <w:spacing w:line="176" w:lineRule="exact" w:before="8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Other funds at NAV </w:t>
      </w: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Commingled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4,365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746 </w:t>
            </w:r>
          </w:p>
        </w:tc>
      </w:tr>
      <w:tr>
        <w:trPr>
          <w:trHeight w:hRule="exact" w:val="20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equity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6,459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1,126 </w:t>
            </w:r>
          </w:p>
        </w:tc>
      </w:tr>
      <w:tr>
        <w:trPr>
          <w:trHeight w:hRule="exact" w:val="19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credit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2,072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352 </w:t>
            </w:r>
          </w:p>
        </w:tc>
      </w:tr>
    </w:tbl>
    <w:p>
      <w:pPr>
        <w:autoSpaceDN w:val="0"/>
        <w:autoSpaceDE w:val="0"/>
        <w:widowControl/>
        <w:spacing w:line="156" w:lineRule="exact" w:before="18" w:after="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Real asset funds (including infrastructure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146"/>
        </w:trPr>
        <w:tc>
          <w:tcPr>
            <w:tcW w:type="dxa" w:w="2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and timber)</w:t>
            </w:r>
          </w:p>
        </w:tc>
        <w:tc>
          <w:tcPr>
            <w:tcW w:type="dxa" w:w="2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3,680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703 </w:t>
            </w:r>
          </w:p>
        </w:tc>
      </w:tr>
      <w:tr>
        <w:trPr>
          <w:trHeight w:hRule="exact" w:val="238"/>
        </w:trPr>
        <w:tc>
          <w:tcPr>
            <w:tcW w:type="dxa" w:w="2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Hedge funds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2,590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444 </w:t>
            </w:r>
          </w:p>
        </w:tc>
      </w:tr>
      <w:tr>
        <w:trPr>
          <w:trHeight w:hRule="exact" w:val="194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other funds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19,166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3,371 </w:t>
            </w:r>
          </w:p>
        </w:tc>
      </w:tr>
      <w:tr>
        <w:trPr>
          <w:trHeight w:hRule="exact" w:val="188"/>
        </w:trPr>
        <w:tc>
          <w:tcPr>
            <w:tcW w:type="dxa" w:w="2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Derivative assets/liabilities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(1)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 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 </w:t>
            </w:r>
          </w:p>
        </w:tc>
      </w:tr>
      <w:tr>
        <w:trPr>
          <w:trHeight w:hRule="exact" w:val="202"/>
        </w:trPr>
        <w:tc>
          <w:tcPr>
            <w:tcW w:type="dxa" w:w="2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Other assets/liabilities, net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172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 </w:t>
            </w:r>
          </w:p>
        </w:tc>
      </w:tr>
      <w:tr>
        <w:trPr>
          <w:trHeight w:hRule="exact" w:val="176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Total assets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6,392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1,670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$ 27,400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1,220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314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4,921 </w:t>
            </w:r>
          </w:p>
        </w:tc>
      </w:tr>
    </w:tbl>
    <w:p>
      <w:pPr>
        <w:autoSpaceDN w:val="0"/>
        <w:autoSpaceDE w:val="0"/>
        <w:widowControl/>
        <w:spacing w:line="194" w:lineRule="exact" w:before="206" w:after="0"/>
        <w:ind w:left="62" w:right="144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a. Investments measured at fair value using NAV as a practical expedient have not been included under the fair value hierarchy. </w:t>
      </w:r>
      <w:r>
        <w:rPr>
          <w:rFonts w:ascii="Arial" w:hAnsi="Arial" w:eastAsia="Arial"/>
          <w:b w:val="0"/>
          <w:i/>
          <w:color w:val="000000"/>
          <w:sz w:val="14"/>
        </w:rPr>
        <w:t>b. Includes receivables and payables carried at amounts that approximate fair value.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6194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143</w:t>
      </w:r>
    </w:p>
    <w:p>
      <w:pPr>
        <w:sectPr>
          <w:pgSz w:w="12240" w:h="15840"/>
          <w:pgMar w:top="700" w:right="136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K8.1</w:t>
      </w:r>
    </w:p>
    <w:p>
      <w:pPr>
        <w:autoSpaceDN w:val="0"/>
        <w:autoSpaceDE w:val="0"/>
        <w:widowControl/>
        <w:spacing w:line="156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p>
      <w:pPr>
        <w:autoSpaceDN w:val="0"/>
        <w:autoSpaceDE w:val="0"/>
        <w:widowControl/>
        <w:spacing w:line="156" w:lineRule="exact" w:before="68" w:after="20"/>
        <w:ind w:left="0" w:right="2902" w:firstLine="0"/>
        <w:jc w:val="right"/>
      </w:pPr>
      <w:r>
        <w:rPr>
          <w:rFonts w:ascii="Arial" w:hAnsi="Arial" w:eastAsia="Arial"/>
          <w:b w:val="0"/>
          <w:i/>
          <w:color w:val="000000"/>
          <w:sz w:val="14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4"/>
        </w:trPr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SRP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RSBP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56" w:lineRule="exact" w:before="30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Debt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23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Short-term investments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58" w:lineRule="exact" w:before="40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96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agreements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218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218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Government and agency securities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2,515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273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2,788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540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588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Corporate and convertible bonds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366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366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71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ABS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165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165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</w:tr>
      <w:tr>
        <w:trPr>
          <w:trHeight w:hRule="exact" w:val="234"/>
        </w:trPr>
        <w:tc>
          <w:tcPr>
            <w:tcW w:type="dxa" w:w="2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MBS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410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410 </w:t>
            </w:r>
          </w:p>
        </w:tc>
        <w:tc>
          <w:tcPr>
            <w:tcW w:type="dxa" w:w="10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78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78 </w:t>
            </w:r>
          </w:p>
        </w:tc>
      </w:tr>
      <w:tr>
        <w:trPr>
          <w:trHeight w:hRule="exact" w:val="226"/>
        </w:trPr>
        <w:tc>
          <w:tcPr>
            <w:tcW w:type="dxa" w:w="2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debt securities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2,744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1,251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3,995 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582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240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822 </w:t>
            </w:r>
          </w:p>
        </w:tc>
      </w:tr>
    </w:tbl>
    <w:p>
      <w:pPr>
        <w:autoSpaceDN w:val="0"/>
        <w:autoSpaceDE w:val="0"/>
        <w:widowControl/>
        <w:spacing w:line="156" w:lineRule="exact" w:before="40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Equity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Stocks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2,680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2,680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423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423 </w:t>
            </w:r>
          </w:p>
        </w:tc>
      </w:tr>
      <w:tr>
        <w:trPr>
          <w:trHeight w:hRule="exact" w:val="234"/>
        </w:trPr>
        <w:tc>
          <w:tcPr>
            <w:tcW w:type="dxa" w:w="2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Real estate investment trusts (REITs)</w:t>
            </w:r>
          </w:p>
        </w:tc>
        <w:tc>
          <w:tcPr>
            <w:tcW w:type="dxa" w:w="10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176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176 </w:t>
            </w:r>
          </w:p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26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26 </w:t>
            </w:r>
          </w:p>
        </w:tc>
      </w:tr>
      <w:tr>
        <w:trPr>
          <w:trHeight w:hRule="exact" w:val="226"/>
        </w:trPr>
        <w:tc>
          <w:tcPr>
            <w:tcW w:type="dxa" w:w="2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equity securities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2,856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2,856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449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449 </w:t>
            </w:r>
          </w:p>
        </w:tc>
      </w:tr>
    </w:tbl>
    <w:p>
      <w:pPr>
        <w:autoSpaceDN w:val="0"/>
        <w:autoSpaceDE w:val="0"/>
        <w:widowControl/>
        <w:spacing w:line="176" w:lineRule="exact" w:before="20" w:after="3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Other funds at NAV </w:t>
      </w: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1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Commingled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3,729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651 </w:t>
            </w:r>
          </w:p>
        </w:tc>
      </w:tr>
      <w:tr>
        <w:trPr>
          <w:trHeight w:hRule="exact" w:val="2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equity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6,935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1,160 </w:t>
            </w:r>
          </w:p>
        </w:tc>
      </w:tr>
      <w:tr>
        <w:trPr>
          <w:trHeight w:hRule="exact" w:val="23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credit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2,118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354 </w:t>
            </w:r>
          </w:p>
        </w:tc>
      </w:tr>
    </w:tbl>
    <w:p>
      <w:pPr>
        <w:autoSpaceDN w:val="0"/>
        <w:autoSpaceDE w:val="0"/>
        <w:widowControl/>
        <w:spacing w:line="158" w:lineRule="exact" w:before="40" w:after="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Real asset funds (including infrastructure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188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and timber)</w:t>
            </w:r>
          </w:p>
        </w:tc>
        <w:tc>
          <w:tcPr>
            <w:tcW w:type="dxa" w:w="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3,423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653 </w:t>
            </w:r>
          </w:p>
        </w:tc>
      </w:tr>
      <w:tr>
        <w:trPr>
          <w:trHeight w:hRule="exact" w:val="230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Hedge funds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2,539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431 </w:t>
            </w:r>
          </w:p>
        </w:tc>
      </w:tr>
      <w:tr>
        <w:trPr>
          <w:trHeight w:hRule="exact" w:val="22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other funds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18,744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3,249 </w:t>
            </w:r>
          </w:p>
        </w:tc>
      </w:tr>
      <w:tr>
        <w:trPr>
          <w:trHeight w:hRule="exact" w:val="206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Derivative assets/liabilities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1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3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              —              11 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              —              —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 </w:t>
            </w:r>
          </w:p>
        </w:tc>
      </w:tr>
      <w:tr>
        <w:trPr>
          <w:trHeight w:hRule="exact" w:val="246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Other assets/liabilities, net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83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Total assets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5,609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1,253 </w:t>
            </w:r>
          </w:p>
        </w:tc>
        <w:tc>
          <w:tcPr>
            <w:tcW w:type="dxa" w:w="3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$ 25,689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1,032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240 </w:t>
            </w:r>
          </w:p>
        </w:tc>
        <w:tc>
          <w:tcPr>
            <w:tcW w:type="dxa" w:w="3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4,540 </w:t>
            </w:r>
          </w:p>
        </w:tc>
      </w:tr>
    </w:tbl>
    <w:p>
      <w:pPr>
        <w:autoSpaceDN w:val="0"/>
        <w:autoSpaceDE w:val="0"/>
        <w:widowControl/>
        <w:spacing w:line="156" w:lineRule="exact" w:before="28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a. Investments measured at fair value using NAV as a practical expedient have not been included under the fair value hierarchy.</w:t>
      </w:r>
    </w:p>
    <w:p>
      <w:pPr>
        <w:autoSpaceDN w:val="0"/>
        <w:autoSpaceDE w:val="0"/>
        <w:widowControl/>
        <w:spacing w:line="156" w:lineRule="exact" w:before="7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b. Includes receivables and payables carried at amounts that approximate fair value.</w:t>
      </w:r>
    </w:p>
    <w:p>
      <w:pPr>
        <w:autoSpaceDN w:val="0"/>
        <w:autoSpaceDE w:val="0"/>
        <w:widowControl/>
        <w:spacing w:line="268" w:lineRule="exact" w:before="20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Valuation Methods and Assumptions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are general descriptions of asset categories, as well as the valuation methodologies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inputs used to determine the fair value of each major category of plan assets. Investment amounts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 categories shown in the table above may be different from the asset category allocation shown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Investment Strategy section of the note. Asset classes in the table above are grouped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characteristics of the investments held. The asset class break-down in the Investment Strategy section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Management’s view of the economic exposures after considering the impact of derivatives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certain trading strategies.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Debt securities</w:t>
      </w:r>
    </w:p>
    <w:p>
      <w:pPr>
        <w:autoSpaceDN w:val="0"/>
        <w:autoSpaceDE w:val="0"/>
        <w:widowControl/>
        <w:spacing w:line="224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securities include discount notes, securities purchased under resale agreements, U.S. treasuries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agencies, debt obligations of foreign governments, sub-sovereigns and domestic and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corporations. Debt securities also include investments in ABS such as collateralized mortgage obligations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MBS. These securities are valued by independent pricing vendors either at quoted prices in active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markets or valuation techniques incorporating observable market inputs such as dealer quotes, yield </w:t>
      </w:r>
      <w:r>
        <w:rPr>
          <w:rFonts w:ascii="ArialMT" w:hAnsi="ArialMT" w:eastAsia="ArialMT"/>
          <w:b w:val="0"/>
          <w:i w:val="0"/>
          <w:color w:val="000000"/>
          <w:sz w:val="20"/>
        </w:rPr>
        <w:t>curves, interest rates, volatilities, foreign exchange rates, credit curves and other market data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same or similar securities.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debt securities require significant unobservable inputs, involving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judgment in their valuation. Management believes its estimates of fair value are reasonable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sourcing securities prices from multiple independent third-party vendors and periodic reviews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valuation. Money market instruments and securities purchased under resale agreements are reported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discounted face value which approximates fair value.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08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Equity securities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 securities (including REITs) represent investments in entities in various industries and countries.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in public equity listed on securities exchanges are valued at the quoted closing price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last business day of the  reporting period.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Commingled funds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Commingled funds are typically collective investment vehicles, such as trusts that are reported at NAV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provided by the investment manager or sponsor of the fund based on the valuation of underlying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investments.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Private equity funds </w:t>
      </w:r>
    </w:p>
    <w:p>
      <w:pPr>
        <w:autoSpaceDN w:val="0"/>
        <w:autoSpaceDE w:val="0"/>
        <w:widowControl/>
        <w:spacing w:line="224" w:lineRule="exact" w:before="1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equity funds include investments primarily in buyout, venture, growth capital, and secondary funds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across North America, Europe and Asia in a variety of sectors. Many of these funds are in the investment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phase of their life-cycle. Private Equity investments do not have a readily determinable fair market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are reported at NAV provided by the fund managers, taking into consideration the latest audited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financial statements of the funds.</w:t>
      </w:r>
    </w:p>
    <w:p>
      <w:pPr>
        <w:autoSpaceDN w:val="0"/>
        <w:autoSpaceDE w:val="0"/>
        <w:widowControl/>
        <w:spacing w:line="246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Private credit funds </w:t>
      </w:r>
    </w:p>
    <w:p>
      <w:pPr>
        <w:autoSpaceDN w:val="0"/>
        <w:autoSpaceDE w:val="0"/>
        <w:widowControl/>
        <w:spacing w:line="224" w:lineRule="exact" w:before="1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credit funds include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nvestments primarily in several direct lending funds that provide private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to medium-sized companies, and funds focused on opportunistic credit, specialty financing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asset-based lending. The funds with these strategies offer attractive yields with downside protection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compared to public credit markets. Many of these funds are in the investment phase of their life cycle.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credit investments do not have a readily determinable fair value and are reported at NAV provided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fund managers, taking into consideration the latest audited financial statements of the funds. </w:t>
      </w:r>
    </w:p>
    <w:p>
      <w:pPr>
        <w:autoSpaceDN w:val="0"/>
        <w:autoSpaceDE w:val="0"/>
        <w:widowControl/>
        <w:spacing w:line="246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Real asset funds (including real estate, infrastructure and timber)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 asset funds include investments in core real estate, non-core real estate investments (such as debt,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add, and opportunistic equity investments) and infrastructure. Real asset investments do not have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readily determinable fair market value and are reported at NAV provided by the fund managers, taking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consideration the latest audited financial statements of the funds.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Hedge funds</w:t>
      </w:r>
    </w:p>
    <w:p>
      <w:pPr>
        <w:autoSpaceDN w:val="0"/>
        <w:autoSpaceDE w:val="0"/>
        <w:widowControl/>
        <w:spacing w:line="224" w:lineRule="exact" w:before="1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Hedge funds consist of investments in equity fundamental, equity quantitative, fixed income arbitrage,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multi strategy, macro discretionary, macro quantitative, volatility arbitrage, and merger arbitrage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strategies. These investments do not have a readily determinable fair market value and are reported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NAV provided by external managers or fund administrators (based on the valuations of underlying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investments) monthly, taking into consideration the latest audited financial statements of the funds.</w:t>
      </w:r>
    </w:p>
    <w:p>
      <w:pPr>
        <w:autoSpaceDN w:val="0"/>
        <w:autoSpaceDE w:val="0"/>
        <w:widowControl/>
        <w:spacing w:line="240" w:lineRule="exact" w:before="20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 in hedge funds and commingled funds can typically be redeemed at NAV within the near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while investments in private equity and most real estate are inherently long term and illiquid in nature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a quarter lag in reporting by the fund managers. Since the reporting of those asset classes is done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a lag, management estimates are based on the latest available information considering underlying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market fundamentals and significant events through the Balance Sheet date.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 in derivatives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in derivatives such as equity or bond futures, swaps, options and currency forwards are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achieve a variety of objectives that include hedging interest rates and currency risks, gaining desired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market exposure of a security, an index or currency exposure and rebalancing the portfolio. Over-the-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 derivatives are reported using valuations based on discounted cash flow methods incorporating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observable market inputs.</w:t>
      </w:r>
    </w:p>
    <w:p>
      <w:pPr>
        <w:autoSpaceDN w:val="0"/>
        <w:tabs>
          <w:tab w:pos="8974" w:val="left"/>
        </w:tabs>
        <w:autoSpaceDE w:val="0"/>
        <w:widowControl/>
        <w:spacing w:line="224" w:lineRule="exact" w:before="133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145</w:t>
      </w:r>
    </w:p>
    <w:p>
      <w:pPr>
        <w:sectPr>
          <w:pgSz w:w="12240" w:h="15840"/>
          <w:pgMar w:top="700" w:right="136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Estimated Future Benefit Payments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shows the benefit payments expected to be paid in each of the next five years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 five years. The expected benefit payments are based on the same assumptions used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measure the benefit obligation: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K9: Expected benefit payments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</w:tr>
      <w:tr>
        <w:trPr>
          <w:trHeight w:hRule="exact" w:val="236"/>
        </w:trPr>
        <w:tc>
          <w:tcPr>
            <w:tcW w:type="dxa" w:w="3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2025 - June 30, 2026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1,166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2026 - June 30, 2027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1,203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2027 - June 30, 2028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1,246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2028 - June 30, 2029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2029 - June 30, 2030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  <w:tr>
        <w:trPr>
          <w:trHeight w:hRule="exact" w:val="484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2030 - June 30, 2035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7,345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662 </w:t>
            </w:r>
          </w:p>
        </w:tc>
      </w:tr>
    </w:tbl>
    <w:p>
      <w:pPr>
        <w:autoSpaceDN w:val="0"/>
        <w:autoSpaceDE w:val="0"/>
        <w:widowControl/>
        <w:spacing w:line="268" w:lineRule="exact" w:before="16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Expected Contributions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contribution to the SRP and RSBP varies from year to year, as determined by the Pension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Finance Committee (PFC), which bases its judgment on the results of annual actuarial valuations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and liabilities of the SRP and RSBP. The best estimate of the amount of contributions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paid to the SRP and RSBP by IBRD and IDA during the fiscal year beginning July 1, 2025 is $140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and $26 million, respectively.</w:t>
      </w:r>
    </w:p>
    <w:p>
      <w:pPr>
        <w:autoSpaceDN w:val="0"/>
        <w:autoSpaceDE w:val="0"/>
        <w:widowControl/>
        <w:spacing w:line="314" w:lineRule="exact" w:before="3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L—TRUST FUNDS ADMINISTRATION AND OTHER SERVICES</w:t>
      </w:r>
    </w:p>
    <w:p>
      <w:pPr>
        <w:autoSpaceDN w:val="0"/>
        <w:autoSpaceDE w:val="0"/>
        <w:widowControl/>
        <w:spacing w:line="270" w:lineRule="exact" w:before="1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Trust Funds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IBRD, alone or jointly with one or more of its affiliated organizations, administers on behalf of donors,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members, their agencies and other entities, funds restricted for specific uses in accordance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agreements with donors. Specified uses could include co-financing of IBRD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projects, debt reduction operations, technical assistance including feasibility studies and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preparation, global and regional programs, and research and training programs. These funds are held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trust with IBRD and/or IDA, and are held in a separate investment portfolio which is not commingled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 and/or IDA funds.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Trust fund execution may be carried out in one of two ways: recipient-executed or Bank-executed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activities.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Recipient-executed activities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trust funds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involve activities carried out by a recipient third-party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executing agency. IBRD enters into agreements with and disburses funds to those recipients, who then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exercise spending authority to meet the objectives and comply with terms stipulated in the agreements.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Bank-executed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activities for trust funds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involve IBRD execution of activities as described in relevant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agreements with donors, which define the terms and conditions for use of the funds.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Spending authority is exercised by IBRD, under the terms of the administration agreements.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executing agency services provided by IBRD vary and include for example, activity preparation, analytical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advisory activities and project-related activities, including procurement of goods and services.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40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p>
      <w:pPr>
        <w:sectPr>
          <w:pgSz w:w="12240" w:h="15840"/>
          <w:pgMar w:top="700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the expenses pertaining to Bank-executed activities for trust funds: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L1: Expenses for Bank-executed activities for trust funds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8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Expenses for Bank-executed activities for trust funds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604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612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570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amounts are included in Administrative expenses and the corresponding revenue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externally funded activities in the Statements of Income. Administrative expenses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relate to staff costs, travel and consultant fees.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all undisbursed contributions made by third party donors to Bank-</w:t>
      </w:r>
      <w:r>
        <w:rPr>
          <w:rFonts w:ascii="ArialMT" w:hAnsi="ArialMT" w:eastAsia="ArialMT"/>
          <w:b w:val="0"/>
          <w:i w:val="0"/>
          <w:color w:val="000000"/>
          <w:sz w:val="20"/>
        </w:rPr>
        <w:t>executed activities for trust funds, recognized on the Balance Sheets: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L2: Undisbursed contributions by third party donors to Bank-executed activities for trust </w:t>
      </w:r>
      <w:r>
        <w:rPr>
          <w:rFonts w:ascii="Arial" w:hAnsi="Arial" w:eastAsia="Arial"/>
          <w:b/>
          <w:i w:val="0"/>
          <w:color w:val="000000"/>
          <w:sz w:val="20"/>
        </w:rPr>
        <w:t>funds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48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 for trust funds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575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637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amounts are included in Other assets - Miscellaneous and the corresponding liabilities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included in Other liabilities – Accounts payable and miscellaneous liabilities on the Balance Sheets.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Revenues 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IBRD’s revenues for the administration of trust fund operations were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L3: Trust fund administration revenues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8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Revenues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24" w:lineRule="exact" w:before="17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These amounts are included in Revenue from externally funded activities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collected from donor contributions for trust fund administration fees, but not yet earned by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totaling $87 million as of June 30, 2025 ($101 million—June 30, 2024) is included in Other assets -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Miscellaneous and in Other liabilities – Accounts payable and miscellaneous liabilities, respectively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Sheets.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 Management Services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offers treasury and investment management services to affiliated and non-affiliated organizations.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IBRD offers asset management and technical advisory services to central banks of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countries, under the Reserves Advisory and Management Program, for capacity building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purposes, and receives a fee for these services.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IBRD's fee revenue from investment management activities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totaled $18 million ($17 million –June 30, 2024 and $16 million – June 30, 2023) and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externally funded activities in the Statements of Income. 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942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147</w:t>
      </w:r>
    </w:p>
    <w:p>
      <w:pPr>
        <w:sectPr>
          <w:pgSz w:w="12240" w:h="15840"/>
          <w:pgMar w:top="702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2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M—SEGMENT REPORTING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has determined that it has a single reportable operating segment. The President is the Chief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Decision Maker (CODM), who regularly reviews operational performance and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of IBRD to assess performance and allocate resources.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Administrative budget for IBRD and IDA is approved and managed as a single resource. The CODM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receives expense information on the combined basis for IBRD and IDA. As a result, no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expense amounts are presented separately for IBRD to the CODM. The measure of segment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profit or loss is at the entity level and is reported on the Statements of Income as Net (loss) income. 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measure of segment assets is reported on the Balance Sheets as Total assets.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presents IBRD’s revenues by products/services: </w:t>
      </w:r>
    </w:p>
    <w:p>
      <w:pPr>
        <w:autoSpaceDN w:val="0"/>
        <w:autoSpaceDE w:val="0"/>
        <w:widowControl/>
        <w:spacing w:line="224" w:lineRule="exact" w:before="136" w:after="4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M1: Revenues by products/services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50"/>
        </w:trPr>
        <w:tc>
          <w:tcPr>
            <w:tcW w:type="dxa" w:w="5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Ended June 30,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5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Revenue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3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32"/>
        </w:trPr>
        <w:tc>
          <w:tcPr>
            <w:tcW w:type="dxa" w:w="5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14,431 </w:t>
            </w:r>
          </w:p>
        </w:tc>
        <w:tc>
          <w:tcPr>
            <w:tcW w:type="dxa" w:w="3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10,279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from externally funded activities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947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960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878 </w:t>
            </w:r>
          </w:p>
        </w:tc>
      </w:tr>
      <w:tr>
        <w:trPr>
          <w:trHeight w:hRule="exact" w:val="248"/>
        </w:trPr>
        <w:tc>
          <w:tcPr>
            <w:tcW w:type="dxa" w:w="5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fees 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</w:tr>
      <w:tr>
        <w:trPr>
          <w:trHeight w:hRule="exact" w:val="204"/>
        </w:trPr>
        <w:tc>
          <w:tcPr>
            <w:tcW w:type="dxa" w:w="5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15,419  $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15,714  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11,194 </w:t>
            </w:r>
          </w:p>
        </w:tc>
      </w:tr>
    </w:tbl>
    <w:p>
      <w:pPr>
        <w:autoSpaceDN w:val="0"/>
        <w:autoSpaceDE w:val="0"/>
        <w:widowControl/>
        <w:spacing w:line="192" w:lineRule="exact" w:before="284" w:after="0"/>
        <w:ind w:left="242" w:right="86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For the fiscal year ended June 30, 2025 includes commitment charges of $152 million ($149 million –June 30, 2024 and $124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– June 30, 2023) and excludes interest from loan related derivatives of  $1,022 million ($1,268 million –June 30, 2024 </w:t>
      </w:r>
      <w:r>
        <w:rPr>
          <w:rFonts w:ascii="Arial" w:hAnsi="Arial" w:eastAsia="Arial"/>
          <w:b w:val="0"/>
          <w:i/>
          <w:color w:val="000000"/>
          <w:sz w:val="16"/>
        </w:rPr>
        <w:t>and  $367 million – June 30, 2023)</w:t>
      </w:r>
    </w:p>
    <w:p>
      <w:pPr>
        <w:autoSpaceDN w:val="0"/>
        <w:autoSpaceDE w:val="0"/>
        <w:widowControl/>
        <w:spacing w:line="178" w:lineRule="exact" w:before="112" w:after="0"/>
        <w:ind w:left="242" w:right="86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>b. Included in Non</w:t>
      </w:r>
      <w:r>
        <w:rPr>
          <w:rFonts w:ascii="Quivira" w:hAnsi="Quivira" w:eastAsia="Quivira"/>
          <w:b w:val="0"/>
          <w:i w:val="0"/>
          <w:color w:val="000000"/>
          <w:sz w:val="16"/>
        </w:rPr>
        <w:t>-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interest revenue-Other,net on the Statements of Income and excludes recoverable asset related to guarantees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received and other miscellaneous income of $129 million for the fiscal year ended June 30, 2025 (Nil –June 30, 2024 and $6 </w:t>
      </w:r>
      <w:r>
        <w:rPr>
          <w:rFonts w:ascii="Arial" w:hAnsi="Arial" w:eastAsia="Arial"/>
          <w:b w:val="0"/>
          <w:i/>
          <w:color w:val="000000"/>
          <w:sz w:val="16"/>
        </w:rPr>
        <w:t>million – June 30, 2023)</w:t>
      </w:r>
    </w:p>
    <w:p>
      <w:pPr>
        <w:autoSpaceDN w:val="0"/>
        <w:autoSpaceDE w:val="0"/>
        <w:widowControl/>
        <w:spacing w:line="312" w:lineRule="exact" w:before="5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N—CONTINGENCIES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time to time, IBRD may be named as a defendant or co-defendant in legal actions on different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grounds in various jurisdictions. The outcome of any existing legal action, in which IBRD has been named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defendant or co-defendant, as of and for the fiscal year ended June 30, 2025, is not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have a material adverse effect on IBRD's financial position, results of operations or cash flows.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48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2025</w:t>
      </w:r>
    </w:p>
    <w:sectPr w:rsidR="00FC693F" w:rsidRPr="0006063C" w:rsidSect="00034616">
      <w:pgSz w:w="12240" w:h="15840"/>
      <w:pgMar w:top="924" w:right="1364" w:bottom="336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