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454"/>
        <w:ind w:left="0" w:right="0"/>
      </w:pPr>
    </w:p>
    <w:p>
      <w:pPr>
        <w:autoSpaceDN w:val="0"/>
        <w:autoSpaceDE w:val="0"/>
        <w:widowControl/>
        <w:spacing w:line="530" w:lineRule="exact" w:before="0" w:after="0"/>
        <w:ind w:left="0" w:right="0" w:firstLine="0"/>
        <w:jc w:val="center"/>
      </w:pPr>
      <w:r>
        <w:rPr>
          <w:rFonts w:ascii="TimesNewRoman" w:hAnsi="TimesNewRoman" w:eastAsia="TimesNewRoman"/>
          <w:b w:val="0"/>
          <w:i w:val="0"/>
          <w:color w:val="000000"/>
          <w:sz w:val="48"/>
        </w:rPr>
        <w:t>International Development Association</w:t>
      </w:r>
    </w:p>
    <w:p>
      <w:pPr>
        <w:autoSpaceDN w:val="0"/>
        <w:autoSpaceDE w:val="0"/>
        <w:widowControl/>
        <w:spacing w:line="240" w:lineRule="auto" w:before="74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95500" cy="21805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2180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696" w:lineRule="exact" w:before="442" w:after="0"/>
        <w:ind w:left="864" w:right="864" w:firstLine="0"/>
        <w:jc w:val="center"/>
      </w:pPr>
      <w:r>
        <w:rPr>
          <w:rFonts w:ascii="TimesNewRoman" w:hAnsi="TimesNewRoman" w:eastAsia="TimesNewRoman"/>
          <w:b w:val="0"/>
          <w:i w:val="0"/>
          <w:color w:val="000000"/>
          <w:sz w:val="48"/>
        </w:rPr>
        <w:t xml:space="preserve">Management’s Discussion &amp; Analysis </w:t>
      </w:r>
      <w:r>
        <w:rPr>
          <w:rFonts w:ascii="TimesNewRoman" w:hAnsi="TimesNewRoman" w:eastAsia="TimesNewRoman"/>
          <w:b w:val="0"/>
          <w:i w:val="0"/>
          <w:color w:val="000000"/>
          <w:sz w:val="48"/>
        </w:rPr>
        <w:t>and</w:t>
      </w:r>
      <w:r>
        <w:br/>
      </w:r>
      <w:r>
        <w:rPr>
          <w:rFonts w:ascii="TimesNewRoman" w:hAnsi="TimesNewRoman" w:eastAsia="TimesNewRoman"/>
          <w:b w:val="0"/>
          <w:i w:val="0"/>
          <w:color w:val="000000"/>
          <w:sz w:val="48"/>
        </w:rPr>
        <w:t xml:space="preserve"> Financial Statements </w:t>
      </w:r>
      <w:r>
        <w:br/>
      </w:r>
      <w:r>
        <w:rPr>
          <w:rFonts w:ascii="TimesNewRoman" w:hAnsi="TimesNewRoman" w:eastAsia="TimesNewRoman"/>
          <w:b w:val="0"/>
          <w:i w:val="0"/>
          <w:color w:val="000000"/>
          <w:sz w:val="48"/>
        </w:rPr>
        <w:t>June 30, 2024</w:t>
      </w:r>
    </w:p>
    <w:p>
      <w:pPr>
        <w:sectPr>
          <w:pgSz w:w="12240" w:h="15840"/>
          <w:pgMar w:top="672" w:right="1440" w:bottom="1440" w:left="1440" w:header="720" w:footer="720" w:gutter="0"/>
          <w:cols/>
          <w:docGrid w:linePitch="360"/>
        </w:sectPr>
      </w:pPr>
    </w:p>
    <w:p>
      <w:pPr>
        <w:sectPr>
          <w:pgSz w:w="12240" w:h="15840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388"/>
      </w:tblGrid>
      <w:tr>
        <w:trPr>
          <w:trHeight w:hRule="exact" w:val="284"/>
        </w:trPr>
        <w:tc>
          <w:tcPr>
            <w:tcW w:type="dxa" w:w="93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.000000000000057" w:type="dxa"/>
            </w:tblPr>
            <w:tblGrid>
              <w:gridCol w:w="9368"/>
            </w:tblGrid>
            <w:tr>
              <w:trPr>
                <w:trHeight w:hRule="exact" w:val="264"/>
              </w:trPr>
              <w:tc>
                <w:tcPr>
                  <w:tcW w:type="dxa" w:w="3960"/>
                  <w:tcBorders/>
                  <w:shd w:fill="7f7f7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0" w:lineRule="exact" w:before="38" w:after="0"/>
                    <w:ind w:left="52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FFFFFF"/>
                      <w:sz w:val="18"/>
                    </w:rPr>
                    <w:t>Management’s Discussion and Analysis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314" w:lineRule="exact" w:before="386" w:after="0"/>
        <w:ind w:left="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Contents</w:t>
      </w:r>
    </w:p>
    <w:p>
      <w:pPr>
        <w:autoSpaceDN w:val="0"/>
        <w:tabs>
          <w:tab w:pos="4662" w:val="left"/>
          <w:tab w:pos="9222" w:val="left"/>
        </w:tabs>
        <w:autoSpaceDE w:val="0"/>
        <w:widowControl/>
        <w:spacing w:line="178" w:lineRule="exact" w:before="216" w:after="0"/>
        <w:ind w:left="5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 xml:space="preserve">Section I: Executive Summary </w:t>
      </w: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Summary of Financial Results </w:t>
      </w:r>
      <w:r>
        <w:rPr>
          <w:rFonts w:ascii="ArialMT" w:hAnsi="ArialMT" w:eastAsia="ArialMT"/>
          <w:b w:val="0"/>
          <w:i w:val="0"/>
          <w:color w:val="000000"/>
          <w:sz w:val="16"/>
        </w:rPr>
        <w:t>5</w:t>
      </w:r>
    </w:p>
    <w:p>
      <w:pPr>
        <w:autoSpaceDN w:val="0"/>
        <w:tabs>
          <w:tab w:pos="4662" w:val="left"/>
          <w:tab w:pos="9222" w:val="left"/>
        </w:tabs>
        <w:autoSpaceDE w:val="0"/>
        <w:widowControl/>
        <w:spacing w:line="178" w:lineRule="exact" w:before="302" w:after="0"/>
        <w:ind w:left="5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 xml:space="preserve">Section II: Overview </w:t>
      </w: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IDA Replenishment </w:t>
      </w:r>
      <w:r>
        <w:rPr>
          <w:rFonts w:ascii="ArialMT" w:hAnsi="ArialMT" w:eastAsia="ArialMT"/>
          <w:b w:val="0"/>
          <w:i w:val="0"/>
          <w:color w:val="000000"/>
          <w:sz w:val="16"/>
        </w:rPr>
        <w:t>7</w:t>
      </w:r>
    </w:p>
    <w:p>
      <w:pPr>
        <w:autoSpaceDN w:val="0"/>
        <w:tabs>
          <w:tab w:pos="9222" w:val="left"/>
        </w:tabs>
        <w:autoSpaceDE w:val="0"/>
        <w:widowControl/>
        <w:spacing w:line="178" w:lineRule="exact" w:before="62" w:after="0"/>
        <w:ind w:left="46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Twentieth Replenishment of Resources (IDA20)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7</w:t>
      </w:r>
    </w:p>
    <w:p>
      <w:pPr>
        <w:autoSpaceDN w:val="0"/>
        <w:tabs>
          <w:tab w:pos="9222" w:val="left"/>
        </w:tabs>
        <w:autoSpaceDE w:val="0"/>
        <w:widowControl/>
        <w:spacing w:line="178" w:lineRule="exact" w:before="62" w:after="0"/>
        <w:ind w:left="46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IDA Crisis Facility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7</w:t>
      </w:r>
    </w:p>
    <w:p>
      <w:pPr>
        <w:autoSpaceDN w:val="0"/>
        <w:tabs>
          <w:tab w:pos="9222" w:val="left"/>
        </w:tabs>
        <w:autoSpaceDE w:val="0"/>
        <w:widowControl/>
        <w:spacing w:line="178" w:lineRule="exact" w:before="62" w:after="0"/>
        <w:ind w:left="46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Financial Business Model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7</w:t>
      </w:r>
    </w:p>
    <w:p>
      <w:pPr>
        <w:autoSpaceDN w:val="0"/>
        <w:tabs>
          <w:tab w:pos="9222" w:val="left"/>
        </w:tabs>
        <w:autoSpaceDE w:val="0"/>
        <w:widowControl/>
        <w:spacing w:line="178" w:lineRule="exact" w:before="62" w:after="0"/>
        <w:ind w:left="46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Basis of Reporting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8</w:t>
      </w:r>
    </w:p>
    <w:p>
      <w:pPr>
        <w:autoSpaceDN w:val="0"/>
        <w:tabs>
          <w:tab w:pos="4662" w:val="left"/>
          <w:tab w:pos="9222" w:val="left"/>
        </w:tabs>
        <w:autoSpaceDE w:val="0"/>
        <w:widowControl/>
        <w:spacing w:line="178" w:lineRule="exact" w:before="302" w:after="0"/>
        <w:ind w:left="5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 xml:space="preserve">Section III: IDA's Financial Resources </w:t>
      </w: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IDA20 Funding </w:t>
      </w:r>
      <w:r>
        <w:rPr>
          <w:rFonts w:ascii="ArialMT" w:hAnsi="ArialMT" w:eastAsia="ArialMT"/>
          <w:b w:val="0"/>
          <w:i w:val="0"/>
          <w:color w:val="000000"/>
          <w:sz w:val="16"/>
        </w:rPr>
        <w:t>9</w:t>
      </w:r>
    </w:p>
    <w:p>
      <w:pPr>
        <w:autoSpaceDN w:val="0"/>
        <w:tabs>
          <w:tab w:pos="9222" w:val="left"/>
        </w:tabs>
        <w:autoSpaceDE w:val="0"/>
        <w:widowControl/>
        <w:spacing w:line="178" w:lineRule="exact" w:before="62" w:after="0"/>
        <w:ind w:left="46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Allocation of IDA20 Resources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9</w:t>
      </w:r>
    </w:p>
    <w:p>
      <w:pPr>
        <w:autoSpaceDN w:val="0"/>
        <w:tabs>
          <w:tab w:pos="4662" w:val="left"/>
          <w:tab w:pos="9134" w:val="left"/>
        </w:tabs>
        <w:autoSpaceDE w:val="0"/>
        <w:widowControl/>
        <w:spacing w:line="178" w:lineRule="exact" w:before="302" w:after="0"/>
        <w:ind w:left="5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 xml:space="preserve">Section IV: Financial Results </w:t>
      </w: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Financial Results and Portfolio Performance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15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302" w:after="0"/>
        <w:ind w:left="5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Section V: Development Activities, Products and Programs</w:t>
      </w: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Lending Framework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25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46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Financial Terms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26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46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Loans, Grants and Guarantee Activity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28</w:t>
      </w:r>
    </w:p>
    <w:p>
      <w:pPr>
        <w:autoSpaceDN w:val="0"/>
        <w:tabs>
          <w:tab w:pos="4662" w:val="left"/>
          <w:tab w:pos="9134" w:val="left"/>
        </w:tabs>
        <w:autoSpaceDE w:val="0"/>
        <w:widowControl/>
        <w:spacing w:line="178" w:lineRule="exact" w:before="302" w:after="0"/>
        <w:ind w:left="5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 xml:space="preserve">Section VI: Other Development Activities and Programs </w:t>
      </w: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Guarantees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30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46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Other Financial Products and Services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31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46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Grant Making Facilities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31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46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Debt Relief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31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46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Externally-Funded Activities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32</w:t>
      </w:r>
    </w:p>
    <w:p>
      <w:pPr>
        <w:autoSpaceDN w:val="0"/>
        <w:tabs>
          <w:tab w:pos="4662" w:val="left"/>
          <w:tab w:pos="9134" w:val="left"/>
        </w:tabs>
        <w:autoSpaceDE w:val="0"/>
        <w:widowControl/>
        <w:spacing w:line="178" w:lineRule="exact" w:before="348" w:after="0"/>
        <w:ind w:left="5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 xml:space="preserve">Section VII: Investment Activities </w:t>
      </w: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Investments - Trading Portfolio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34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46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Investments - Non-Trading Portfolio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35</w:t>
      </w:r>
    </w:p>
    <w:p>
      <w:pPr>
        <w:autoSpaceDN w:val="0"/>
        <w:tabs>
          <w:tab w:pos="4662" w:val="left"/>
          <w:tab w:pos="9134" w:val="left"/>
        </w:tabs>
        <w:autoSpaceDE w:val="0"/>
        <w:widowControl/>
        <w:spacing w:line="178" w:lineRule="exact" w:before="302" w:after="0"/>
        <w:ind w:left="5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 xml:space="preserve">Section VIII: Borrowing Activities </w:t>
      </w: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Market Debt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36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46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Concessional Partner Loans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36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46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Other Short-Term Borrowings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37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46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Contractual Obligations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37</w:t>
      </w:r>
    </w:p>
    <w:p>
      <w:pPr>
        <w:autoSpaceDN w:val="0"/>
        <w:tabs>
          <w:tab w:pos="4662" w:val="left"/>
          <w:tab w:pos="9134" w:val="left"/>
        </w:tabs>
        <w:autoSpaceDE w:val="0"/>
        <w:widowControl/>
        <w:spacing w:line="178" w:lineRule="exact" w:before="302" w:after="0"/>
        <w:ind w:left="5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 xml:space="preserve">Section IX: Risk Management </w:t>
      </w: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Risk Governance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38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46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Risk Oversight and Coverage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38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46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Management of IDA's Risks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40</w:t>
      </w:r>
    </w:p>
    <w:p>
      <w:pPr>
        <w:autoSpaceDN w:val="0"/>
        <w:tabs>
          <w:tab w:pos="4662" w:val="left"/>
          <w:tab w:pos="9134" w:val="left"/>
        </w:tabs>
        <w:autoSpaceDE w:val="0"/>
        <w:widowControl/>
        <w:spacing w:line="178" w:lineRule="exact" w:before="302" w:after="0"/>
        <w:ind w:left="5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 xml:space="preserve">Section X: Critical Accounting Policies and the Use of </w:t>
      </w: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Fair Value of Financial Instruments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51</w:t>
      </w:r>
    </w:p>
    <w:p>
      <w:pPr>
        <w:autoSpaceDN w:val="0"/>
        <w:tabs>
          <w:tab w:pos="4662" w:val="left"/>
          <w:tab w:pos="9134" w:val="left"/>
        </w:tabs>
        <w:autoSpaceDE w:val="0"/>
        <w:widowControl/>
        <w:spacing w:line="192" w:lineRule="exact" w:before="0" w:after="0"/>
        <w:ind w:left="5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 xml:space="preserve">Estimates </w:t>
      </w: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Provision for Losses on Loans and Other Exposures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51</w:t>
      </w:r>
    </w:p>
    <w:p>
      <w:pPr>
        <w:autoSpaceDN w:val="0"/>
        <w:tabs>
          <w:tab w:pos="4662" w:val="left"/>
          <w:tab w:pos="9134" w:val="left"/>
        </w:tabs>
        <w:autoSpaceDE w:val="0"/>
        <w:widowControl/>
        <w:spacing w:line="178" w:lineRule="exact" w:before="302" w:after="0"/>
        <w:ind w:left="5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 xml:space="preserve">Section XI: Governance and Internal Controls </w:t>
      </w: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Business Conduct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52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46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General Governance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52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46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Audit Committee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53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46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External Auditors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54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46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Senior Management Changes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54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46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Internal Controls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54</w:t>
      </w:r>
    </w:p>
    <w:p>
      <w:pPr>
        <w:autoSpaceDN w:val="0"/>
        <w:tabs>
          <w:tab w:pos="4662" w:val="left"/>
          <w:tab w:pos="9134" w:val="left"/>
        </w:tabs>
        <w:autoSpaceDE w:val="0"/>
        <w:widowControl/>
        <w:spacing w:line="178" w:lineRule="exact" w:before="376" w:after="0"/>
        <w:ind w:left="5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 xml:space="preserve">Appendix </w:t>
      </w: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Glossary of Terms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56</w:t>
      </w:r>
    </w:p>
    <w:p>
      <w:pPr>
        <w:autoSpaceDN w:val="0"/>
        <w:tabs>
          <w:tab w:pos="9200" w:val="left"/>
        </w:tabs>
        <w:autoSpaceDE w:val="0"/>
        <w:widowControl/>
        <w:spacing w:line="224" w:lineRule="exact" w:before="1748" w:after="0"/>
        <w:ind w:left="329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Management's Discussion and Analysis:  June 30, 2024 </w:t>
      </w:r>
      <w:r>
        <w:rPr>
          <w:rFonts w:ascii="ArialMT" w:hAnsi="ArialMT" w:eastAsia="ArialMT"/>
          <w:b w:val="0"/>
          <w:i w:val="0"/>
          <w:color w:val="000000"/>
          <w:sz w:val="20"/>
        </w:rPr>
        <w:t>1</w:t>
      </w:r>
    </w:p>
    <w:p>
      <w:pPr>
        <w:sectPr>
          <w:pgSz w:w="12240" w:h="15840"/>
          <w:pgMar w:top="360" w:right="1416" w:bottom="424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388"/>
      </w:tblGrid>
      <w:tr>
        <w:trPr>
          <w:trHeight w:hRule="exact" w:val="284"/>
        </w:trPr>
        <w:tc>
          <w:tcPr>
            <w:tcW w:type="dxa" w:w="9368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.000000000000057" w:type="dxa"/>
            </w:tblPr>
            <w:tblGrid>
              <w:gridCol w:w="9368"/>
            </w:tblGrid>
            <w:tr>
              <w:trPr>
                <w:trHeight w:hRule="exact" w:val="264"/>
              </w:trPr>
              <w:tc>
                <w:tcPr>
                  <w:tcW w:type="dxa" w:w="3960"/>
                  <w:tcBorders/>
                  <w:shd w:fill="7f7f7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0" w:lineRule="exact" w:before="38" w:after="0"/>
                    <w:ind w:left="52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FFFFFF"/>
                      <w:sz w:val="18"/>
                    </w:rPr>
                    <w:t>Management’s Discussion and Analysis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68" w:lineRule="exact" w:before="394" w:after="0"/>
        <w:ind w:left="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List of Tables, Figures and Box</w:t>
      </w:r>
    </w:p>
    <w:p>
      <w:pPr>
        <w:autoSpaceDN w:val="0"/>
        <w:autoSpaceDE w:val="0"/>
        <w:widowControl/>
        <w:spacing w:line="244" w:lineRule="exact" w:before="134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Tables</w:t>
      </w:r>
    </w:p>
    <w:p>
      <w:pPr>
        <w:autoSpaceDN w:val="0"/>
        <w:tabs>
          <w:tab w:pos="9222" w:val="left"/>
        </w:tabs>
        <w:autoSpaceDE w:val="0"/>
        <w:widowControl/>
        <w:spacing w:line="186" w:lineRule="exact" w:before="204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Table 1: Selected Financial Data </w:t>
      </w:r>
      <w:r>
        <w:rPr>
          <w:rFonts w:ascii="ArialMT" w:hAnsi="ArialMT" w:eastAsia="ArialMT"/>
          <w:b w:val="0"/>
          <w:i w:val="0"/>
          <w:color w:val="000000"/>
          <w:sz w:val="16"/>
        </w:rPr>
        <w:t>3</w:t>
      </w:r>
    </w:p>
    <w:p>
      <w:pPr>
        <w:autoSpaceDN w:val="0"/>
        <w:tabs>
          <w:tab w:pos="9222" w:val="left"/>
        </w:tabs>
        <w:autoSpaceDE w:val="0"/>
        <w:widowControl/>
        <w:spacing w:line="186" w:lineRule="exact" w:before="46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Table 2: IDA20 Allocations </w:t>
      </w:r>
      <w:r>
        <w:rPr>
          <w:rFonts w:ascii="ArialMT" w:hAnsi="ArialMT" w:eastAsia="ArialMT"/>
          <w:b w:val="0"/>
          <w:i w:val="0"/>
          <w:color w:val="000000"/>
          <w:sz w:val="16"/>
        </w:rPr>
        <w:t>9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Table 3: Cumulative Net Commitments under IDA20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10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Table 4: Condensed Statements of Income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17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Table 5: Condensed Balance Sheets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18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Table 6: Changes in Equity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18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Table 7: Gross Disbursements of Loans and Grants by Region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19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Table 8: Revenue and Loan Balances by Product Category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20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Table 9: Net Non-Interest Expenses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23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Table 10: Budget Anchor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23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Table 11: Other Revenue (Expenses), net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24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Table 12: Unrealized Mark-to-Market gains (losses) on non-trading portfolios, net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24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Table 13: Cumulative Loans approved under Single Currency program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27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Table 14: Summary of Financial Terms for IDA Lending Products, effective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27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Table 15: Net Commitments of Loans and Guarantees by Region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28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Table 16: Net Commitments of Grants by Region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29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Table 17: Types of Guarantees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30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Table 18: Pricing for IDA’s Project-Based and Policy-Based Guarantees, effective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30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Table 19: Funds Held in Trust by IDA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33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Table 20: Investments Trading Portfolio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35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Table 21: Borrowing Portfolio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36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Table 22: Concessional Partner Loans Terms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36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Table 23: Short-Term Borrowings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37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Table 24: Summary of IDA's Specific Risk Categories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41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Table 25: Deployable Strategic Capital Ratio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42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Table 26: Treatment of Overdue Payments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44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Table 27: Eligibility Criteria for IDA’s Investments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46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Table 28: Commercial Credit Exposure, Net of Collateral Held, by Counterparty Rating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47</w:t>
      </w:r>
    </w:p>
    <w:p>
      <w:pPr>
        <w:autoSpaceDN w:val="0"/>
        <w:autoSpaceDE w:val="0"/>
        <w:widowControl/>
        <w:spacing w:line="244" w:lineRule="exact" w:before="202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Figures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220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Figure 1: IDA Windows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10</w:t>
      </w:r>
    </w:p>
    <w:p>
      <w:pPr>
        <w:autoSpaceDN w:val="0"/>
        <w:tabs>
          <w:tab w:pos="9146" w:val="left"/>
        </w:tabs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Figure 2: Overview of IDA20 Financing Terms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11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Figure 3: Net Loans Outstanding Activity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19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Figure 4: Net Loans Outstanding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19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Figure 5: Net Investment Portfolio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21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Figure 6: Investment interest revenue, net of derivatives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21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Figure 7: Borrowing Portfolio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21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Figure 8: Borrowing expenses, net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21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Figure 9: Net Annual Commitments and Percentage Share of Financing Categories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26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Figure 10: Net Investment Portfolio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34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Figure 11: Effect of Derivatives on Currency Composition of the Borrowing Portfolio–June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37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Figure 12: Medium- and Long-Term Borrowings Issued by Currency during the year, excluding Derivatives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37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Figure 13: Management Risk Committee Structure for Financial and Operational Risks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39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Figure 14: Country Exposures as of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43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Figure 15: Use of Derivatives for Market Borrowings at fair value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48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Figure 16: Governance Structure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52</w:t>
      </w:r>
    </w:p>
    <w:p>
      <w:pPr>
        <w:autoSpaceDN w:val="0"/>
        <w:autoSpaceDE w:val="0"/>
        <w:widowControl/>
        <w:spacing w:line="244" w:lineRule="exact" w:before="202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Box</w:t>
      </w:r>
    </w:p>
    <w:p>
      <w:pPr>
        <w:autoSpaceDN w:val="0"/>
        <w:tabs>
          <w:tab w:pos="9134" w:val="left"/>
        </w:tabs>
        <w:autoSpaceDE w:val="0"/>
        <w:widowControl/>
        <w:spacing w:line="178" w:lineRule="exact" w:before="220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Box 1: Financing Principles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25</w:t>
      </w:r>
    </w:p>
    <w:p>
      <w:pPr>
        <w:autoSpaceDN w:val="0"/>
        <w:tabs>
          <w:tab w:pos="656" w:val="left"/>
        </w:tabs>
        <w:autoSpaceDE w:val="0"/>
        <w:widowControl/>
        <w:spacing w:line="224" w:lineRule="exact" w:before="556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Management's Discussion and Analysis:  June 30, 2024</w:t>
      </w:r>
    </w:p>
    <w:p>
      <w:pPr>
        <w:sectPr>
          <w:pgSz w:w="12240" w:h="15840"/>
          <w:pgMar w:top="360" w:right="1416" w:bottom="424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20"/>
        <w:gridCol w:w="4720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I: Executive Summary</w:t>
            </w:r>
          </w:p>
        </w:tc>
      </w:tr>
    </w:tbl>
    <w:p>
      <w:pPr>
        <w:autoSpaceDN w:val="0"/>
        <w:autoSpaceDE w:val="0"/>
        <w:widowControl/>
        <w:spacing w:line="314" w:lineRule="exact" w:before="438" w:after="0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Section I: Executive Summary</w:t>
      </w:r>
    </w:p>
    <w:p>
      <w:pPr>
        <w:autoSpaceDN w:val="0"/>
        <w:autoSpaceDE w:val="0"/>
        <w:widowControl/>
        <w:spacing w:line="240" w:lineRule="exact" w:before="206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This Management’s Discussion &amp; Analysis (MD&amp;A) reflects the results of the International Development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Association’s (IDA) financial performance for the fiscal year ended June 30, 2024 (FY24). IDA undertakes no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obligation to update any forward-looking statements. Certain reclassifications of prior years’ information have been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made to conform with the current year’s presentation. For discussion of IDA’s financial results for the year ended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June 30, 2023, as compared to the year ended June 30, 2022, see Section IV – Financial Results in IDA’s MD&amp;A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and Financial Statements for the fiscal year ended June 30, 2023 (FY23).</w:t>
      </w:r>
    </w:p>
    <w:p>
      <w:pPr>
        <w:autoSpaceDN w:val="0"/>
        <w:autoSpaceDE w:val="0"/>
        <w:widowControl/>
        <w:spacing w:line="268" w:lineRule="exact" w:before="136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Table 1: Selected Financial Data</w:t>
      </w:r>
    </w:p>
    <w:p>
      <w:pPr>
        <w:autoSpaceDN w:val="0"/>
        <w:autoSpaceDE w:val="0"/>
        <w:widowControl/>
        <w:spacing w:line="178" w:lineRule="exact" w:before="154" w:after="0"/>
        <w:ind w:left="1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dollars, except ratios which are in percentages</w:t>
      </w:r>
    </w:p>
    <w:p>
      <w:pPr>
        <w:autoSpaceDN w:val="0"/>
        <w:autoSpaceDE w:val="0"/>
        <w:widowControl/>
        <w:spacing w:line="202" w:lineRule="exact" w:before="124" w:after="30"/>
        <w:ind w:left="0" w:right="336" w:firstLine="0"/>
        <w:jc w:val="right"/>
      </w:pPr>
      <w:r>
        <w:rPr>
          <w:rFonts w:ascii="ArialMT" w:hAnsi="ArialMT" w:eastAsia="ArialMT"/>
          <w:b w:val="0"/>
          <w:i w:val="0"/>
          <w:color w:val="808080"/>
          <w:sz w:val="18"/>
        </w:rPr>
        <w:t>As of and for the fiscal years ended June 30,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47"/>
        <w:gridCol w:w="3147"/>
        <w:gridCol w:w="3147"/>
      </w:tblGrid>
      <w:tr>
        <w:trPr>
          <w:trHeight w:hRule="exact" w:val="240"/>
        </w:trPr>
        <w:tc>
          <w:tcPr>
            <w:tcW w:type="dxa" w:w="6618"/>
            <w:tcBorders>
              <w:end w:sz="41.59999999999991" w:val="single" w:color="#FFFFFF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8" w:after="0"/>
              <w:ind w:left="0" w:right="4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2024</w:t>
            </w:r>
          </w:p>
        </w:tc>
        <w:tc>
          <w:tcPr>
            <w:tcW w:type="dxa" w:w="1416"/>
            <w:tcBorders>
              <w:start w:sz="41.59999999999991" w:val="single" w:color="#FFFFFF"/>
              <w:top w:sz="8.0" w:val="single" w:color="#929292"/>
              <w:end w:sz="48.0" w:val="single" w:color="#FFFFFF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2023</w:t>
            </w:r>
          </w:p>
        </w:tc>
        <w:tc>
          <w:tcPr>
            <w:tcW w:type="dxa" w:w="1346"/>
            <w:tcBorders>
              <w:start w:sz="48.0" w:val="single" w:color="#FFFFFF"/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2022</w:t>
            </w:r>
          </w:p>
        </w:tc>
      </w:tr>
    </w:tbl>
    <w:p>
      <w:pPr>
        <w:autoSpaceDN w:val="0"/>
        <w:autoSpaceDE w:val="0"/>
        <w:widowControl/>
        <w:spacing w:line="180" w:lineRule="exact" w:before="28" w:after="0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Lending Highlights (Sections IV &amp; V)</w:t>
      </w:r>
    </w:p>
    <w:p>
      <w:pPr>
        <w:autoSpaceDN w:val="0"/>
        <w:autoSpaceDE w:val="0"/>
        <w:widowControl/>
        <w:spacing w:line="180" w:lineRule="exact" w:before="60" w:after="34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Loans, Grants and Guarantees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0.0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204"/>
        </w:trPr>
        <w:tc>
          <w:tcPr>
            <w:tcW w:type="dxa" w:w="35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" w:after="0"/>
              <w:ind w:left="1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Net commitments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a</w:t>
            </w:r>
          </w:p>
        </w:tc>
        <w:tc>
          <w:tcPr>
            <w:tcW w:type="dxa" w:w="20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0" w:right="14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08"/>
            <w:tcBorders>
              <w:end w:sz="41.59999999999991" w:val="single" w:color="#FFFFF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31,195 </w:t>
            </w:r>
          </w:p>
        </w:tc>
        <w:tc>
          <w:tcPr>
            <w:tcW w:type="dxa" w:w="432"/>
            <w:vMerge w:val="restart"/>
            <w:tcBorders>
              <w:start w:sz="41.59999999999991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84"/>
            <w:tcBorders>
              <w:end w:sz="48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34,245 </w:t>
            </w:r>
          </w:p>
        </w:tc>
        <w:tc>
          <w:tcPr>
            <w:tcW w:type="dxa" w:w="436"/>
            <w:vMerge w:val="restart"/>
            <w:tcBorders>
              <w:start w:sz="48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5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4" w:after="0"/>
              <w:ind w:left="2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37,727 </w:t>
            </w:r>
          </w:p>
        </w:tc>
      </w:tr>
      <w:tr>
        <w:trPr>
          <w:trHeight w:hRule="exact" w:val="240"/>
        </w:trPr>
        <w:tc>
          <w:tcPr>
            <w:tcW w:type="dxa" w:w="35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1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Gross disbursements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a</w:t>
            </w:r>
          </w:p>
        </w:tc>
        <w:tc>
          <w:tcPr>
            <w:tcW w:type="dxa" w:w="1349"/>
            <w:vMerge/>
            <w:tcBorders/>
          </w:tcPr>
          <w:p/>
        </w:tc>
        <w:tc>
          <w:tcPr>
            <w:tcW w:type="dxa" w:w="908"/>
            <w:tcBorders>
              <w:end w:sz="41.59999999999991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28,247 </w:t>
            </w:r>
          </w:p>
        </w:tc>
        <w:tc>
          <w:tcPr>
            <w:tcW w:type="dxa" w:w="1349"/>
            <w:vMerge/>
            <w:tcBorders>
              <w:start w:sz="41.59999999999991" w:val="single" w:color="#FFFFFF"/>
            </w:tcBorders>
          </w:tcPr>
          <w:p/>
        </w:tc>
        <w:tc>
          <w:tcPr>
            <w:tcW w:type="dxa" w:w="984"/>
            <w:tcBorders>
              <w:end w:sz="48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27,718 </w:t>
            </w:r>
          </w:p>
        </w:tc>
        <w:tc>
          <w:tcPr>
            <w:tcW w:type="dxa" w:w="1349"/>
            <w:vMerge/>
            <w:tcBorders>
              <w:start w:sz="48.0" w:val="single" w:color="#FFFFFF"/>
            </w:tcBorders>
          </w:tcPr>
          <w:p/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2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21,214 </w:t>
            </w:r>
          </w:p>
        </w:tc>
      </w:tr>
      <w:tr>
        <w:trPr>
          <w:trHeight w:hRule="exact" w:val="276"/>
        </w:trPr>
        <w:tc>
          <w:tcPr>
            <w:tcW w:type="dxa" w:w="3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2" w:after="0"/>
              <w:ind w:left="1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Net disbursements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a</w:t>
            </w:r>
          </w:p>
        </w:tc>
        <w:tc>
          <w:tcPr>
            <w:tcW w:type="dxa" w:w="1349"/>
            <w:vMerge/>
            <w:tcBorders/>
          </w:tcPr>
          <w:p/>
        </w:tc>
        <w:tc>
          <w:tcPr>
            <w:tcW w:type="dxa" w:w="908"/>
            <w:tcBorders>
              <w:end w:sz="41.59999999999991" w:val="single" w:color="#FFFFF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20,062 </w:t>
            </w:r>
          </w:p>
        </w:tc>
        <w:tc>
          <w:tcPr>
            <w:tcW w:type="dxa" w:w="1349"/>
            <w:vMerge/>
            <w:tcBorders>
              <w:start w:sz="41.59999999999991" w:val="single" w:color="#FFFFFF"/>
            </w:tcBorders>
          </w:tcPr>
          <w:p/>
        </w:tc>
        <w:tc>
          <w:tcPr>
            <w:tcW w:type="dxa" w:w="984"/>
            <w:tcBorders>
              <w:end w:sz="48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19,968 </w:t>
            </w:r>
          </w:p>
        </w:tc>
        <w:tc>
          <w:tcPr>
            <w:tcW w:type="dxa" w:w="1349"/>
            <w:vMerge/>
            <w:tcBorders>
              <w:start w:sz="48.0" w:val="single" w:color="#FFFFFF"/>
            </w:tcBorders>
          </w:tcPr>
          <w:p/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2" w:after="0"/>
              <w:ind w:left="2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14,477 </w:t>
            </w:r>
          </w:p>
        </w:tc>
      </w:tr>
    </w:tbl>
    <w:p>
      <w:pPr>
        <w:autoSpaceDN w:val="0"/>
        <w:autoSpaceDE w:val="0"/>
        <w:widowControl/>
        <w:spacing w:line="180" w:lineRule="exact" w:before="266" w:after="34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Balance Sheet (Section IV)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0.0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204"/>
        </w:trPr>
        <w:tc>
          <w:tcPr>
            <w:tcW w:type="dxa" w:w="36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4" w:after="0"/>
              <w:ind w:left="1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 assets</w:t>
            </w:r>
          </w:p>
        </w:tc>
        <w:tc>
          <w:tcPr>
            <w:tcW w:type="dxa" w:w="1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0" w:right="10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48"/>
            <w:tcBorders>
              <w:end w:sz="41.59999999999991" w:val="single" w:color="#FFFFF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241,350 </w:t>
            </w:r>
          </w:p>
        </w:tc>
        <w:tc>
          <w:tcPr>
            <w:tcW w:type="dxa" w:w="392"/>
            <w:vMerge w:val="restart"/>
            <w:tcBorders>
              <w:start w:sz="41.59999999999991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24"/>
            <w:tcBorders>
              <w:end w:sz="48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227,482 </w:t>
            </w:r>
          </w:p>
        </w:tc>
        <w:tc>
          <w:tcPr>
            <w:tcW w:type="dxa" w:w="396"/>
            <w:vMerge w:val="restart"/>
            <w:tcBorders>
              <w:start w:sz="48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5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220,014 </w:t>
            </w:r>
          </w:p>
        </w:tc>
      </w:tr>
      <w:tr>
        <w:trPr>
          <w:trHeight w:hRule="exact" w:val="240"/>
        </w:trPr>
        <w:tc>
          <w:tcPr>
            <w:tcW w:type="dxa" w:w="36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1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Net investment portfolio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b</w:t>
            </w:r>
          </w:p>
        </w:tc>
        <w:tc>
          <w:tcPr>
            <w:tcW w:type="dxa" w:w="1349"/>
            <w:vMerge/>
            <w:tcBorders/>
          </w:tcPr>
          <w:p/>
        </w:tc>
        <w:tc>
          <w:tcPr>
            <w:tcW w:type="dxa" w:w="948"/>
            <w:tcBorders>
              <w:end w:sz="41.59999999999991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33,581 </w:t>
            </w:r>
          </w:p>
        </w:tc>
        <w:tc>
          <w:tcPr>
            <w:tcW w:type="dxa" w:w="1349"/>
            <w:vMerge/>
            <w:tcBorders>
              <w:start w:sz="41.59999999999991" w:val="single" w:color="#FFFFFF"/>
            </w:tcBorders>
          </w:tcPr>
          <w:p/>
        </w:tc>
        <w:tc>
          <w:tcPr>
            <w:tcW w:type="dxa" w:w="1024"/>
            <w:tcBorders>
              <w:end w:sz="48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0" w:right="1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30,672 </w:t>
            </w:r>
          </w:p>
        </w:tc>
        <w:tc>
          <w:tcPr>
            <w:tcW w:type="dxa" w:w="1349"/>
            <w:vMerge/>
            <w:tcBorders>
              <w:start w:sz="48.0" w:val="single" w:color="#FFFFFF"/>
            </w:tcBorders>
          </w:tcPr>
          <w:p/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0" w:right="10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39,561 </w:t>
            </w:r>
          </w:p>
        </w:tc>
      </w:tr>
      <w:tr>
        <w:trPr>
          <w:trHeight w:hRule="exact" w:val="240"/>
        </w:trPr>
        <w:tc>
          <w:tcPr>
            <w:tcW w:type="dxa" w:w="36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1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Net loans outstanding</w:t>
            </w:r>
          </w:p>
        </w:tc>
        <w:tc>
          <w:tcPr>
            <w:tcW w:type="dxa" w:w="1349"/>
            <w:vMerge/>
            <w:tcBorders/>
          </w:tcPr>
          <w:p/>
        </w:tc>
        <w:tc>
          <w:tcPr>
            <w:tcW w:type="dxa" w:w="948"/>
            <w:tcBorders>
              <w:end w:sz="41.59999999999991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198,457 </w:t>
            </w:r>
          </w:p>
        </w:tc>
        <w:tc>
          <w:tcPr>
            <w:tcW w:type="dxa" w:w="1349"/>
            <w:vMerge/>
            <w:tcBorders>
              <w:start w:sz="41.59999999999991" w:val="single" w:color="#FFFFFF"/>
            </w:tcBorders>
          </w:tcPr>
          <w:p/>
        </w:tc>
        <w:tc>
          <w:tcPr>
            <w:tcW w:type="dxa" w:w="1024"/>
            <w:tcBorders>
              <w:end w:sz="48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187,669 </w:t>
            </w:r>
          </w:p>
        </w:tc>
        <w:tc>
          <w:tcPr>
            <w:tcW w:type="dxa" w:w="1349"/>
            <w:vMerge/>
            <w:tcBorders>
              <w:start w:sz="48.0" w:val="single" w:color="#FFFFFF"/>
            </w:tcBorders>
          </w:tcPr>
          <w:p/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174,490 </w:t>
            </w:r>
          </w:p>
        </w:tc>
      </w:tr>
      <w:tr>
        <w:trPr>
          <w:trHeight w:hRule="exact" w:val="240"/>
        </w:trPr>
        <w:tc>
          <w:tcPr>
            <w:tcW w:type="dxa" w:w="36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1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Borrowing portfolio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c</w:t>
            </w:r>
          </w:p>
        </w:tc>
        <w:tc>
          <w:tcPr>
            <w:tcW w:type="dxa" w:w="1349"/>
            <w:vMerge/>
            <w:tcBorders/>
          </w:tcPr>
          <w:p/>
        </w:tc>
        <w:tc>
          <w:tcPr>
            <w:tcW w:type="dxa" w:w="948"/>
            <w:tcBorders>
              <w:end w:sz="41.59999999999991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47,028 </w:t>
            </w:r>
          </w:p>
        </w:tc>
        <w:tc>
          <w:tcPr>
            <w:tcW w:type="dxa" w:w="1349"/>
            <w:vMerge/>
            <w:tcBorders>
              <w:start w:sz="41.59999999999991" w:val="single" w:color="#FFFFFF"/>
            </w:tcBorders>
          </w:tcPr>
          <w:p/>
        </w:tc>
        <w:tc>
          <w:tcPr>
            <w:tcW w:type="dxa" w:w="1024"/>
            <w:tcBorders>
              <w:end w:sz="48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0" w:right="1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35,393 </w:t>
            </w:r>
          </w:p>
        </w:tc>
        <w:tc>
          <w:tcPr>
            <w:tcW w:type="dxa" w:w="1349"/>
            <w:vMerge/>
            <w:tcBorders>
              <w:start w:sz="48.0" w:val="single" w:color="#FFFFFF"/>
            </w:tcBorders>
          </w:tcPr>
          <w:p/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0" w:right="10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35,032 </w:t>
            </w:r>
          </w:p>
        </w:tc>
      </w:tr>
      <w:tr>
        <w:trPr>
          <w:trHeight w:hRule="exact" w:val="276"/>
        </w:trPr>
        <w:tc>
          <w:tcPr>
            <w:tcW w:type="dxa" w:w="36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2" w:after="0"/>
              <w:ind w:left="1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 equity</w:t>
            </w:r>
          </w:p>
        </w:tc>
        <w:tc>
          <w:tcPr>
            <w:tcW w:type="dxa" w:w="1349"/>
            <w:vMerge/>
            <w:tcBorders/>
          </w:tcPr>
          <w:p/>
        </w:tc>
        <w:tc>
          <w:tcPr>
            <w:tcW w:type="dxa" w:w="948"/>
            <w:tcBorders>
              <w:end w:sz="41.59999999999991" w:val="single" w:color="#FFFFF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190,301 </w:t>
            </w:r>
          </w:p>
        </w:tc>
        <w:tc>
          <w:tcPr>
            <w:tcW w:type="dxa" w:w="1349"/>
            <w:vMerge/>
            <w:tcBorders>
              <w:start w:sz="41.59999999999991" w:val="single" w:color="#FFFFFF"/>
            </w:tcBorders>
          </w:tcPr>
          <w:p/>
        </w:tc>
        <w:tc>
          <w:tcPr>
            <w:tcW w:type="dxa" w:w="1024"/>
            <w:tcBorders>
              <w:end w:sz="48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185,782 </w:t>
            </w:r>
          </w:p>
        </w:tc>
        <w:tc>
          <w:tcPr>
            <w:tcW w:type="dxa" w:w="1349"/>
            <w:vMerge/>
            <w:tcBorders>
              <w:start w:sz="48.0" w:val="single" w:color="#FFFFFF"/>
            </w:tcBorders>
          </w:tcPr>
          <w:p/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178,668 </w:t>
            </w:r>
          </w:p>
        </w:tc>
      </w:tr>
    </w:tbl>
    <w:p>
      <w:pPr>
        <w:autoSpaceDN w:val="0"/>
        <w:autoSpaceDE w:val="0"/>
        <w:widowControl/>
        <w:spacing w:line="180" w:lineRule="exact" w:before="266" w:after="34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Income Statement (Section IV)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0.0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204"/>
        </w:trPr>
        <w:tc>
          <w:tcPr>
            <w:tcW w:type="dxa" w:w="44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4" w:after="0"/>
              <w:ind w:left="1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Interest revenue, net of borrowing expenses</w:t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0" w:right="1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88"/>
            <w:tcBorders>
              <w:end w:sz="41.59999999999991" w:val="single" w:color="#FFFFF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2,398 </w:t>
            </w:r>
          </w:p>
        </w:tc>
        <w:tc>
          <w:tcPr>
            <w:tcW w:type="dxa" w:w="452"/>
            <w:vMerge w:val="restart"/>
            <w:tcBorders>
              <w:start w:sz="41.59999999999991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64"/>
            <w:tcBorders>
              <w:end w:sz="48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4" w:after="0"/>
              <w:ind w:left="0" w:right="1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2,367 </w:t>
            </w:r>
          </w:p>
        </w:tc>
        <w:tc>
          <w:tcPr>
            <w:tcW w:type="dxa" w:w="456"/>
            <w:vMerge w:val="restart"/>
            <w:tcBorders>
              <w:start w:sz="48.0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5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4" w:after="0"/>
              <w:ind w:left="0" w:right="1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1,901 </w:t>
            </w:r>
          </w:p>
        </w:tc>
      </w:tr>
      <w:tr>
        <w:trPr>
          <w:trHeight w:hRule="exact" w:val="240"/>
        </w:trPr>
        <w:tc>
          <w:tcPr>
            <w:tcW w:type="dxa" w:w="44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1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Transfers from affiliated organizations and others</w:t>
            </w:r>
          </w:p>
        </w:tc>
        <w:tc>
          <w:tcPr>
            <w:tcW w:type="dxa" w:w="1349"/>
            <w:vMerge/>
            <w:tcBorders/>
          </w:tcPr>
          <w:p/>
        </w:tc>
        <w:tc>
          <w:tcPr>
            <w:tcW w:type="dxa" w:w="888"/>
            <w:tcBorders>
              <w:end w:sz="41.59999999999991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0" w:right="16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291 </w:t>
            </w:r>
          </w:p>
        </w:tc>
        <w:tc>
          <w:tcPr>
            <w:tcW w:type="dxa" w:w="1349"/>
            <w:vMerge/>
            <w:tcBorders>
              <w:start w:sz="41.59999999999991" w:val="single" w:color="#FFFFFF"/>
            </w:tcBorders>
          </w:tcPr>
          <w:p/>
        </w:tc>
        <w:tc>
          <w:tcPr>
            <w:tcW w:type="dxa" w:w="964"/>
            <w:tcBorders>
              <w:end w:sz="48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0" w:right="1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117 </w:t>
            </w:r>
          </w:p>
        </w:tc>
        <w:tc>
          <w:tcPr>
            <w:tcW w:type="dxa" w:w="1349"/>
            <w:vMerge/>
            <w:tcBorders>
              <w:start w:sz="48.0" w:val="single" w:color="#FFFFFF"/>
            </w:tcBorders>
          </w:tcPr>
          <w:p/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0" w:right="1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274 </w:t>
            </w:r>
          </w:p>
        </w:tc>
      </w:tr>
      <w:tr>
        <w:trPr>
          <w:trHeight w:hRule="exact" w:val="240"/>
        </w:trPr>
        <w:tc>
          <w:tcPr>
            <w:tcW w:type="dxa" w:w="44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1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Development grants</w:t>
            </w:r>
          </w:p>
        </w:tc>
        <w:tc>
          <w:tcPr>
            <w:tcW w:type="dxa" w:w="1349"/>
            <w:vMerge/>
            <w:tcBorders/>
          </w:tcPr>
          <w:p/>
        </w:tc>
        <w:tc>
          <w:tcPr>
            <w:tcW w:type="dxa" w:w="888"/>
            <w:tcBorders>
              <w:end w:sz="41.59999999999991" w:val="single" w:color="#FFFFF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(5,291) </w:t>
            </w:r>
          </w:p>
        </w:tc>
        <w:tc>
          <w:tcPr>
            <w:tcW w:type="dxa" w:w="1349"/>
            <w:vMerge/>
            <w:tcBorders>
              <w:start w:sz="41.59999999999991" w:val="single" w:color="#FFFFFF"/>
            </w:tcBorders>
          </w:tcPr>
          <w:p/>
        </w:tc>
        <w:tc>
          <w:tcPr>
            <w:tcW w:type="dxa" w:w="964"/>
            <w:tcBorders>
              <w:end w:sz="48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0" w:right="1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(3,946) </w:t>
            </w:r>
          </w:p>
        </w:tc>
        <w:tc>
          <w:tcPr>
            <w:tcW w:type="dxa" w:w="1349"/>
            <w:vMerge/>
            <w:tcBorders>
              <w:start w:sz="48.0" w:val="single" w:color="#FFFFFF"/>
            </w:tcBorders>
          </w:tcPr>
          <w:p/>
        </w:tc>
        <w:tc>
          <w:tcPr>
            <w:tcW w:type="dxa" w:w="8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0" w:right="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(2,372) </w:t>
            </w:r>
          </w:p>
        </w:tc>
      </w:tr>
      <w:tr>
        <w:trPr>
          <w:trHeight w:hRule="exact" w:val="276"/>
        </w:trPr>
        <w:tc>
          <w:tcPr>
            <w:tcW w:type="dxa" w:w="4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2" w:after="0"/>
              <w:ind w:left="1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Net (loss) income</w:t>
            </w:r>
          </w:p>
        </w:tc>
        <w:tc>
          <w:tcPr>
            <w:tcW w:type="dxa" w:w="1349"/>
            <w:vMerge/>
            <w:tcBorders/>
          </w:tcPr>
          <w:p/>
        </w:tc>
        <w:tc>
          <w:tcPr>
            <w:tcW w:type="dxa" w:w="888"/>
            <w:tcBorders>
              <w:end w:sz="41.59999999999991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(3,573) </w:t>
            </w:r>
          </w:p>
        </w:tc>
        <w:tc>
          <w:tcPr>
            <w:tcW w:type="dxa" w:w="1349"/>
            <w:vMerge/>
            <w:tcBorders>
              <w:start w:sz="41.59999999999991" w:val="single" w:color="#FFFFFF"/>
            </w:tcBorders>
          </w:tcPr>
          <w:p/>
        </w:tc>
        <w:tc>
          <w:tcPr>
            <w:tcW w:type="dxa" w:w="964"/>
            <w:tcBorders>
              <w:end w:sz="48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6" w:after="0"/>
              <w:ind w:left="0" w:right="1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(3,262) </w:t>
            </w:r>
          </w:p>
        </w:tc>
        <w:tc>
          <w:tcPr>
            <w:tcW w:type="dxa" w:w="1349"/>
            <w:vMerge/>
            <w:tcBorders>
              <w:start w:sz="48.0" w:val="single" w:color="#FFFFFF"/>
            </w:tcBorders>
          </w:tcPr>
          <w:p/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2" w:after="0"/>
              <w:ind w:left="0" w:right="1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 </w:t>
            </w:r>
          </w:p>
        </w:tc>
      </w:tr>
    </w:tbl>
    <w:p>
      <w:pPr>
        <w:autoSpaceDN w:val="0"/>
        <w:autoSpaceDE w:val="0"/>
        <w:widowControl/>
        <w:spacing w:line="180" w:lineRule="exact" w:before="266" w:after="34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Non-GAAP Measures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0.0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240"/>
        </w:trPr>
        <w:tc>
          <w:tcPr>
            <w:tcW w:type="dxa" w:w="5218"/>
            <w:tcBorders>
              <w:end w:sz="42.40000000000009" w:val="single" w:color="#FFFFF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Adjusted Net Income (Section IV)</w:t>
            </w:r>
          </w:p>
        </w:tc>
        <w:tc>
          <w:tcPr>
            <w:tcW w:type="dxa" w:w="482"/>
            <w:tcBorders>
              <w:start w:sz="42.40000000000009" w:val="single" w:color="#FFFFF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08"/>
            <w:tcBorders>
              <w:end w:sz="41.59999999999991" w:val="single" w:color="#FFFFF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0" w:right="16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780 </w:t>
            </w:r>
          </w:p>
        </w:tc>
        <w:tc>
          <w:tcPr>
            <w:tcW w:type="dxa" w:w="552"/>
            <w:tcBorders>
              <w:start w:sz="41.59999999999991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64"/>
            <w:tcBorders>
              <w:end w:sz="48.0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1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193 </w:t>
            </w:r>
          </w:p>
        </w:tc>
        <w:tc>
          <w:tcPr>
            <w:tcW w:type="dxa" w:w="536"/>
            <w:tcBorders>
              <w:start w:sz="48.0" w:val="single" w:color="#FFFFF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5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0" w:right="10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260 </w:t>
            </w:r>
          </w:p>
        </w:tc>
      </w:tr>
    </w:tbl>
    <w:p>
      <w:pPr>
        <w:autoSpaceDN w:val="0"/>
        <w:autoSpaceDE w:val="0"/>
        <w:widowControl/>
        <w:spacing w:line="178" w:lineRule="exact" w:before="20" w:after="12"/>
        <w:ind w:left="24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Deployable Strategic Capital Ratio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360"/>
        <w:gridCol w:w="2360"/>
        <w:gridCol w:w="2360"/>
        <w:gridCol w:w="2360"/>
      </w:tblGrid>
      <w:tr>
        <w:trPr>
          <w:trHeight w:hRule="exact" w:val="234"/>
        </w:trPr>
        <w:tc>
          <w:tcPr>
            <w:tcW w:type="dxa" w:w="5328"/>
            <w:tcBorders>
              <w:end w:sz="42.40000000000009" w:val="single" w:color="#FFFFF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2" w:after="0"/>
              <w:ind w:left="6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Current Approach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d</w:t>
            </w:r>
          </w:p>
        </w:tc>
        <w:tc>
          <w:tcPr>
            <w:tcW w:type="dxa" w:w="1290"/>
            <w:tcBorders>
              <w:start w:sz="42.40000000000009" w:val="single" w:color="#FFFFFF"/>
              <w:end w:sz="41.59999999999991" w:val="single" w:color="#FFFFF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4" w:after="0"/>
              <w:ind w:left="0" w:right="1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34.8 %</w:t>
            </w:r>
          </w:p>
        </w:tc>
        <w:tc>
          <w:tcPr>
            <w:tcW w:type="dxa" w:w="1416"/>
            <w:tcBorders>
              <w:start w:sz="41.59999999999991" w:val="single" w:color="#FFFFFF"/>
              <w:end w:sz="48.0" w:val="single" w:color="#FFFFF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4" w:after="0"/>
              <w:ind w:left="0" w:right="20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N/A</w:t>
            </w:r>
          </w:p>
        </w:tc>
        <w:tc>
          <w:tcPr>
            <w:tcW w:type="dxa" w:w="1346"/>
            <w:tcBorders>
              <w:start w:sz="48.0" w:val="single" w:color="#FFFFF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4" w:after="0"/>
              <w:ind w:left="0" w:right="2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N/A</w:t>
            </w:r>
          </w:p>
        </w:tc>
      </w:tr>
      <w:tr>
        <w:trPr>
          <w:trHeight w:hRule="exact" w:val="244"/>
        </w:trPr>
        <w:tc>
          <w:tcPr>
            <w:tcW w:type="dxa" w:w="5328"/>
            <w:tcBorders>
              <w:end w:sz="42.40000000000009" w:val="single" w:color="#FFFFF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6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Previous Approach</w:t>
            </w:r>
          </w:p>
        </w:tc>
        <w:tc>
          <w:tcPr>
            <w:tcW w:type="dxa" w:w="1290"/>
            <w:tcBorders>
              <w:start w:sz="42.40000000000009" w:val="single" w:color="#FFFFFF"/>
              <w:end w:sz="41.59999999999991" w:val="single" w:color="#FFFFF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0" w:right="1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21.1 %</w:t>
            </w:r>
          </w:p>
        </w:tc>
        <w:tc>
          <w:tcPr>
            <w:tcW w:type="dxa" w:w="1416"/>
            <w:tcBorders>
              <w:start w:sz="41.59999999999991" w:val="single" w:color="#FFFFFF"/>
              <w:end w:sz="48.0" w:val="single" w:color="#FFFFF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0" w:right="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24.1 %</w:t>
            </w:r>
          </w:p>
        </w:tc>
        <w:tc>
          <w:tcPr>
            <w:tcW w:type="dxa" w:w="1346"/>
            <w:tcBorders>
              <w:start w:sz="48.0" w:val="single" w:color="#FFFFF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0" w:right="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26.4 %</w:t>
            </w:r>
          </w:p>
        </w:tc>
      </w:tr>
      <w:tr>
        <w:trPr>
          <w:trHeight w:hRule="exact" w:val="242"/>
        </w:trPr>
        <w:tc>
          <w:tcPr>
            <w:tcW w:type="dxa" w:w="9380"/>
            <w:gridSpan w:val="4"/>
            <w:tcBorders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92" w:lineRule="exact" w:before="38" w:after="0"/>
        <w:ind w:left="242" w:right="144" w:hanging="18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a. Commitments that have been approved by the Executive Directors (referred to as “the Board” in this document) and are net of </w:t>
      </w:r>
      <w:r>
        <w:rPr>
          <w:rFonts w:ascii="Arial" w:hAnsi="Arial" w:eastAsia="Arial"/>
          <w:b w:val="0"/>
          <w:i/>
          <w:color w:val="000000"/>
          <w:sz w:val="16"/>
        </w:rPr>
        <w:t xml:space="preserve">full cancellations and terminations relating to commitments approved in the same fiscal year. Commitments and disbursements </w:t>
      </w:r>
      <w:r>
        <w:rPr>
          <w:rFonts w:ascii="Arial" w:hAnsi="Arial" w:eastAsia="Arial"/>
          <w:b w:val="0"/>
          <w:i/>
          <w:color w:val="000000"/>
          <w:sz w:val="16"/>
        </w:rPr>
        <w:t>exclude IDA- IFC-MIGA Private Sector Window (PSW) activities.</w:t>
      </w:r>
    </w:p>
    <w:p>
      <w:pPr>
        <w:autoSpaceDN w:val="0"/>
        <w:autoSpaceDE w:val="0"/>
        <w:widowControl/>
        <w:spacing w:line="178" w:lineRule="exact" w:before="6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b. For the composition of the net investment portfolio, see Notes to the Financial Statements, Note C – Investments – Table C2.</w:t>
      </w:r>
    </w:p>
    <w:p>
      <w:pPr>
        <w:autoSpaceDN w:val="0"/>
        <w:tabs>
          <w:tab w:pos="242" w:val="left"/>
        </w:tabs>
        <w:autoSpaceDE w:val="0"/>
        <w:widowControl/>
        <w:spacing w:line="192" w:lineRule="exact" w:before="5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c.</w:t>
      </w:r>
      <w:r>
        <w:rPr>
          <w:rFonts w:ascii="Arial" w:hAnsi="Arial" w:eastAsia="Arial"/>
          <w:b w:val="0"/>
          <w:i/>
          <w:color w:val="000000"/>
          <w:sz w:val="16"/>
        </w:rPr>
        <w:t xml:space="preserve">Includes associated derivatives. For the composition of the Borrowing portfolio, see Notes to the Financial Statements, Note E – </w:t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>Borrowings.</w:t>
      </w:r>
    </w:p>
    <w:p>
      <w:pPr>
        <w:autoSpaceDN w:val="0"/>
        <w:autoSpaceDE w:val="0"/>
        <w:widowControl/>
        <w:spacing w:line="180" w:lineRule="exact" w:before="60" w:after="247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d. As of June 30, 2024, ratio was calculated using an enhanced Board-approved methodology. See Section IX: Risk Management.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30.0" w:type="dxa"/>
      </w:tblPr>
      <w:tblGrid>
        <w:gridCol w:w="4720"/>
        <w:gridCol w:w="4720"/>
      </w:tblGrid>
      <w:tr>
        <w:trPr>
          <w:trHeight w:hRule="exact" w:val="264"/>
        </w:trPr>
        <w:tc>
          <w:tcPr>
            <w:tcW w:type="dxa" w:w="7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60" w:after="0"/>
              <w:ind w:left="166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IDA Management's Discussion and Analysis:  June 30, 2024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60" w:after="0"/>
              <w:ind w:left="0" w:right="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0" w:right="1370" w:bottom="424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20"/>
        <w:gridCol w:w="4720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I: Executive Summary</w:t>
            </w:r>
          </w:p>
        </w:tc>
      </w:tr>
    </w:tbl>
    <w:p>
      <w:pPr>
        <w:autoSpaceDN w:val="0"/>
        <w:autoSpaceDE w:val="0"/>
        <w:widowControl/>
        <w:spacing w:line="240" w:lineRule="exact" w:before="378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IDA, an international organization owned by its 174 member countries, is one of the five institutions of the World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Bank Group (WBG</w:t>
      </w:r>
      <w:r>
        <w:rPr>
          <w:rFonts w:ascii="TimesNewRoman" w:hAnsi="TimesNewRoman" w:eastAsia="TimesNewRoman"/>
          <w:b w:val="0"/>
          <w:i w:val="0"/>
          <w:color w:val="000000"/>
          <w:sz w:val="13"/>
        </w:rPr>
        <w:t>1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). Each WBG organization is legally and financially independent from IDA, with separate assets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and liabilities. IDA is not liable for the obligations of the other institutions. </w:t>
      </w:r>
    </w:p>
    <w:p>
      <w:pPr>
        <w:autoSpaceDN w:val="0"/>
        <w:autoSpaceDE w:val="0"/>
        <w:widowControl/>
        <w:spacing w:line="224" w:lineRule="exact" w:before="136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IDA's mission is to end extreme poverty and boost shared prosperity on a livable planet. With its many years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experience and its depth of knowledge in international development, IDA plays a key role in achieving the WBG’s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goal of helping client countries achieve better development outcomes with a vision to create a world free of poverty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on a livable planet. IDA provides loans, grants, guarantees, and other financial products to the poorest and most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vulnerable countries to help meet their development needs, and technical assistance and policy advice by leveraging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its experience and expertise. It also supports countries with disaster risk financing and insurance against natural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disasters and health-related crises and facilitates financing through trust fund partnerships. </w:t>
      </w:r>
    </w:p>
    <w:p>
      <w:pPr>
        <w:autoSpaceDN w:val="0"/>
        <w:autoSpaceDE w:val="0"/>
        <w:widowControl/>
        <w:spacing w:line="240" w:lineRule="exact" w:before="208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and its affiliated institutions seek to help countries in reducing poverty and inequality, achieve improvements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economic growth, job creation, governance, the environment, climate adaptation, mitigation and resilience, human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capital, infrastructure and debt transparency, among others. To meet its development goals, the WBG supports client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countries' efforts to implement programs to improve growth and development outcomes. Further, new and ongoing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challenges continue to influence the global outlook. The Board endorsed the following global challenges: climate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change adaptation and mitigation; fragility and conflict; pandemic prevention and preparedness; energy access; food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and nutrition security; water security and access; enabling digitalization; and protecting biodiversity and nature. IDA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continues to work with partners at global and country levels to support its borrowing countries in addressing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impact of these multiple challenges, to enhance resilience and lay the groundwork for rebuilding better. To further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support these efforts, the Board and Management have been working on evolving the WBG to better address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scale of development challenges. As part of this evolution, in October 2023, the Board of Governors endorsed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new vision and mission, as well as initiatives to increase impact, modernize the approach to delivery, and increase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financing capacity. Since then, IDA has started the implementation of the evolution process to address countries’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most pressing development challenges.</w:t>
      </w:r>
    </w:p>
    <w:p>
      <w:pPr>
        <w:autoSpaceDN w:val="0"/>
        <w:autoSpaceDE w:val="0"/>
        <w:widowControl/>
        <w:spacing w:line="168" w:lineRule="exact" w:before="6486" w:after="0"/>
        <w:ind w:left="190" w:right="26" w:hanging="180"/>
        <w:jc w:val="both"/>
      </w:pPr>
      <w:r>
        <w:rPr>
          <w:w w:val="101.11111534966363"/>
          <w:rFonts w:ascii="ArialMT" w:hAnsi="ArialMT" w:eastAsia="ArialMT"/>
          <w:b w:val="0"/>
          <w:i w:val="0"/>
          <w:color w:val="000000"/>
          <w:sz w:val="9"/>
        </w:rPr>
        <w:t>1</w:t>
      </w:r>
      <w:r>
        <w:rPr>
          <w:rFonts w:ascii="Arial" w:hAnsi="Arial" w:eastAsia="Arial"/>
          <w:b w:val="0"/>
          <w:i/>
          <w:color w:val="000000"/>
          <w:sz w:val="14"/>
        </w:rPr>
        <w:t xml:space="preserve"> The other WBG institutions are the International Bank for Reconstruction and Development (IBRD), the International Finance Corporation (IFC), the </w:t>
      </w:r>
      <w:r>
        <w:rPr>
          <w:rFonts w:ascii="Arial" w:hAnsi="Arial" w:eastAsia="Arial"/>
          <w:b w:val="0"/>
          <w:i/>
          <w:color w:val="000000"/>
          <w:sz w:val="14"/>
        </w:rPr>
        <w:t xml:space="preserve">Multilateral Investment Guarantee Agency (MIGA), and the International Centre for Settlement of Investment Disputes (ICSID). The World Bank </w:t>
      </w:r>
      <w:r>
        <w:rPr>
          <w:rFonts w:ascii="Arial" w:hAnsi="Arial" w:eastAsia="Arial"/>
          <w:b w:val="0"/>
          <w:i/>
          <w:color w:val="000000"/>
          <w:sz w:val="14"/>
        </w:rPr>
        <w:t>consists of IBRD and IDA.</w:t>
      </w:r>
    </w:p>
    <w:p>
      <w:pPr>
        <w:autoSpaceDN w:val="0"/>
        <w:tabs>
          <w:tab w:pos="662" w:val="left"/>
        </w:tabs>
        <w:autoSpaceDE w:val="0"/>
        <w:widowControl/>
        <w:spacing w:line="224" w:lineRule="exact" w:before="402" w:after="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Management's Discussion and Analysis:  June 30, 2024</w:t>
      </w:r>
    </w:p>
    <w:p>
      <w:pPr>
        <w:sectPr>
          <w:pgSz w:w="12240" w:h="15840"/>
          <w:pgMar w:top="360" w:right="1370" w:bottom="424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7"/>
        <w:gridCol w:w="4717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I: Executive Summary</w:t>
            </w:r>
          </w:p>
        </w:tc>
      </w:tr>
    </w:tbl>
    <w:p>
      <w:pPr>
        <w:autoSpaceDN w:val="0"/>
        <w:autoSpaceDE w:val="0"/>
        <w:widowControl/>
        <w:spacing w:line="268" w:lineRule="exact" w:before="394" w:after="0"/>
        <w:ind w:left="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Summary of Financial Results</w:t>
      </w:r>
    </w:p>
    <w:p>
      <w:pPr>
        <w:autoSpaceDN w:val="0"/>
        <w:autoSpaceDE w:val="0"/>
        <w:widowControl/>
        <w:spacing w:line="244" w:lineRule="exact" w:before="134" w:after="2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Net Income and Adjusted Net Income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15.999999999999943" w:type="dxa"/>
      </w:tblPr>
      <w:tblGrid>
        <w:gridCol w:w="1348"/>
        <w:gridCol w:w="1348"/>
        <w:gridCol w:w="1348"/>
        <w:gridCol w:w="1348"/>
        <w:gridCol w:w="1348"/>
        <w:gridCol w:w="1348"/>
        <w:gridCol w:w="1348"/>
      </w:tblGrid>
      <w:tr>
        <w:trPr>
          <w:trHeight w:hRule="exact" w:val="854"/>
        </w:trPr>
        <w:tc>
          <w:tcPr>
            <w:tcW w:type="dxa" w:w="4820"/>
            <w:tcBorders>
              <w:bottom w:sz="12.0" w:val="single" w:color="#95959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10" w:after="0"/>
              <w:ind w:left="20" w:right="430" w:firstLine="0"/>
              <w:jc w:val="both"/>
            </w:pPr>
            <w:r>
              <w:rPr>
                <w:rFonts w:ascii="TimesNewRoman" w:hAnsi="TimesNewRoman" w:eastAsia="TimesNewRoman"/>
                <w:b/>
                <w:i w:val="0"/>
                <w:color w:val="000000"/>
                <w:sz w:val="20"/>
              </w:rPr>
              <w:t>Net Income: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 IDA reported a net loss of $3,573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million in FY24, compared to net loss of $3,262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million in FY23. The higher net loss was primarily </w:t>
            </w:r>
          </w:p>
        </w:tc>
        <w:tc>
          <w:tcPr>
            <w:tcW w:type="dxa" w:w="4560"/>
            <w:gridSpan w:val="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" w:after="0"/>
              <w:ind w:left="51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In millions of U.S. dollars</w:t>
            </w:r>
          </w:p>
          <w:p>
            <w:pPr>
              <w:autoSpaceDN w:val="0"/>
              <w:autoSpaceDE w:val="0"/>
              <w:widowControl/>
              <w:spacing w:line="178" w:lineRule="exact" w:before="374" w:after="0"/>
              <w:ind w:left="0" w:right="826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Adjusted Net Income (Loss)</w:t>
            </w:r>
          </w:p>
          <w:p>
            <w:pPr>
              <w:autoSpaceDN w:val="0"/>
              <w:autoSpaceDE w:val="0"/>
              <w:widowControl/>
              <w:spacing w:line="178" w:lineRule="exact" w:before="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Net Income (Loss)</w:t>
            </w:r>
          </w:p>
          <w:p>
            <w:pPr>
              <w:autoSpaceDN w:val="0"/>
              <w:autoSpaceDE w:val="0"/>
              <w:widowControl/>
              <w:spacing w:line="180" w:lineRule="exact" w:before="46" w:after="0"/>
              <w:ind w:left="54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4,000</w:t>
            </w:r>
          </w:p>
          <w:p>
            <w:pPr>
              <w:autoSpaceDN w:val="0"/>
              <w:autoSpaceDE w:val="0"/>
              <w:widowControl/>
              <w:spacing w:line="180" w:lineRule="exact" w:before="270" w:after="0"/>
              <w:ind w:left="54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2,000</w:t>
            </w:r>
          </w:p>
        </w:tc>
      </w:tr>
      <w:tr>
        <w:trPr>
          <w:trHeight w:hRule="exact" w:val="654"/>
        </w:trPr>
        <w:tc>
          <w:tcPr>
            <w:tcW w:type="dxa" w:w="4820"/>
            <w:tcBorders>
              <w:top w:sz="12.0" w:val="single" w:color="#959595"/>
              <w:bottom w:sz="6.0" w:val="single" w:color="#E5E6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0" w:after="0"/>
              <w:ind w:left="20" w:right="288" w:firstLine="0"/>
              <w:jc w:val="left"/>
            </w:pP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driven by an increase in development grant expenses.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>See Section IV: Financial Results.</w:t>
            </w:r>
          </w:p>
        </w:tc>
        <w:tc>
          <w:tcPr>
            <w:tcW w:type="dxa" w:w="8088"/>
            <w:gridSpan w:val="6"/>
            <w:vMerge/>
            <w:tcBorders/>
          </w:tcPr>
          <w:p/>
        </w:tc>
      </w:tr>
      <w:tr>
        <w:trPr>
          <w:trHeight w:hRule="exact" w:val="148"/>
        </w:trPr>
        <w:tc>
          <w:tcPr>
            <w:tcW w:type="dxa" w:w="4820"/>
            <w:vMerge w:val="restart"/>
            <w:tcBorders>
              <w:top w:sz="6.0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8" w:after="0"/>
              <w:ind w:left="20" w:right="430" w:firstLine="0"/>
              <w:jc w:val="both"/>
            </w:pPr>
            <w:r>
              <w:rPr>
                <w:rFonts w:ascii="TimesNewRoman" w:hAnsi="TimesNewRoman" w:eastAsia="TimesNewRoman"/>
                <w:b/>
                <w:i w:val="0"/>
                <w:color w:val="000000"/>
                <w:sz w:val="20"/>
              </w:rPr>
              <w:t>Adjusted Net Income: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 IDA’s adjusted net income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was $780 million in FY24, compared to $193 million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in FY23. The increase was primarily due to higher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revenue from investments, lower provision expense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for losses on loans and other exposures, and higher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net interest revenue on loans, partially offset by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higher borrowing expenses. See Section IV: Financial </w:t>
            </w:r>
          </w:p>
        </w:tc>
        <w:tc>
          <w:tcPr>
            <w:tcW w:type="dxa" w:w="8088"/>
            <w:gridSpan w:val="6"/>
            <w:vMerge/>
            <w:tcBorders/>
          </w:tcPr>
          <w:p/>
        </w:tc>
      </w:tr>
      <w:tr>
        <w:trPr>
          <w:trHeight w:hRule="exact" w:val="1100"/>
        </w:trPr>
        <w:tc>
          <w:tcPr>
            <w:tcW w:type="dxa" w:w="1348"/>
            <w:vMerge/>
            <w:tcBorders>
              <w:top w:sz="6.0" w:val="single" w:color="#E5E6E5"/>
            </w:tcBorders>
          </w:tcPr>
          <w:p/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440" w:right="0" w:firstLine="416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(2,000)</w:t>
            </w:r>
          </w:p>
        </w:tc>
        <w:tc>
          <w:tcPr>
            <w:tcW w:type="dxa" w:w="350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0" w:after="0"/>
              <w:ind w:left="12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120900" cy="6477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0900" cy="647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200"/>
        </w:trPr>
        <w:tc>
          <w:tcPr>
            <w:tcW w:type="dxa" w:w="1348"/>
            <w:vMerge/>
            <w:tcBorders>
              <w:top w:sz="6.0" w:val="single" w:color="#E5E6E5"/>
            </w:tcBorders>
          </w:tcPr>
          <w:p/>
        </w:tc>
        <w:tc>
          <w:tcPr>
            <w:tcW w:type="dxa" w:w="45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44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(4,000)</w:t>
            </w:r>
          </w:p>
        </w:tc>
      </w:tr>
      <w:tr>
        <w:trPr>
          <w:trHeight w:hRule="exact" w:val="268"/>
        </w:trPr>
        <w:tc>
          <w:tcPr>
            <w:tcW w:type="dxa" w:w="1348"/>
            <w:vMerge/>
            <w:tcBorders>
              <w:top w:sz="6.0" w:val="single" w:color="#E5E6E5"/>
            </w:tcBorders>
          </w:tcPr>
          <w:p/>
        </w:tc>
        <w:tc>
          <w:tcPr>
            <w:tcW w:type="dxa" w:w="18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12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FY20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FY21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FY22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FY23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FY24</w:t>
            </w:r>
          </w:p>
        </w:tc>
      </w:tr>
    </w:tbl>
    <w:p>
      <w:pPr>
        <w:autoSpaceDN w:val="0"/>
        <w:autoSpaceDE w:val="0"/>
        <w:widowControl/>
        <w:spacing w:line="222" w:lineRule="exact" w:before="8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Results.</w:t>
      </w:r>
    </w:p>
    <w:p>
      <w:pPr>
        <w:autoSpaceDN w:val="0"/>
        <w:autoSpaceDE w:val="0"/>
        <w:widowControl/>
        <w:spacing w:line="244" w:lineRule="exact" w:before="130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Loans and grants</w:t>
      </w:r>
    </w:p>
    <w:p>
      <w:pPr>
        <w:autoSpaceDN w:val="0"/>
        <w:autoSpaceDE w:val="0"/>
        <w:widowControl/>
        <w:spacing w:line="240" w:lineRule="exact" w:before="13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IDA’s net commitments in FY24 were $31.2 billion, $3.1 billion lower than FY23, primarily due to lower loan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commitments, partially offset by higher grant commitments. Out of the total net commitments, $23.1 billion were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loan commitments and $8.1 billion were grant commitments. Further, prior year FY23 net loan commitments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included $1.2 billion approved under the IDA19 envelope due to the extension of the closing date for the approval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IDA19 operations.</w:t>
      </w:r>
    </w:p>
    <w:p>
      <w:pPr>
        <w:autoSpaceDN w:val="0"/>
        <w:autoSpaceDE w:val="0"/>
        <w:widowControl/>
        <w:spacing w:line="224" w:lineRule="exact" w:before="240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IDA’s net loans outstanding increased by $10.8 billion to $198.5 billion as of  June 30, 2024, from $187.7 billion as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of June 30, 2023.  See Section IV: Financial Results.</w:t>
      </w:r>
    </w:p>
    <w:p>
      <w:pPr>
        <w:autoSpaceDN w:val="0"/>
        <w:autoSpaceDE w:val="0"/>
        <w:widowControl/>
        <w:spacing w:line="240" w:lineRule="exact" w:before="208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Development grant expenses were $5.3 billion in FY24 compared to $3.9 billion in FY23 due to higher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disbursements of conditional grants during the year as the conditions for expense recognition were met.</w:t>
      </w:r>
    </w:p>
    <w:p>
      <w:pPr>
        <w:autoSpaceDN w:val="0"/>
        <w:autoSpaceDE w:val="0"/>
        <w:widowControl/>
        <w:spacing w:line="178" w:lineRule="exact" w:before="222" w:after="164"/>
        <w:ind w:left="4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billions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4.00000000000006" w:type="dxa"/>
      </w:tblPr>
      <w:tblGrid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  <w:gridCol w:w="449"/>
      </w:tblGrid>
      <w:tr>
        <w:trPr>
          <w:trHeight w:hRule="exact" w:val="260"/>
        </w:trPr>
        <w:tc>
          <w:tcPr>
            <w:tcW w:type="dxa" w:w="400"/>
            <w:tcBorders>
              <w:bottom w:sz="6.00001335144043" w:val="single" w:color="#E5E6E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80"/>
            <w:gridSpan w:val="5"/>
            <w:tcBorders>
              <w:bottom w:sz="6.00001335144043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2" w:after="0"/>
              <w:ind w:left="35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Net Commitments ᵃ</w:t>
            </w:r>
          </w:p>
        </w:tc>
        <w:tc>
          <w:tcPr>
            <w:tcW w:type="dxa" w:w="54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2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4"/>
              </w:rPr>
              <w:t>250</w:t>
            </w:r>
          </w:p>
        </w:tc>
        <w:tc>
          <w:tcPr>
            <w:tcW w:type="dxa" w:w="1936"/>
            <w:gridSpan w:val="5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Net Loans Outstanding</w:t>
            </w:r>
          </w:p>
        </w:tc>
        <w:tc>
          <w:tcPr>
            <w:tcW w:type="dxa" w:w="3538"/>
            <w:gridSpan w:val="8"/>
            <w:tcBorders>
              <w:bottom w:sz="6.00001335144043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2" w:after="0"/>
              <w:ind w:left="0" w:right="34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Net Grant Commitments</w:t>
            </w:r>
          </w:p>
        </w:tc>
        <w:tc>
          <w:tcPr>
            <w:tcW w:type="dxa" w:w="302"/>
            <w:tcBorders>
              <w:bottom w:sz="6.00001335144043" w:val="single" w:color="#E5E6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74"/>
        </w:trPr>
        <w:tc>
          <w:tcPr>
            <w:tcW w:type="dxa" w:w="400"/>
            <w:vMerge w:val="restart"/>
            <w:tcBorders>
              <w:top w:sz="6.00001335144043" w:val="single" w:color="#E5E6E5"/>
              <w:bottom w:sz="6.00001335144043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580"/>
            <w:gridSpan w:val="5"/>
            <w:tcBorders>
              <w:top w:sz="6.00001335144043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35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Gross Disbursements</w:t>
            </w:r>
          </w:p>
        </w:tc>
        <w:tc>
          <w:tcPr>
            <w:tcW w:type="dxa" w:w="449"/>
            <w:vMerge/>
            <w:tcBorders/>
          </w:tcPr>
          <w:p/>
        </w:tc>
        <w:tc>
          <w:tcPr>
            <w:tcW w:type="dxa" w:w="2245"/>
            <w:gridSpan w:val="5"/>
            <w:vMerge/>
            <w:tcBorders/>
          </w:tcPr>
          <w:p/>
        </w:tc>
        <w:tc>
          <w:tcPr>
            <w:tcW w:type="dxa" w:w="3538"/>
            <w:gridSpan w:val="8"/>
            <w:tcBorders>
              <w:top w:sz="6.00001335144043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105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Grant Expense</w:t>
            </w:r>
          </w:p>
        </w:tc>
        <w:tc>
          <w:tcPr>
            <w:tcW w:type="dxa" w:w="302"/>
            <w:vMerge w:val="restart"/>
            <w:tcBorders>
              <w:top w:sz="6.00001335144043" w:val="single" w:color="#E5E6E5"/>
              <w:bottom w:sz="6.00001335144043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04"/>
        </w:trPr>
        <w:tc>
          <w:tcPr>
            <w:tcW w:type="dxa" w:w="449"/>
            <w:vMerge/>
            <w:tcBorders>
              <w:top w:sz="6.00001335144043" w:val="single" w:color="#E5E6E5"/>
              <w:bottom w:sz="6.00001335144043" w:val="single" w:color="#E5E6E5"/>
            </w:tcBorders>
          </w:tcPr>
          <w:p/>
        </w:tc>
        <w:tc>
          <w:tcPr>
            <w:tcW w:type="dxa" w:w="258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35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Net Disbursements</w:t>
            </w:r>
          </w:p>
        </w:tc>
        <w:tc>
          <w:tcPr>
            <w:tcW w:type="dxa" w:w="652"/>
            <w:gridSpan w:val="2"/>
            <w:vMerge w:val="restart"/>
            <w:tcBorders>
              <w:bottom w:sz="6.00001335144043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3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4"/>
              </w:rPr>
              <w:t>200</w:t>
            </w:r>
          </w:p>
        </w:tc>
        <w:tc>
          <w:tcPr>
            <w:tcW w:type="dxa" w:w="2266"/>
            <w:gridSpan w:val="5"/>
            <w:vMerge w:val="restart"/>
            <w:tcBorders>
              <w:bottom w:sz="6.00001335144043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84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35100" cy="1905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5100" cy="190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244" w:after="0"/>
              <w:ind w:left="0" w:right="2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4"/>
              </w:rPr>
              <w:t>40</w:t>
            </w:r>
          </w:p>
        </w:tc>
        <w:tc>
          <w:tcPr>
            <w:tcW w:type="dxa" w:w="2340"/>
            <w:gridSpan w:val="5"/>
            <w:vMerge w:val="restart"/>
            <w:tcBorders>
              <w:bottom w:sz="6.00001335144043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15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Net Grant Disbursements</w:t>
            </w:r>
          </w:p>
        </w:tc>
        <w:tc>
          <w:tcPr>
            <w:tcW w:type="dxa" w:w="449"/>
            <w:vMerge/>
            <w:tcBorders>
              <w:top w:sz="6.00001335144043" w:val="single" w:color="#E5E6E5"/>
              <w:bottom w:sz="6.00001335144043" w:val="single" w:color="#E5E6E5"/>
            </w:tcBorders>
          </w:tcPr>
          <w:p/>
        </w:tc>
      </w:tr>
      <w:tr>
        <w:trPr>
          <w:trHeight w:hRule="exact" w:val="88"/>
        </w:trPr>
        <w:tc>
          <w:tcPr>
            <w:tcW w:type="dxa" w:w="449"/>
            <w:vMerge/>
            <w:tcBorders>
              <w:top w:sz="6.00001335144043" w:val="single" w:color="#E5E6E5"/>
              <w:bottom w:sz="6.00001335144043" w:val="single" w:color="#E5E6E5"/>
            </w:tcBorders>
          </w:tcPr>
          <w:p/>
        </w:tc>
        <w:tc>
          <w:tcPr>
            <w:tcW w:type="dxa" w:w="2580"/>
            <w:gridSpan w:val="5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6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485900" cy="4445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5900" cy="44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98"/>
            <w:gridSpan w:val="2"/>
            <w:vMerge/>
            <w:tcBorders>
              <w:bottom w:sz="6.00001335144043" w:val="single" w:color="#E5E6E5"/>
            </w:tcBorders>
          </w:tcPr>
          <w:p/>
        </w:tc>
        <w:tc>
          <w:tcPr>
            <w:tcW w:type="dxa" w:w="2245"/>
            <w:gridSpan w:val="5"/>
            <w:vMerge/>
            <w:tcBorders>
              <w:bottom w:sz="6.00001335144043" w:val="single" w:color="#E5E6E5"/>
            </w:tcBorders>
          </w:tcPr>
          <w:p/>
        </w:tc>
        <w:tc>
          <w:tcPr>
            <w:tcW w:type="dxa" w:w="898"/>
            <w:gridSpan w:val="2"/>
            <w:vMerge/>
            <w:tcBorders/>
          </w:tcPr>
          <w:p/>
        </w:tc>
        <w:tc>
          <w:tcPr>
            <w:tcW w:type="dxa" w:w="2245"/>
            <w:gridSpan w:val="5"/>
            <w:vMerge/>
            <w:tcBorders>
              <w:bottom w:sz="6.00001335144043" w:val="single" w:color="#E5E6E5"/>
            </w:tcBorders>
          </w:tcPr>
          <w:p/>
        </w:tc>
        <w:tc>
          <w:tcPr>
            <w:tcW w:type="dxa" w:w="449"/>
            <w:vMerge/>
            <w:tcBorders>
              <w:top w:sz="6.00001335144043" w:val="single" w:color="#E5E6E5"/>
              <w:bottom w:sz="6.00001335144043" w:val="single" w:color="#E5E6E5"/>
            </w:tcBorders>
          </w:tcPr>
          <w:p/>
        </w:tc>
      </w:tr>
      <w:tr>
        <w:trPr>
          <w:trHeight w:hRule="exact" w:val="112"/>
        </w:trPr>
        <w:tc>
          <w:tcPr>
            <w:tcW w:type="dxa" w:w="400"/>
            <w:tcBorders>
              <w:top w:sz="6.00001335144043" w:val="single" w:color="#E5E6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0" w:after="0"/>
              <w:ind w:left="7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4"/>
              </w:rPr>
              <w:t>40</w:t>
            </w:r>
          </w:p>
        </w:tc>
        <w:tc>
          <w:tcPr>
            <w:tcW w:type="dxa" w:w="2245"/>
            <w:gridSpan w:val="5"/>
            <w:vMerge/>
            <w:tcBorders/>
          </w:tcPr>
          <w:p/>
        </w:tc>
        <w:tc>
          <w:tcPr>
            <w:tcW w:type="dxa" w:w="652"/>
            <w:gridSpan w:val="2"/>
            <w:vMerge w:val="restart"/>
            <w:tcBorders>
              <w:top w:sz="6.00001335144043" w:val="single" w:color="#E5E6E5"/>
              <w:bottom w:sz="6.00001335144043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4"/>
              </w:rPr>
              <w:t>150</w:t>
            </w:r>
          </w:p>
        </w:tc>
        <w:tc>
          <w:tcPr>
            <w:tcW w:type="dxa" w:w="2245"/>
            <w:gridSpan w:val="5"/>
            <w:vMerge/>
            <w:tcBorders>
              <w:bottom w:sz="6.00001335144043" w:val="single" w:color="#E5E6E5"/>
            </w:tcBorders>
          </w:tcPr>
          <w:p/>
        </w:tc>
        <w:tc>
          <w:tcPr>
            <w:tcW w:type="dxa" w:w="898"/>
            <w:gridSpan w:val="2"/>
            <w:vMerge/>
            <w:tcBorders/>
          </w:tcPr>
          <w:p/>
        </w:tc>
        <w:tc>
          <w:tcPr>
            <w:tcW w:type="dxa" w:w="2245"/>
            <w:gridSpan w:val="5"/>
            <w:vMerge/>
            <w:tcBorders>
              <w:bottom w:sz="6.00001335144043" w:val="single" w:color="#E5E6E5"/>
            </w:tcBorders>
          </w:tcPr>
          <w:p/>
        </w:tc>
        <w:tc>
          <w:tcPr>
            <w:tcW w:type="dxa" w:w="302"/>
            <w:vMerge w:val="restart"/>
            <w:tcBorders>
              <w:top w:sz="6.00001335144043" w:val="single" w:color="#E5E6E5"/>
              <w:bottom w:sz="6.00001335144043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12"/>
        </w:trPr>
        <w:tc>
          <w:tcPr>
            <w:tcW w:type="dxa" w:w="400"/>
            <w:tcBorders>
              <w:bottom w:sz="6.00001335144043" w:val="single" w:color="#E5E6E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45"/>
            <w:gridSpan w:val="5"/>
            <w:vMerge/>
            <w:tcBorders/>
          </w:tcPr>
          <w:p/>
        </w:tc>
        <w:tc>
          <w:tcPr>
            <w:tcW w:type="dxa" w:w="898"/>
            <w:gridSpan w:val="2"/>
            <w:vMerge/>
            <w:tcBorders>
              <w:top w:sz="6.00001335144043" w:val="single" w:color="#E5E6E5"/>
              <w:bottom w:sz="6.00001335144043" w:val="single" w:color="#E5E6E5"/>
            </w:tcBorders>
          </w:tcPr>
          <w:p/>
        </w:tc>
        <w:tc>
          <w:tcPr>
            <w:tcW w:type="dxa" w:w="2245"/>
            <w:gridSpan w:val="5"/>
            <w:vMerge/>
            <w:tcBorders>
              <w:bottom w:sz="6.00001335144043" w:val="single" w:color="#E5E6E5"/>
            </w:tcBorders>
          </w:tcPr>
          <w:p/>
        </w:tc>
        <w:tc>
          <w:tcPr>
            <w:tcW w:type="dxa" w:w="760"/>
            <w:gridSpan w:val="2"/>
            <w:vMerge w:val="restart"/>
            <w:tcBorders>
              <w:bottom w:sz="6.00001335144043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36" w:after="0"/>
              <w:ind w:left="0" w:right="2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4"/>
              </w:rPr>
              <w:t>32</w:t>
            </w:r>
          </w:p>
        </w:tc>
        <w:tc>
          <w:tcPr>
            <w:tcW w:type="dxa" w:w="2245"/>
            <w:gridSpan w:val="5"/>
            <w:vMerge/>
            <w:tcBorders>
              <w:bottom w:sz="6.00001335144043" w:val="single" w:color="#E5E6E5"/>
            </w:tcBorders>
          </w:tcPr>
          <w:p/>
        </w:tc>
        <w:tc>
          <w:tcPr>
            <w:tcW w:type="dxa" w:w="449"/>
            <w:vMerge/>
            <w:tcBorders>
              <w:top w:sz="6.00001335144043" w:val="single" w:color="#E5E6E5"/>
              <w:bottom w:sz="6.00001335144043" w:val="single" w:color="#E5E6E5"/>
            </w:tcBorders>
          </w:tcPr>
          <w:p/>
        </w:tc>
      </w:tr>
      <w:tr>
        <w:trPr>
          <w:trHeight w:hRule="exact" w:val="120"/>
        </w:trPr>
        <w:tc>
          <w:tcPr>
            <w:tcW w:type="dxa" w:w="400"/>
            <w:tcBorders>
              <w:top w:sz="6.00001335144043" w:val="single" w:color="#E5E6E5"/>
              <w:bottom w:sz="6.00001335144043" w:val="single" w:color="#E5E6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0" w:after="0"/>
              <w:ind w:left="7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4"/>
              </w:rPr>
              <w:t>32</w:t>
            </w:r>
          </w:p>
        </w:tc>
        <w:tc>
          <w:tcPr>
            <w:tcW w:type="dxa" w:w="2245"/>
            <w:gridSpan w:val="5"/>
            <w:vMerge/>
            <w:tcBorders/>
          </w:tcPr>
          <w:p/>
        </w:tc>
        <w:tc>
          <w:tcPr>
            <w:tcW w:type="dxa" w:w="652"/>
            <w:gridSpan w:val="2"/>
            <w:vMerge w:val="restart"/>
            <w:tcBorders>
              <w:top w:sz="6.00001335144043" w:val="single" w:color="#E5E6E5"/>
              <w:bottom w:sz="6.00001335144043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2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4"/>
              </w:rPr>
              <w:t>100</w:t>
            </w:r>
          </w:p>
        </w:tc>
        <w:tc>
          <w:tcPr>
            <w:tcW w:type="dxa" w:w="2245"/>
            <w:gridSpan w:val="5"/>
            <w:vMerge/>
            <w:tcBorders>
              <w:bottom w:sz="6.00001335144043" w:val="single" w:color="#E5E6E5"/>
            </w:tcBorders>
          </w:tcPr>
          <w:p/>
        </w:tc>
        <w:tc>
          <w:tcPr>
            <w:tcW w:type="dxa" w:w="898"/>
            <w:gridSpan w:val="2"/>
            <w:vMerge/>
            <w:tcBorders>
              <w:bottom w:sz="6.00001335144043" w:val="single" w:color="#E5E6E5"/>
            </w:tcBorders>
          </w:tcPr>
          <w:p/>
        </w:tc>
        <w:tc>
          <w:tcPr>
            <w:tcW w:type="dxa" w:w="2245"/>
            <w:gridSpan w:val="5"/>
            <w:vMerge/>
            <w:tcBorders>
              <w:bottom w:sz="6.00001335144043" w:val="single" w:color="#E5E6E5"/>
            </w:tcBorders>
          </w:tcPr>
          <w:p/>
        </w:tc>
        <w:tc>
          <w:tcPr>
            <w:tcW w:type="dxa" w:w="302"/>
            <w:tcBorders>
              <w:top w:sz="6.00001335144043" w:val="single" w:color="#E5E6E5"/>
              <w:bottom w:sz="6.00001335144043" w:val="single" w:color="#E5E6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6"/>
        </w:trPr>
        <w:tc>
          <w:tcPr>
            <w:tcW w:type="dxa" w:w="400"/>
            <w:tcBorders>
              <w:top w:sz="6.00001335144043" w:val="single" w:color="#E5E6E5"/>
              <w:bottom w:sz="6.00001335144043" w:val="single" w:color="#E5E6E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45"/>
            <w:gridSpan w:val="5"/>
            <w:vMerge/>
            <w:tcBorders/>
          </w:tcPr>
          <w:p/>
        </w:tc>
        <w:tc>
          <w:tcPr>
            <w:tcW w:type="dxa" w:w="898"/>
            <w:gridSpan w:val="2"/>
            <w:vMerge/>
            <w:tcBorders>
              <w:top w:sz="6.00001335144043" w:val="single" w:color="#E5E6E5"/>
              <w:bottom w:sz="6.00001335144043" w:val="single" w:color="#E5E6E5"/>
            </w:tcBorders>
          </w:tcPr>
          <w:p/>
        </w:tc>
        <w:tc>
          <w:tcPr>
            <w:tcW w:type="dxa" w:w="2245"/>
            <w:gridSpan w:val="5"/>
            <w:vMerge/>
            <w:tcBorders>
              <w:bottom w:sz="6.00001335144043" w:val="single" w:color="#E5E6E5"/>
            </w:tcBorders>
          </w:tcPr>
          <w:p/>
        </w:tc>
        <w:tc>
          <w:tcPr>
            <w:tcW w:type="dxa" w:w="760"/>
            <w:gridSpan w:val="2"/>
            <w:vMerge w:val="restart"/>
            <w:tcBorders>
              <w:top w:sz="6.00001335144043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6" w:after="0"/>
              <w:ind w:left="0" w:right="2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4"/>
              </w:rPr>
              <w:t>24</w:t>
            </w:r>
          </w:p>
        </w:tc>
        <w:tc>
          <w:tcPr>
            <w:tcW w:type="dxa" w:w="2340"/>
            <w:gridSpan w:val="5"/>
            <w:vMerge w:val="restart"/>
            <w:tcBorders>
              <w:top w:sz="6.00001335144043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6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85900" cy="2794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5900" cy="279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02"/>
            <w:tcBorders>
              <w:top w:sz="6.00001335144043" w:val="single" w:color="#E5E6E5"/>
              <w:bottom w:sz="6.00001335144043" w:val="single" w:color="#E5E6E5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12"/>
        </w:trPr>
        <w:tc>
          <w:tcPr>
            <w:tcW w:type="dxa" w:w="400"/>
            <w:tcBorders>
              <w:top w:sz="6.00001335144043" w:val="single" w:color="#E5E6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0" w:after="0"/>
              <w:ind w:left="7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4"/>
              </w:rPr>
              <w:t>24</w:t>
            </w:r>
          </w:p>
        </w:tc>
        <w:tc>
          <w:tcPr>
            <w:tcW w:type="dxa" w:w="2245"/>
            <w:gridSpan w:val="5"/>
            <w:vMerge/>
            <w:tcBorders/>
          </w:tcPr>
          <w:p/>
        </w:tc>
        <w:tc>
          <w:tcPr>
            <w:tcW w:type="dxa" w:w="652"/>
            <w:gridSpan w:val="2"/>
            <w:vMerge w:val="restart"/>
            <w:tcBorders>
              <w:top w:sz="6.00001335144043" w:val="single" w:color="#E5E6E5"/>
              <w:bottom w:sz="6.00001335144043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1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4"/>
              </w:rPr>
              <w:t>50</w:t>
            </w:r>
          </w:p>
        </w:tc>
        <w:tc>
          <w:tcPr>
            <w:tcW w:type="dxa" w:w="2245"/>
            <w:gridSpan w:val="5"/>
            <w:vMerge/>
            <w:tcBorders>
              <w:bottom w:sz="6.00001335144043" w:val="single" w:color="#E5E6E5"/>
            </w:tcBorders>
          </w:tcPr>
          <w:p/>
        </w:tc>
        <w:tc>
          <w:tcPr>
            <w:tcW w:type="dxa" w:w="898"/>
            <w:gridSpan w:val="2"/>
            <w:vMerge/>
            <w:tcBorders>
              <w:top w:sz="6.00001335144043" w:val="single" w:color="#E5E6E5"/>
            </w:tcBorders>
          </w:tcPr>
          <w:p/>
        </w:tc>
        <w:tc>
          <w:tcPr>
            <w:tcW w:type="dxa" w:w="2245"/>
            <w:gridSpan w:val="5"/>
            <w:vMerge/>
            <w:tcBorders>
              <w:top w:sz="6.00001335144043" w:val="single" w:color="#E5E6E5"/>
            </w:tcBorders>
          </w:tcPr>
          <w:p/>
        </w:tc>
        <w:tc>
          <w:tcPr>
            <w:tcW w:type="dxa" w:w="302"/>
            <w:vMerge w:val="restart"/>
            <w:tcBorders>
              <w:top w:sz="6.00001335144043" w:val="single" w:color="#E5E6E5"/>
              <w:bottom w:sz="6.00001335144043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00"/>
        </w:trPr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20" w:after="0"/>
              <w:ind w:left="7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4"/>
              </w:rPr>
              <w:t>16</w:t>
            </w:r>
          </w:p>
        </w:tc>
        <w:tc>
          <w:tcPr>
            <w:tcW w:type="dxa" w:w="2245"/>
            <w:gridSpan w:val="5"/>
            <w:vMerge/>
            <w:tcBorders/>
          </w:tcPr>
          <w:p/>
        </w:tc>
        <w:tc>
          <w:tcPr>
            <w:tcW w:type="dxa" w:w="898"/>
            <w:gridSpan w:val="2"/>
            <w:vMerge/>
            <w:tcBorders>
              <w:top w:sz="6.00001335144043" w:val="single" w:color="#E5E6E5"/>
              <w:bottom w:sz="6.00001335144043" w:val="single" w:color="#E5E6E5"/>
            </w:tcBorders>
          </w:tcPr>
          <w:p/>
        </w:tc>
        <w:tc>
          <w:tcPr>
            <w:tcW w:type="dxa" w:w="2245"/>
            <w:gridSpan w:val="5"/>
            <w:vMerge/>
            <w:tcBorders>
              <w:bottom w:sz="6.00001335144043" w:val="single" w:color="#E5E6E5"/>
            </w:tcBorders>
          </w:tcPr>
          <w:p/>
        </w:tc>
        <w:tc>
          <w:tcPr>
            <w:tcW w:type="dxa" w:w="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20" w:after="0"/>
              <w:ind w:left="0" w:right="2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4"/>
              </w:rPr>
              <w:t>16</w:t>
            </w:r>
          </w:p>
        </w:tc>
        <w:tc>
          <w:tcPr>
            <w:tcW w:type="dxa" w:w="2245"/>
            <w:gridSpan w:val="5"/>
            <w:vMerge/>
            <w:tcBorders>
              <w:top w:sz="6.00001335144043" w:val="single" w:color="#E5E6E5"/>
            </w:tcBorders>
          </w:tcPr>
          <w:p/>
        </w:tc>
        <w:tc>
          <w:tcPr>
            <w:tcW w:type="dxa" w:w="449"/>
            <w:vMerge/>
            <w:tcBorders>
              <w:top w:sz="6.00001335144043" w:val="single" w:color="#E5E6E5"/>
              <w:bottom w:sz="6.00001335144043" w:val="single" w:color="#E5E6E5"/>
            </w:tcBorders>
          </w:tcPr>
          <w:p/>
        </w:tc>
      </w:tr>
      <w:tr>
        <w:trPr>
          <w:trHeight w:hRule="exact" w:val="92"/>
        </w:trPr>
        <w:tc>
          <w:tcPr>
            <w:tcW w:type="dxa" w:w="400"/>
            <w:tcBorders>
              <w:bottom w:sz="6.00001335144043" w:val="single" w:color="#E5E6E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45"/>
            <w:gridSpan w:val="5"/>
            <w:vMerge/>
            <w:tcBorders/>
          </w:tcPr>
          <w:p/>
        </w:tc>
        <w:tc>
          <w:tcPr>
            <w:tcW w:type="dxa" w:w="898"/>
            <w:gridSpan w:val="2"/>
            <w:vMerge/>
            <w:tcBorders>
              <w:top w:sz="6.00001335144043" w:val="single" w:color="#E5E6E5"/>
              <w:bottom w:sz="6.00001335144043" w:val="single" w:color="#E5E6E5"/>
            </w:tcBorders>
          </w:tcPr>
          <w:p/>
        </w:tc>
        <w:tc>
          <w:tcPr>
            <w:tcW w:type="dxa" w:w="2245"/>
            <w:gridSpan w:val="5"/>
            <w:vMerge/>
            <w:tcBorders>
              <w:bottom w:sz="6.00001335144043" w:val="single" w:color="#E5E6E5"/>
            </w:tcBorders>
          </w:tcPr>
          <w:p/>
        </w:tc>
        <w:tc>
          <w:tcPr>
            <w:tcW w:type="dxa" w:w="7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30" w:after="0"/>
              <w:ind w:left="0" w:right="2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4"/>
              </w:rPr>
              <w:t>8</w:t>
            </w:r>
          </w:p>
        </w:tc>
        <w:tc>
          <w:tcPr>
            <w:tcW w:type="dxa" w:w="2245"/>
            <w:gridSpan w:val="5"/>
            <w:vMerge/>
            <w:tcBorders>
              <w:top w:sz="6.00001335144043" w:val="single" w:color="#E5E6E5"/>
            </w:tcBorders>
          </w:tcPr>
          <w:p/>
        </w:tc>
        <w:tc>
          <w:tcPr>
            <w:tcW w:type="dxa" w:w="449"/>
            <w:vMerge/>
            <w:tcBorders>
              <w:top w:sz="6.00001335144043" w:val="single" w:color="#E5E6E5"/>
              <w:bottom w:sz="6.00001335144043" w:val="single" w:color="#E5E6E5"/>
            </w:tcBorders>
          </w:tcPr>
          <w:p/>
        </w:tc>
      </w:tr>
      <w:tr>
        <w:trPr>
          <w:trHeight w:hRule="exact" w:val="108"/>
        </w:trPr>
        <w:tc>
          <w:tcPr>
            <w:tcW w:type="dxa" w:w="400"/>
            <w:tcBorders>
              <w:top w:sz="6.00001335144043" w:val="single" w:color="#E5E6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4"/>
              </w:rPr>
              <w:t>8</w:t>
            </w:r>
          </w:p>
        </w:tc>
        <w:tc>
          <w:tcPr>
            <w:tcW w:type="dxa" w:w="2245"/>
            <w:gridSpan w:val="5"/>
            <w:vMerge/>
            <w:tcBorders/>
          </w:tcPr>
          <w:p/>
        </w:tc>
        <w:tc>
          <w:tcPr>
            <w:tcW w:type="dxa" w:w="652"/>
            <w:gridSpan w:val="2"/>
            <w:vMerge w:val="restart"/>
            <w:tcBorders>
              <w:top w:sz="6.00001335144043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0" w:after="0"/>
              <w:ind w:left="0" w:right="2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4"/>
              </w:rPr>
              <w:t>0</w:t>
            </w:r>
          </w:p>
        </w:tc>
        <w:tc>
          <w:tcPr>
            <w:tcW w:type="dxa" w:w="468"/>
            <w:vMerge w:val="restart"/>
            <w:tcBorders>
              <w:top w:sz="6.00001335144043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1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4"/>
              </w:rPr>
              <w:t xml:space="preserve">Jun </w:t>
            </w:r>
          </w:p>
        </w:tc>
        <w:tc>
          <w:tcPr>
            <w:tcW w:type="dxa" w:w="440"/>
            <w:vMerge w:val="restart"/>
            <w:tcBorders>
              <w:top w:sz="6.00001335144043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1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4"/>
              </w:rPr>
              <w:t xml:space="preserve">Jun </w:t>
            </w:r>
          </w:p>
        </w:tc>
        <w:tc>
          <w:tcPr>
            <w:tcW w:type="dxa" w:w="460"/>
            <w:vMerge w:val="restart"/>
            <w:tcBorders>
              <w:top w:sz="6.00001335144043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1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4"/>
              </w:rPr>
              <w:t xml:space="preserve">Jun </w:t>
            </w:r>
          </w:p>
        </w:tc>
        <w:tc>
          <w:tcPr>
            <w:tcW w:type="dxa" w:w="460"/>
            <w:vMerge w:val="restart"/>
            <w:tcBorders>
              <w:top w:sz="6.00001335144043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1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4"/>
              </w:rPr>
              <w:t xml:space="preserve">Jun </w:t>
            </w:r>
          </w:p>
        </w:tc>
        <w:tc>
          <w:tcPr>
            <w:tcW w:type="dxa" w:w="438"/>
            <w:vMerge w:val="restart"/>
            <w:tcBorders>
              <w:top w:sz="6.00001335144043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1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4"/>
              </w:rPr>
              <w:t xml:space="preserve">Jun </w:t>
            </w:r>
          </w:p>
        </w:tc>
        <w:tc>
          <w:tcPr>
            <w:tcW w:type="dxa" w:w="898"/>
            <w:gridSpan w:val="2"/>
            <w:vMerge/>
            <w:tcBorders/>
          </w:tcPr>
          <w:p/>
        </w:tc>
        <w:tc>
          <w:tcPr>
            <w:tcW w:type="dxa" w:w="2245"/>
            <w:gridSpan w:val="5"/>
            <w:vMerge/>
            <w:tcBorders>
              <w:top w:sz="6.00001335144043" w:val="single" w:color="#E5E6E5"/>
            </w:tcBorders>
          </w:tcPr>
          <w:p/>
        </w:tc>
        <w:tc>
          <w:tcPr>
            <w:tcW w:type="dxa" w:w="302"/>
            <w:vMerge w:val="restart"/>
            <w:tcBorders>
              <w:top w:sz="6.00001335144043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4046" w:after="0"/>
              <w:ind w:left="0" w:right="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5</w:t>
            </w:r>
          </w:p>
        </w:tc>
      </w:tr>
      <w:tr>
        <w:trPr>
          <w:trHeight w:hRule="exact" w:val="215"/>
        </w:trPr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4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4"/>
              </w:rPr>
              <w:t>0</w:t>
            </w:r>
          </w:p>
        </w:tc>
        <w:tc>
          <w:tcPr>
            <w:tcW w:type="dxa" w:w="2245"/>
            <w:gridSpan w:val="5"/>
            <w:vMerge/>
            <w:tcBorders/>
          </w:tcPr>
          <w:p/>
        </w:tc>
        <w:tc>
          <w:tcPr>
            <w:tcW w:type="dxa" w:w="898"/>
            <w:gridSpan w:val="2"/>
            <w:vMerge/>
            <w:tcBorders>
              <w:top w:sz="6.00001335144043" w:val="single" w:color="#E5E6E5"/>
            </w:tcBorders>
          </w:tcPr>
          <w:p/>
        </w:tc>
        <w:tc>
          <w:tcPr>
            <w:tcW w:type="dxa" w:w="449"/>
            <w:vMerge/>
            <w:tcBorders>
              <w:top w:sz="6.00001335144043" w:val="single" w:color="#E5E6E5"/>
            </w:tcBorders>
          </w:tcPr>
          <w:p/>
        </w:tc>
        <w:tc>
          <w:tcPr>
            <w:tcW w:type="dxa" w:w="449"/>
            <w:vMerge/>
            <w:tcBorders>
              <w:top w:sz="6.00001335144043" w:val="single" w:color="#E5E6E5"/>
            </w:tcBorders>
          </w:tcPr>
          <w:p/>
        </w:tc>
        <w:tc>
          <w:tcPr>
            <w:tcW w:type="dxa" w:w="449"/>
            <w:vMerge/>
            <w:tcBorders>
              <w:top w:sz="6.00001335144043" w:val="single" w:color="#E5E6E5"/>
            </w:tcBorders>
          </w:tcPr>
          <w:p/>
        </w:tc>
        <w:tc>
          <w:tcPr>
            <w:tcW w:type="dxa" w:w="449"/>
            <w:vMerge/>
            <w:tcBorders>
              <w:top w:sz="6.00001335144043" w:val="single" w:color="#E5E6E5"/>
            </w:tcBorders>
          </w:tcPr>
          <w:p/>
        </w:tc>
        <w:tc>
          <w:tcPr>
            <w:tcW w:type="dxa" w:w="449"/>
            <w:vMerge/>
            <w:tcBorders>
              <w:top w:sz="6.00001335144043" w:val="single" w:color="#E5E6E5"/>
            </w:tcBorders>
          </w:tcPr>
          <w:p/>
        </w:tc>
        <w:tc>
          <w:tcPr>
            <w:tcW w:type="dxa" w:w="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40" w:after="0"/>
              <w:ind w:left="0" w:right="2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4"/>
              </w:rPr>
              <w:t>0</w:t>
            </w:r>
          </w:p>
        </w:tc>
        <w:tc>
          <w:tcPr>
            <w:tcW w:type="dxa" w:w="2245"/>
            <w:gridSpan w:val="5"/>
            <w:vMerge/>
            <w:tcBorders>
              <w:top w:sz="6.00001335144043" w:val="single" w:color="#E5E6E5"/>
            </w:tcBorders>
          </w:tcPr>
          <w:p/>
        </w:tc>
        <w:tc>
          <w:tcPr>
            <w:tcW w:type="dxa" w:w="449"/>
            <w:vMerge/>
            <w:tcBorders>
              <w:top w:sz="6.00001335144043" w:val="single" w:color="#E5E6E5"/>
            </w:tcBorders>
          </w:tcPr>
          <w:p/>
        </w:tc>
      </w:tr>
      <w:tr>
        <w:trPr>
          <w:trHeight w:hRule="exact" w:val="283"/>
        </w:trPr>
        <w:tc>
          <w:tcPr>
            <w:tcW w:type="dxa" w:w="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6" w:after="0"/>
              <w:ind w:left="0" w:right="56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a.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4"/>
              </w:rPr>
              <w:t>FY20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4"/>
              </w:rPr>
              <w:t>FY21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4"/>
              </w:rPr>
              <w:t>FY22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4"/>
              </w:rPr>
              <w:t>FY23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20" w:after="0"/>
              <w:ind w:left="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4"/>
              </w:rPr>
              <w:t>FY24</w:t>
            </w:r>
          </w:p>
        </w:tc>
        <w:tc>
          <w:tcPr>
            <w:tcW w:type="dxa" w:w="11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22" w:after="0"/>
              <w:ind w:left="0" w:right="1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4"/>
              </w:rPr>
              <w:t>20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4"/>
              </w:rPr>
              <w:t>21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4"/>
              </w:rPr>
              <w:t>22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4"/>
              </w:rPr>
              <w:t>23</w:t>
            </w:r>
          </w:p>
        </w:tc>
        <w:tc>
          <w:tcPr>
            <w:tcW w:type="dxa" w:w="76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22" w:after="0"/>
              <w:ind w:left="1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4"/>
              </w:rPr>
              <w:t>24</w:t>
            </w:r>
          </w:p>
        </w:tc>
        <w:tc>
          <w:tcPr>
            <w:tcW w:type="dxa" w:w="87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20" w:after="0"/>
              <w:ind w:left="0" w:right="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4"/>
              </w:rPr>
              <w:t>FY20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4"/>
              </w:rPr>
              <w:t>FY21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4"/>
              </w:rPr>
              <w:t>FY22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4"/>
              </w:rPr>
              <w:t>FY23</w:t>
            </w:r>
          </w:p>
        </w:tc>
        <w:tc>
          <w:tcPr>
            <w:tcW w:type="dxa" w:w="4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6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4"/>
              </w:rPr>
              <w:t>FY24</w:t>
            </w:r>
          </w:p>
        </w:tc>
        <w:tc>
          <w:tcPr>
            <w:tcW w:type="dxa" w:w="449"/>
            <w:vMerge/>
            <w:tcBorders>
              <w:top w:sz="6.00001335144043" w:val="single" w:color="#E5E6E5"/>
            </w:tcBorders>
          </w:tcPr>
          <w:p/>
        </w:tc>
      </w:tr>
      <w:tr>
        <w:trPr>
          <w:trHeight w:hRule="exact" w:val="1862"/>
        </w:trPr>
        <w:tc>
          <w:tcPr>
            <w:tcW w:type="dxa" w:w="449"/>
            <w:vMerge/>
            <w:tcBorders/>
          </w:tcPr>
          <w:p/>
        </w:tc>
        <w:tc>
          <w:tcPr>
            <w:tcW w:type="dxa" w:w="8598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4" w:after="0"/>
              <w:ind w:left="8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Includes loans, grants, and guarantees</w:t>
            </w:r>
          </w:p>
        </w:tc>
        <w:tc>
          <w:tcPr>
            <w:tcW w:type="dxa" w:w="449"/>
            <w:vMerge/>
            <w:tcBorders>
              <w:top w:sz="6.00001335144043" w:val="single" w:color="#E5E6E5"/>
            </w:tcBorders>
          </w:tcPr>
          <w:p/>
        </w:tc>
      </w:tr>
      <w:tr>
        <w:trPr>
          <w:trHeight w:hRule="exact" w:val="1790"/>
        </w:trPr>
        <w:tc>
          <w:tcPr>
            <w:tcW w:type="dxa" w:w="449"/>
            <w:vMerge/>
            <w:tcBorders/>
          </w:tcPr>
          <w:p/>
        </w:tc>
        <w:tc>
          <w:tcPr>
            <w:tcW w:type="dxa" w:w="8598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586" w:after="0"/>
              <w:ind w:left="0" w:right="45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IDA Management's Discussion and Analysis:  June 30, 2024</w:t>
            </w:r>
          </w:p>
        </w:tc>
        <w:tc>
          <w:tcPr>
            <w:tcW w:type="dxa" w:w="449"/>
            <w:vMerge/>
            <w:tcBorders>
              <w:top w:sz="6.00001335144043" w:val="single" w:color="#E5E6E5"/>
            </w:tcBorders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0" w:right="1370" w:bottom="424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I: Executive Summary</w:t>
            </w:r>
          </w:p>
        </w:tc>
      </w:tr>
    </w:tbl>
    <w:p>
      <w:pPr>
        <w:autoSpaceDN w:val="0"/>
        <w:autoSpaceDE w:val="0"/>
        <w:widowControl/>
        <w:spacing w:line="244" w:lineRule="exact" w:before="388" w:after="148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 xml:space="preserve">Net Investment Portfolio </w:t>
      </w:r>
    </w:p>
    <w:p>
      <w:pPr>
        <w:sectPr>
          <w:pgSz w:w="12240" w:h="15840"/>
          <w:pgMar w:top="360" w:right="1416" w:bottom="424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0" w:lineRule="exact" w:before="0" w:after="0"/>
        <w:ind w:left="4" w:right="288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of  June 30, 2024, the net investment portfolio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was $33.6 billion, compared with $30.7 billion as of </w:t>
      </w:r>
    </w:p>
    <w:p>
      <w:pPr>
        <w:sectPr>
          <w:type w:val="continuous"/>
          <w:pgSz w:w="12240" w:h="15840"/>
          <w:pgMar w:top="360" w:right="1416" w:bottom="424" w:left="1436" w:header="720" w:footer="720" w:gutter="0"/>
          <w:cols w:num="2" w:equalWidth="0">
            <w:col w:w="4800" w:space="0"/>
            <w:col w:w="4588" w:space="0"/>
          </w:cols>
          <w:docGrid w:linePitch="360"/>
        </w:sectPr>
      </w:pPr>
    </w:p>
    <w:p>
      <w:pPr>
        <w:autoSpaceDN w:val="0"/>
        <w:autoSpaceDE w:val="0"/>
        <w:widowControl/>
        <w:spacing w:line="216" w:lineRule="exact" w:before="0" w:after="182"/>
        <w:ind w:left="424" w:right="2304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In billions of U.S. dollars </w:t>
      </w:r>
      <w:r>
        <w:br/>
      </w:r>
      <w:r>
        <w:rPr>
          <w:rFonts w:ascii="Arial" w:hAnsi="Arial" w:eastAsia="Arial"/>
          <w:b/>
          <w:i w:val="0"/>
          <w:color w:val="000000"/>
          <w:sz w:val="16"/>
        </w:rPr>
        <w:t>Net Investment Portfolio</w:t>
      </w:r>
    </w:p>
    <w:p>
      <w:pPr>
        <w:sectPr>
          <w:type w:val="nextColumn"/>
          <w:pgSz w:w="12240" w:h="15840"/>
          <w:pgMar w:top="360" w:right="1416" w:bottom="424" w:left="1436" w:header="720" w:footer="720" w:gutter="0"/>
          <w:cols w:num="2" w:equalWidth="0">
            <w:col w:w="4800" w:space="0"/>
            <w:col w:w="4588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-15.999999999999943" w:type="dxa"/>
      </w:tblPr>
      <w:tblGrid>
        <w:gridCol w:w="1341"/>
        <w:gridCol w:w="1341"/>
        <w:gridCol w:w="1341"/>
        <w:gridCol w:w="1341"/>
        <w:gridCol w:w="1341"/>
        <w:gridCol w:w="1341"/>
        <w:gridCol w:w="1341"/>
      </w:tblGrid>
      <w:tr>
        <w:trPr>
          <w:trHeight w:hRule="exact" w:val="214"/>
        </w:trPr>
        <w:tc>
          <w:tcPr>
            <w:tcW w:type="dxa" w:w="4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0" w:after="0"/>
              <w:ind w:left="20" w:right="0" w:firstLine="0"/>
              <w:jc w:val="left"/>
            </w:pP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June 30, 2023. The increase was primarily due to net </w:t>
            </w:r>
          </w:p>
        </w:tc>
        <w:tc>
          <w:tcPr>
            <w:tcW w:type="dxa" w:w="8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" w:after="0"/>
              <w:ind w:left="0" w:right="2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50</w:t>
            </w:r>
          </w:p>
        </w:tc>
        <w:tc>
          <w:tcPr>
            <w:tcW w:type="dxa" w:w="3300"/>
            <w:gridSpan w:val="5"/>
            <w:vMerge w:val="restart"/>
            <w:tcBorders>
              <w:bottom w:sz="6.000003337860107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76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95500" cy="2159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0" cy="215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242"/>
        </w:trPr>
        <w:tc>
          <w:tcPr>
            <w:tcW w:type="dxa" w:w="4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20" w:after="0"/>
              <w:ind w:left="20" w:right="0" w:firstLine="0"/>
              <w:jc w:val="left"/>
            </w:pP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cash inflows from new issuances of debt exceeding </w:t>
            </w:r>
          </w:p>
        </w:tc>
        <w:tc>
          <w:tcPr>
            <w:tcW w:type="dxa" w:w="84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98" w:after="0"/>
              <w:ind w:left="0" w:right="2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6705"/>
            <w:gridSpan w:val="5"/>
            <w:vMerge/>
            <w:tcBorders>
              <w:bottom w:sz="6.000003337860107" w:val="single" w:color="#E5E6E5"/>
            </w:tcBorders>
          </w:tcPr>
          <w:p/>
        </w:tc>
      </w:tr>
      <w:tr>
        <w:trPr>
          <w:trHeight w:hRule="exact" w:val="96"/>
        </w:trPr>
        <w:tc>
          <w:tcPr>
            <w:tcW w:type="dxa" w:w="4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18" w:after="0"/>
              <w:ind w:left="20" w:right="0" w:firstLine="0"/>
              <w:jc w:val="left"/>
            </w:pP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net loan and grant disbursements during the year. See </w:t>
            </w:r>
          </w:p>
        </w:tc>
        <w:tc>
          <w:tcPr>
            <w:tcW w:type="dxa" w:w="1341"/>
            <w:vMerge/>
            <w:tcBorders/>
          </w:tcPr>
          <w:p/>
        </w:tc>
        <w:tc>
          <w:tcPr>
            <w:tcW w:type="dxa" w:w="6705"/>
            <w:gridSpan w:val="5"/>
            <w:vMerge/>
            <w:tcBorders>
              <w:bottom w:sz="6.000003337860107" w:val="single" w:color="#E5E6E5"/>
            </w:tcBorders>
          </w:tcPr>
          <w:p/>
        </w:tc>
      </w:tr>
      <w:tr>
        <w:trPr>
          <w:trHeight w:hRule="exact" w:val="144"/>
        </w:trPr>
        <w:tc>
          <w:tcPr>
            <w:tcW w:type="dxa" w:w="1341"/>
            <w:vMerge/>
            <w:tcBorders/>
          </w:tcPr>
          <w:p/>
        </w:tc>
        <w:tc>
          <w:tcPr>
            <w:tcW w:type="dxa" w:w="84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0" w:right="2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6705"/>
            <w:gridSpan w:val="5"/>
            <w:vMerge/>
            <w:tcBorders>
              <w:bottom w:sz="6.000003337860107" w:val="single" w:color="#E5E6E5"/>
            </w:tcBorders>
          </w:tcPr>
          <w:p/>
        </w:tc>
      </w:tr>
      <w:tr>
        <w:trPr>
          <w:trHeight w:hRule="exact" w:val="238"/>
        </w:trPr>
        <w:tc>
          <w:tcPr>
            <w:tcW w:type="dxa" w:w="4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16" w:after="0"/>
              <w:ind w:left="20" w:right="0" w:firstLine="0"/>
              <w:jc w:val="left"/>
            </w:pP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Section VII: Investment Activities. The primary </w:t>
            </w:r>
          </w:p>
        </w:tc>
        <w:tc>
          <w:tcPr>
            <w:tcW w:type="dxa" w:w="1341"/>
            <w:vMerge/>
            <w:tcBorders/>
          </w:tcPr>
          <w:p/>
        </w:tc>
        <w:tc>
          <w:tcPr>
            <w:tcW w:type="dxa" w:w="6705"/>
            <w:gridSpan w:val="5"/>
            <w:vMerge/>
            <w:tcBorders>
              <w:bottom w:sz="6.000003337860107" w:val="single" w:color="#E5E6E5"/>
            </w:tcBorders>
          </w:tcPr>
          <w:p/>
        </w:tc>
      </w:tr>
      <w:tr>
        <w:trPr>
          <w:trHeight w:hRule="exact" w:val="58"/>
        </w:trPr>
        <w:tc>
          <w:tcPr>
            <w:tcW w:type="dxa" w:w="4820"/>
            <w:tcBorders>
              <w:bottom w:sz="6.000003337860107" w:val="single" w:color="#E5E6E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48"/>
            <w:tcBorders>
              <w:bottom w:sz="6.000003337860107" w:val="single" w:color="#E5E6E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05"/>
            <w:gridSpan w:val="5"/>
            <w:vMerge/>
            <w:tcBorders>
              <w:bottom w:sz="6.000003337860107" w:val="single" w:color="#E5E6E5"/>
            </w:tcBorders>
          </w:tcPr>
          <w:p/>
        </w:tc>
      </w:tr>
      <w:tr>
        <w:trPr>
          <w:trHeight w:hRule="exact" w:val="184"/>
        </w:trPr>
        <w:tc>
          <w:tcPr>
            <w:tcW w:type="dxa" w:w="4820"/>
            <w:tcBorders>
              <w:top w:sz="6.000003337860107" w:val="single" w:color="#E5E6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0" w:after="0"/>
              <w:ind w:left="20" w:right="0" w:firstLine="0"/>
              <w:jc w:val="left"/>
            </w:pP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objective of IDA’s investment strategy is principal </w:t>
            </w:r>
          </w:p>
        </w:tc>
        <w:tc>
          <w:tcPr>
            <w:tcW w:type="dxa" w:w="848"/>
            <w:tcBorders>
              <w:top w:sz="6.000003337860107" w:val="single" w:color="#E5E6E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2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632"/>
            <w:vMerge w:val="restart"/>
            <w:tcBorders>
              <w:top w:sz="6.000003337860107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 20</w:t>
            </w:r>
          </w:p>
        </w:tc>
        <w:tc>
          <w:tcPr>
            <w:tcW w:type="dxa" w:w="660"/>
            <w:vMerge w:val="restart"/>
            <w:tcBorders>
              <w:top w:sz="6.000003337860107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 21</w:t>
            </w:r>
          </w:p>
        </w:tc>
        <w:tc>
          <w:tcPr>
            <w:tcW w:type="dxa" w:w="660"/>
            <w:vMerge w:val="restart"/>
            <w:tcBorders>
              <w:top w:sz="6.000003337860107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 22</w:t>
            </w:r>
          </w:p>
        </w:tc>
        <w:tc>
          <w:tcPr>
            <w:tcW w:type="dxa" w:w="660"/>
            <w:vMerge w:val="restart"/>
            <w:tcBorders>
              <w:top w:sz="6.000003337860107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 23</w:t>
            </w:r>
          </w:p>
        </w:tc>
        <w:tc>
          <w:tcPr>
            <w:tcW w:type="dxa" w:w="688"/>
            <w:vMerge w:val="restart"/>
            <w:tcBorders>
              <w:top w:sz="6.000003337860107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 24</w:t>
            </w:r>
          </w:p>
        </w:tc>
      </w:tr>
      <w:tr>
        <w:trPr>
          <w:trHeight w:hRule="exact" w:val="238"/>
        </w:trPr>
        <w:tc>
          <w:tcPr>
            <w:tcW w:type="dxa" w:w="4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16" w:after="0"/>
              <w:ind w:left="20" w:right="0" w:firstLine="0"/>
              <w:jc w:val="left"/>
            </w:pP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protection. As of June 30, 2024, 77% of IDA’s </w:t>
            </w:r>
          </w:p>
        </w:tc>
        <w:tc>
          <w:tcPr>
            <w:tcW w:type="dxa" w:w="8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2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1341"/>
            <w:vMerge/>
            <w:tcBorders>
              <w:top w:sz="6.000003337860107" w:val="single" w:color="#E5E6E5"/>
            </w:tcBorders>
          </w:tcPr>
          <w:p/>
        </w:tc>
        <w:tc>
          <w:tcPr>
            <w:tcW w:type="dxa" w:w="1341"/>
            <w:vMerge/>
            <w:tcBorders>
              <w:top w:sz="6.000003337860107" w:val="single" w:color="#E5E6E5"/>
            </w:tcBorders>
          </w:tcPr>
          <w:p/>
        </w:tc>
        <w:tc>
          <w:tcPr>
            <w:tcW w:type="dxa" w:w="1341"/>
            <w:vMerge/>
            <w:tcBorders>
              <w:top w:sz="6.000003337860107" w:val="single" w:color="#E5E6E5"/>
            </w:tcBorders>
          </w:tcPr>
          <w:p/>
        </w:tc>
        <w:tc>
          <w:tcPr>
            <w:tcW w:type="dxa" w:w="1341"/>
            <w:vMerge/>
            <w:tcBorders>
              <w:top w:sz="6.000003337860107" w:val="single" w:color="#E5E6E5"/>
            </w:tcBorders>
          </w:tcPr>
          <w:p/>
        </w:tc>
        <w:tc>
          <w:tcPr>
            <w:tcW w:type="dxa" w:w="1341"/>
            <w:vMerge/>
            <w:tcBorders>
              <w:top w:sz="6.000003337860107" w:val="single" w:color="#E5E6E5"/>
            </w:tcBorders>
          </w:tcPr>
          <w:p/>
        </w:tc>
      </w:tr>
      <w:tr>
        <w:trPr>
          <w:trHeight w:hRule="exact" w:val="242"/>
        </w:trPr>
        <w:tc>
          <w:tcPr>
            <w:tcW w:type="dxa" w:w="4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20" w:after="0"/>
              <w:ind w:left="20" w:right="0" w:firstLine="0"/>
              <w:jc w:val="left"/>
            </w:pP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investment portfolio was held in instruments rated </w:t>
            </w:r>
          </w:p>
        </w:tc>
        <w:tc>
          <w:tcPr>
            <w:tcW w:type="dxa" w:w="84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98" w:after="0"/>
              <w:ind w:left="0" w:right="2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1341"/>
            <w:vMerge/>
            <w:tcBorders>
              <w:top w:sz="6.000003337860107" w:val="single" w:color="#E5E6E5"/>
            </w:tcBorders>
          </w:tcPr>
          <w:p/>
        </w:tc>
        <w:tc>
          <w:tcPr>
            <w:tcW w:type="dxa" w:w="1341"/>
            <w:vMerge/>
            <w:tcBorders>
              <w:top w:sz="6.000003337860107" w:val="single" w:color="#E5E6E5"/>
            </w:tcBorders>
          </w:tcPr>
          <w:p/>
        </w:tc>
        <w:tc>
          <w:tcPr>
            <w:tcW w:type="dxa" w:w="1341"/>
            <w:vMerge/>
            <w:tcBorders>
              <w:top w:sz="6.000003337860107" w:val="single" w:color="#E5E6E5"/>
            </w:tcBorders>
          </w:tcPr>
          <w:p/>
        </w:tc>
        <w:tc>
          <w:tcPr>
            <w:tcW w:type="dxa" w:w="1341"/>
            <w:vMerge/>
            <w:tcBorders>
              <w:top w:sz="6.000003337860107" w:val="single" w:color="#E5E6E5"/>
            </w:tcBorders>
          </w:tcPr>
          <w:p/>
        </w:tc>
        <w:tc>
          <w:tcPr>
            <w:tcW w:type="dxa" w:w="1341"/>
            <w:vMerge/>
            <w:tcBorders>
              <w:top w:sz="6.000003337860107" w:val="single" w:color="#E5E6E5"/>
            </w:tcBorders>
          </w:tcPr>
          <w:p/>
        </w:tc>
      </w:tr>
      <w:tr>
        <w:trPr>
          <w:trHeight w:hRule="exact" w:val="306"/>
        </w:trPr>
        <w:tc>
          <w:tcPr>
            <w:tcW w:type="dxa" w:w="4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24" w:after="0"/>
              <w:ind w:left="20" w:right="0" w:firstLine="0"/>
              <w:jc w:val="left"/>
            </w:pP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>AA or above (78% as of June 30, 2023) (Table 28).</w:t>
            </w:r>
          </w:p>
        </w:tc>
        <w:tc>
          <w:tcPr>
            <w:tcW w:type="dxa" w:w="1341"/>
            <w:vMerge/>
            <w:tcBorders/>
          </w:tcPr>
          <w:p/>
        </w:tc>
        <w:tc>
          <w:tcPr>
            <w:tcW w:type="dxa" w:w="1341"/>
            <w:vMerge/>
            <w:tcBorders>
              <w:top w:sz="6.000003337860107" w:val="single" w:color="#E5E6E5"/>
            </w:tcBorders>
          </w:tcPr>
          <w:p/>
        </w:tc>
        <w:tc>
          <w:tcPr>
            <w:tcW w:type="dxa" w:w="1341"/>
            <w:vMerge/>
            <w:tcBorders>
              <w:top w:sz="6.000003337860107" w:val="single" w:color="#E5E6E5"/>
            </w:tcBorders>
          </w:tcPr>
          <w:p/>
        </w:tc>
        <w:tc>
          <w:tcPr>
            <w:tcW w:type="dxa" w:w="1341"/>
            <w:vMerge/>
            <w:tcBorders>
              <w:top w:sz="6.000003337860107" w:val="single" w:color="#E5E6E5"/>
            </w:tcBorders>
          </w:tcPr>
          <w:p/>
        </w:tc>
        <w:tc>
          <w:tcPr>
            <w:tcW w:type="dxa" w:w="1341"/>
            <w:vMerge/>
            <w:tcBorders>
              <w:top w:sz="6.000003337860107" w:val="single" w:color="#E5E6E5"/>
            </w:tcBorders>
          </w:tcPr>
          <w:p/>
        </w:tc>
        <w:tc>
          <w:tcPr>
            <w:tcW w:type="dxa" w:w="1341"/>
            <w:vMerge/>
            <w:tcBorders>
              <w:top w:sz="6.000003337860107" w:val="single" w:color="#E5E6E5"/>
            </w:tcBorders>
          </w:tcPr>
          <w:p/>
        </w:tc>
      </w:tr>
    </w:tbl>
    <w:p>
      <w:pPr>
        <w:autoSpaceDN w:val="0"/>
        <w:autoSpaceDE w:val="0"/>
        <w:widowControl/>
        <w:spacing w:line="244" w:lineRule="exact" w:before="322" w:after="88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 xml:space="preserve">Borrowing Portfolio                                                             </w:t>
      </w:r>
      <w:r>
        <w:rPr>
          <w:rFonts w:ascii="Arial" w:hAnsi="Arial" w:eastAsia="Arial"/>
          <w:b w:val="0"/>
          <w:i/>
          <w:color w:val="000000"/>
          <w:sz w:val="16"/>
        </w:rPr>
        <w:t>In billions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15.999999999999943" w:type="dxa"/>
      </w:tblPr>
      <w:tblGrid>
        <w:gridCol w:w="1341"/>
        <w:gridCol w:w="1341"/>
        <w:gridCol w:w="1341"/>
        <w:gridCol w:w="1341"/>
        <w:gridCol w:w="1341"/>
        <w:gridCol w:w="1341"/>
        <w:gridCol w:w="1341"/>
      </w:tblGrid>
      <w:tr>
        <w:trPr>
          <w:trHeight w:hRule="exact" w:val="340"/>
        </w:trPr>
        <w:tc>
          <w:tcPr>
            <w:tcW w:type="dxa" w:w="4800"/>
            <w:vMerge w:val="restart"/>
            <w:tcBorders>
              <w:bottom w:sz="6.000003337860107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2" w:after="0"/>
              <w:ind w:left="20" w:right="288" w:firstLine="0"/>
              <w:jc w:val="left"/>
            </w:pP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Market borrowings at fair value: As of June 30, 2024,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the market borrowings carried at fair value and the </w:t>
            </w:r>
          </w:p>
        </w:tc>
        <w:tc>
          <w:tcPr>
            <w:tcW w:type="dxa" w:w="438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0" w:after="0"/>
              <w:ind w:left="44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Borrowing Portfolio</w:t>
            </w:r>
          </w:p>
        </w:tc>
      </w:tr>
      <w:tr>
        <w:trPr>
          <w:trHeight w:hRule="exact" w:val="170"/>
        </w:trPr>
        <w:tc>
          <w:tcPr>
            <w:tcW w:type="dxa" w:w="1341"/>
            <w:vMerge/>
            <w:tcBorders>
              <w:bottom w:sz="6.000003337860107" w:val="single" w:color="#E5E6E5"/>
            </w:tcBorders>
          </w:tcPr>
          <w:p/>
        </w:tc>
        <w:tc>
          <w:tcPr>
            <w:tcW w:type="dxa" w:w="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0" w:after="0"/>
              <w:ind w:left="458" w:right="104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3640"/>
            <w:gridSpan w:val="5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0" w:after="0"/>
              <w:ind w:left="12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095500" cy="5461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0" cy="546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1070"/>
        </w:trPr>
        <w:tc>
          <w:tcPr>
            <w:tcW w:type="dxa" w:w="4800"/>
            <w:vMerge w:val="restart"/>
            <w:tcBorders>
              <w:top w:sz="6.000003337860107" w:val="single" w:color="#E5E6E5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4" w:after="0"/>
              <w:ind w:left="20" w:right="410" w:firstLine="0"/>
              <w:jc w:val="both"/>
            </w:pP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related derivatives were $28.5 billion, an increase of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$8.9 billion from June 30, 2023, primarily due to net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new issuances during the year. </w:t>
            </w:r>
          </w:p>
          <w:p>
            <w:pPr>
              <w:autoSpaceDN w:val="0"/>
              <w:autoSpaceDE w:val="0"/>
              <w:widowControl/>
              <w:spacing w:line="240" w:lineRule="exact" w:before="120" w:after="0"/>
              <w:ind w:left="20" w:right="410" w:firstLine="0"/>
              <w:jc w:val="both"/>
            </w:pP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Market borrowings at amortized cost: As of June 30,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2024, the market borrowings carried at amortized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cost were $11.5 billion, an increase of $2.9 billion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from June 30, 2023, primarily due to net new </w:t>
            </w:r>
          </w:p>
        </w:tc>
        <w:tc>
          <w:tcPr>
            <w:tcW w:type="dxa" w:w="1341"/>
            <w:vMerge/>
            <w:tcBorders/>
          </w:tcPr>
          <w:p/>
        </w:tc>
        <w:tc>
          <w:tcPr>
            <w:tcW w:type="dxa" w:w="6705"/>
            <w:gridSpan w:val="5"/>
            <w:vMerge/>
            <w:tcBorders/>
          </w:tcPr>
          <w:p/>
        </w:tc>
      </w:tr>
      <w:tr>
        <w:trPr>
          <w:trHeight w:hRule="exact" w:val="540"/>
        </w:trPr>
        <w:tc>
          <w:tcPr>
            <w:tcW w:type="dxa" w:w="1341"/>
            <w:vMerge/>
            <w:tcBorders>
              <w:top w:sz="6.000003337860107" w:val="single" w:color="#E5E6E5"/>
            </w:tcBorders>
          </w:tcPr>
          <w:p/>
        </w:tc>
        <w:tc>
          <w:tcPr>
            <w:tcW w:type="dxa" w:w="438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0" w:after="0"/>
              <w:ind w:left="546" w:right="3600" w:hanging="88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</w:t>
            </w:r>
          </w:p>
        </w:tc>
      </w:tr>
      <w:tr>
        <w:trPr>
          <w:trHeight w:hRule="exact" w:val="216"/>
        </w:trPr>
        <w:tc>
          <w:tcPr>
            <w:tcW w:type="dxa" w:w="1341"/>
            <w:vMerge/>
            <w:tcBorders>
              <w:top w:sz="6.000003337860107" w:val="single" w:color="#E5E6E5"/>
            </w:tcBorders>
          </w:tcPr>
          <w:p/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 20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 21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 22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 23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9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 24</w:t>
            </w:r>
          </w:p>
        </w:tc>
      </w:tr>
    </w:tbl>
    <w:p>
      <w:pPr>
        <w:autoSpaceDN w:val="0"/>
        <w:autoSpaceDE w:val="0"/>
        <w:widowControl/>
        <w:spacing w:line="222" w:lineRule="exact" w:before="4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issuances during the year. </w:t>
      </w:r>
    </w:p>
    <w:p>
      <w:pPr>
        <w:autoSpaceDN w:val="0"/>
        <w:autoSpaceDE w:val="0"/>
        <w:widowControl/>
        <w:spacing w:line="240" w:lineRule="exact" w:before="120" w:after="0"/>
        <w:ind w:left="4" w:right="5014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Concessional Partner Loans at amortized cost: As of </w:t>
      </w:r>
      <w:r>
        <w:br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June 30, 2024, total borrowings from members - </w:t>
      </w:r>
      <w:r>
        <w:br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Concessional Partner Loans (CPL) were $7.0 billion, </w:t>
      </w:r>
      <w:r>
        <w:br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relatively unchanged from June 30, 2023. </w:t>
      </w:r>
    </w:p>
    <w:p>
      <w:pPr>
        <w:autoSpaceDN w:val="0"/>
        <w:autoSpaceDE w:val="0"/>
        <w:widowControl/>
        <w:spacing w:line="222" w:lineRule="exact" w:before="138" w:after="454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See Section VIII: Borrowing Activities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15.999999999999943" w:type="dxa"/>
      </w:tblPr>
      <w:tblGrid>
        <w:gridCol w:w="1341"/>
        <w:gridCol w:w="1341"/>
        <w:gridCol w:w="1341"/>
        <w:gridCol w:w="1341"/>
        <w:gridCol w:w="1341"/>
        <w:gridCol w:w="1341"/>
        <w:gridCol w:w="1341"/>
      </w:tblGrid>
      <w:tr>
        <w:trPr>
          <w:trHeight w:hRule="exact" w:val="604"/>
        </w:trPr>
        <w:tc>
          <w:tcPr>
            <w:tcW w:type="dxa" w:w="48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20" w:right="0" w:firstLine="0"/>
              <w:jc w:val="left"/>
            </w:pPr>
            <w:r>
              <w:rPr>
                <w:rFonts w:ascii="TimesNewRoman" w:hAnsi="TimesNewRoman" w:eastAsia="TimesNewRoman"/>
                <w:b/>
                <w:i w:val="0"/>
                <w:color w:val="000000"/>
                <w:sz w:val="22"/>
              </w:rPr>
              <w:t>Equity and Capital Adequacy</w:t>
            </w:r>
          </w:p>
          <w:p>
            <w:pPr>
              <w:autoSpaceDN w:val="0"/>
              <w:autoSpaceDE w:val="0"/>
              <w:widowControl/>
              <w:spacing w:line="240" w:lineRule="exact" w:before="130" w:after="0"/>
              <w:ind w:left="20" w:right="410" w:firstLine="0"/>
              <w:jc w:val="both"/>
            </w:pP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As of June 30, 2024, IDA’s equity was $190.3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billion, an increase of $4.5 billion from June 30,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2023. The increase was primarily due to subscriptions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and contributions paid in, partially offset by the net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loss during the year. See Section IV: Financial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>Results.</w:t>
            </w:r>
          </w:p>
        </w:tc>
        <w:tc>
          <w:tcPr>
            <w:tcW w:type="dxa" w:w="438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48" w:after="0"/>
              <w:ind w:left="440" w:right="216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In billions of U.S. dollars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Equity</w:t>
            </w:r>
          </w:p>
        </w:tc>
      </w:tr>
      <w:tr>
        <w:trPr>
          <w:trHeight w:hRule="exact" w:val="520"/>
        </w:trPr>
        <w:tc>
          <w:tcPr>
            <w:tcW w:type="dxa" w:w="1341"/>
            <w:vMerge/>
            <w:tcBorders/>
          </w:tcPr>
          <w:p/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56" w:after="0"/>
              <w:ind w:left="432" w:right="1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200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160</w:t>
            </w:r>
          </w:p>
        </w:tc>
        <w:tc>
          <w:tcPr>
            <w:tcW w:type="dxa" w:w="354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0" w:after="0"/>
              <w:ind w:left="12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032000" cy="1651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2000" cy="165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880"/>
        </w:trPr>
        <w:tc>
          <w:tcPr>
            <w:tcW w:type="dxa" w:w="1341"/>
            <w:vMerge/>
            <w:tcBorders/>
          </w:tcPr>
          <w:p/>
        </w:tc>
        <w:tc>
          <w:tcPr>
            <w:tcW w:type="dxa" w:w="438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0" w:after="0"/>
              <w:ind w:left="432" w:right="365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</w:t>
            </w:r>
          </w:p>
        </w:tc>
      </w:tr>
      <w:tr>
        <w:trPr>
          <w:trHeight w:hRule="exact" w:val="190"/>
        </w:trPr>
        <w:tc>
          <w:tcPr>
            <w:tcW w:type="dxa" w:w="1341"/>
            <w:vMerge/>
            <w:tcBorders/>
          </w:tcPr>
          <w:p/>
        </w:tc>
        <w:tc>
          <w:tcPr>
            <w:tcW w:type="dxa" w:w="1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 20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 21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 22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 23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7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 24</w:t>
            </w:r>
          </w:p>
        </w:tc>
      </w:tr>
    </w:tbl>
    <w:p>
      <w:pPr>
        <w:autoSpaceDN w:val="0"/>
        <w:autoSpaceDE w:val="0"/>
        <w:widowControl/>
        <w:spacing w:line="14" w:lineRule="exact" w:before="0" w:after="394"/>
        <w:ind w:left="0" w:right="0"/>
      </w:pPr>
    </w:p>
    <w:p>
      <w:pPr>
        <w:sectPr>
          <w:type w:val="continuous"/>
          <w:pgSz w:w="12240" w:h="15840"/>
          <w:pgMar w:top="360" w:right="1416" w:bottom="424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6" w:after="0"/>
        <w:ind w:left="60" w:right="426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Deployable Strategic Capital (DSC) ratio, IDA’s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main capital adequacy measure, was 34.8% as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June 30, 2024, above the zero percent policy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minimum. In April 2024, IDA's Board approved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enhancements to the DSC framework, which allow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for increased efficiency of capital utilization. See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Section IX: Risk Management.</w:t>
      </w:r>
    </w:p>
    <w:p>
      <w:pPr>
        <w:sectPr>
          <w:type w:val="continuous"/>
          <w:pgSz w:w="12240" w:h="15840"/>
          <w:pgMar w:top="360" w:right="1416" w:bottom="424" w:left="1436" w:header="720" w:footer="720" w:gutter="0"/>
          <w:cols w:num="2" w:equalWidth="0">
            <w:col w:w="4800" w:space="0"/>
            <w:col w:w="4588" w:space="0"/>
          </w:cols>
          <w:docGrid w:linePitch="360"/>
        </w:sectPr>
      </w:pPr>
    </w:p>
    <w:p>
      <w:pPr>
        <w:autoSpaceDN w:val="0"/>
        <w:autoSpaceDE w:val="0"/>
        <w:widowControl/>
        <w:spacing w:line="206" w:lineRule="exact" w:before="0" w:after="0"/>
        <w:ind w:left="424" w:right="144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Ratio in percentages </w:t>
      </w:r>
      <w:r>
        <w:br/>
      </w:r>
      <w:r>
        <w:rPr>
          <w:rFonts w:ascii="Arial" w:hAnsi="Arial" w:eastAsia="Arial"/>
          <w:b/>
          <w:i w:val="0"/>
          <w:color w:val="000000"/>
          <w:sz w:val="16"/>
        </w:rPr>
        <w:t>Deployable Strategic Capital Ratio</w:t>
      </w:r>
    </w:p>
    <w:p>
      <w:pPr>
        <w:autoSpaceDN w:val="0"/>
        <w:autoSpaceDE w:val="0"/>
        <w:widowControl/>
        <w:spacing w:line="134" w:lineRule="exact" w:before="276" w:after="0"/>
        <w:ind w:left="0" w:right="1356" w:firstLine="0"/>
        <w:jc w:val="right"/>
      </w:pPr>
      <w:r>
        <w:rPr>
          <w:rFonts w:ascii="Arial" w:hAnsi="Arial" w:eastAsia="Arial"/>
          <w:b/>
          <w:i w:val="0"/>
          <w:color w:val="595959"/>
          <w:sz w:val="12"/>
        </w:rPr>
        <w:t>DSC Ratio - Current Approach</w:t>
      </w:r>
    </w:p>
    <w:p>
      <w:pPr>
        <w:autoSpaceDN w:val="0"/>
        <w:autoSpaceDE w:val="0"/>
        <w:widowControl/>
        <w:spacing w:line="136" w:lineRule="exact" w:before="76" w:after="0"/>
        <w:ind w:left="0" w:right="1282" w:firstLine="0"/>
        <w:jc w:val="right"/>
      </w:pPr>
      <w:r>
        <w:rPr>
          <w:rFonts w:ascii="Arial" w:hAnsi="Arial" w:eastAsia="Arial"/>
          <w:b/>
          <w:i w:val="0"/>
          <w:color w:val="595959"/>
          <w:sz w:val="12"/>
        </w:rPr>
        <w:t>DSC Ratio - Previous Approach</w:t>
      </w:r>
    </w:p>
    <w:p>
      <w:pPr>
        <w:autoSpaceDN w:val="0"/>
        <w:autoSpaceDE w:val="0"/>
        <w:widowControl/>
        <w:spacing w:line="180" w:lineRule="exact" w:before="98" w:after="0"/>
        <w:ind w:left="45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45%</w:t>
      </w:r>
    </w:p>
    <w:p>
      <w:pPr>
        <w:autoSpaceDN w:val="0"/>
        <w:tabs>
          <w:tab w:pos="1004" w:val="left"/>
        </w:tabs>
        <w:autoSpaceDE w:val="0"/>
        <w:widowControl/>
        <w:spacing w:line="240" w:lineRule="auto" w:before="0" w:after="0"/>
        <w:ind w:left="45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30%</w:t>
      </w:r>
      <w:r>
        <w:drawing>
          <wp:inline xmlns:a="http://schemas.openxmlformats.org/drawingml/2006/main" xmlns:pic="http://schemas.openxmlformats.org/drawingml/2006/picture">
            <wp:extent cx="1943100" cy="2286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228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180" w:lineRule="exact" w:before="12" w:after="16"/>
        <w:ind w:left="45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15%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23.9999999999998" w:type="dxa"/>
      </w:tblPr>
      <w:tblGrid>
        <w:gridCol w:w="1878"/>
        <w:gridCol w:w="1878"/>
        <w:gridCol w:w="1878"/>
        <w:gridCol w:w="1878"/>
        <w:gridCol w:w="1878"/>
      </w:tblGrid>
      <w:tr>
        <w:trPr>
          <w:trHeight w:hRule="exact" w:val="192"/>
        </w:trPr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20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Jun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Jun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Jun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Jun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1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Jun </w:t>
            </w:r>
          </w:p>
        </w:tc>
      </w:tr>
      <w:tr>
        <w:trPr>
          <w:trHeight w:hRule="exact" w:val="228"/>
        </w:trPr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29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24</w:t>
            </w:r>
          </w:p>
        </w:tc>
      </w:tr>
    </w:tbl>
    <w:p>
      <w:pPr>
        <w:autoSpaceDN w:val="0"/>
        <w:autoSpaceDE w:val="0"/>
        <w:widowControl/>
        <w:spacing w:line="158" w:lineRule="exact" w:before="34" w:after="406"/>
        <w:ind w:left="0" w:right="1184" w:firstLine="0"/>
        <w:jc w:val="right"/>
      </w:pPr>
      <w:r>
        <w:rPr>
          <w:rFonts w:ascii="Arial" w:hAnsi="Arial" w:eastAsia="Arial"/>
          <w:b/>
          <w:i w:val="0"/>
          <w:color w:val="595959"/>
          <w:sz w:val="14"/>
        </w:rPr>
        <w:t>Policy Minimum ratio = 0%</w:t>
      </w:r>
    </w:p>
    <w:p>
      <w:pPr>
        <w:sectPr>
          <w:type w:val="nextColumn"/>
          <w:pgSz w:w="12240" w:h="15840"/>
          <w:pgMar w:top="360" w:right="1416" w:bottom="424" w:left="1436" w:header="720" w:footer="720" w:gutter="0"/>
          <w:cols w:num="2" w:equalWidth="0">
            <w:col w:w="4800" w:space="0"/>
            <w:col w:w="4588" w:space="0"/>
          </w:cols>
          <w:docGrid w:linePitch="360"/>
        </w:sectPr>
      </w:pPr>
    </w:p>
    <w:p>
      <w:pPr>
        <w:autoSpaceDN w:val="0"/>
        <w:tabs>
          <w:tab w:pos="656" w:val="left"/>
        </w:tabs>
        <w:autoSpaceDE w:val="0"/>
        <w:widowControl/>
        <w:spacing w:line="224" w:lineRule="exact" w:before="0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Management's Discussion and Analysis:  June 30, 2024</w:t>
      </w:r>
    </w:p>
    <w:p>
      <w:pPr>
        <w:sectPr>
          <w:type w:val="continuous"/>
          <w:pgSz w:w="12240" w:h="15840"/>
          <w:pgMar w:top="360" w:right="1416" w:bottom="424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20"/>
        <w:gridCol w:w="4720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II: Overview</w:t>
            </w:r>
          </w:p>
        </w:tc>
      </w:tr>
    </w:tbl>
    <w:p>
      <w:pPr>
        <w:autoSpaceDN w:val="0"/>
        <w:autoSpaceDE w:val="0"/>
        <w:widowControl/>
        <w:spacing w:line="314" w:lineRule="exact" w:before="438" w:after="0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Section II: Overview</w:t>
      </w:r>
    </w:p>
    <w:p>
      <w:pPr>
        <w:autoSpaceDN w:val="0"/>
        <w:autoSpaceDE w:val="0"/>
        <w:widowControl/>
        <w:spacing w:line="268" w:lineRule="exact" w:before="222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IDA Replenishment </w:t>
      </w:r>
    </w:p>
    <w:p>
      <w:pPr>
        <w:autoSpaceDN w:val="0"/>
        <w:autoSpaceDE w:val="0"/>
        <w:widowControl/>
        <w:spacing w:line="240" w:lineRule="exact" w:before="124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Generally, every three years, representatives of IDA’s members</w:t>
      </w:r>
      <w:r>
        <w:rPr>
          <w:rFonts w:ascii="TimesNewRoman" w:hAnsi="TimesNewRoman" w:eastAsia="TimesNewRoman"/>
          <w:b w:val="0"/>
          <w:i w:val="0"/>
          <w:color w:val="000000"/>
          <w:sz w:val="13"/>
        </w:rPr>
        <w:t>2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 meet to assess IDA’s financial capacity and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medium-term demand for new IDA financing.  Members decide on the policy framework, agree upon the amount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financing to be made available for the replenishment period, and commit to additional contributions of equity that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are required to meet these goals. The meetings culminate in a replenishment agreement that determines the size,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sources (both internal and external), and uses of funds for the replenishment period.</w:t>
      </w:r>
    </w:p>
    <w:p>
      <w:pPr>
        <w:autoSpaceDN w:val="0"/>
        <w:autoSpaceDE w:val="0"/>
        <w:widowControl/>
        <w:spacing w:line="268" w:lineRule="exact" w:before="136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Twentieth Replenishment of Resources (IDA20)</w:t>
      </w:r>
    </w:p>
    <w:p>
      <w:pPr>
        <w:autoSpaceDN w:val="0"/>
        <w:autoSpaceDE w:val="0"/>
        <w:widowControl/>
        <w:spacing w:line="240" w:lineRule="exact" w:before="124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IDA’s Twentieth Replenishment, the replenishment period of FY23 through FY25, commenced on July 1, 2022,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with a financing envelope of $93.0 billion</w:t>
      </w:r>
      <w:r>
        <w:rPr>
          <w:rFonts w:ascii="TimesNewRoman" w:hAnsi="TimesNewRoman" w:eastAsia="TimesNewRoman"/>
          <w:b w:val="0"/>
          <w:i w:val="0"/>
          <w:color w:val="000000"/>
          <w:sz w:val="13"/>
        </w:rPr>
        <w:t>3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, including $11.0 billion of IDA19 carry over, supported by $23.5 billion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of member contributions. IDA20 recognizes the need to help address the profound challenges faced by IDA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countries. IDA20 reaffirms the international community’s commitment to scale up support to enable IDA countries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to respond to the effects of the coronavirus disease (COVID-19) pandemic crisis, recoup their development losses,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and resume progress toward the 2030 Sustainable Development goals. IDA20 supports the world’s poorest and most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vulnerable countries to emerge on a development path in line with the Green, Resilient and Inclusive Development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(GRID) framework. IDA20 builds on the IDA19 special themes, with the continuation of climate change, fragility,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conflict, and violence (FCV), gender and development, jobs and economic transformation and the introduction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human capital as a special theme in IDA20. In addition, IDA20’s policy package incorporates four cross-cutting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issues: crisis preparedness (introduced in IDA20), governance and institutions, debt, and technology. During FY24,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results and implementation progress of IDA20 were reviewed by Management. The review acknowledged that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surge financing and additional volumes provided to IDA countries to address overlapping crises in FY23, and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compounding effect of a stronger US dollar resulted in a projected financing gap, relative to the amount when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IDA20 financial capacity was negotiated. Management proposed, and the Board approved, a number of adjustments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to the IDA operational and financial framework to close this gap and meet initially planned financial targets.</w:t>
      </w:r>
    </w:p>
    <w:p>
      <w:pPr>
        <w:autoSpaceDN w:val="0"/>
        <w:autoSpaceDE w:val="0"/>
        <w:widowControl/>
        <w:spacing w:line="230" w:lineRule="exact" w:before="24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of June 30, 2024, Instruments of Commitment (IoCs) from members of $23.5 billion had been received towards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IDA20 replenishment.</w:t>
      </w:r>
    </w:p>
    <w:p>
      <w:pPr>
        <w:autoSpaceDN w:val="0"/>
        <w:autoSpaceDE w:val="0"/>
        <w:widowControl/>
        <w:spacing w:line="268" w:lineRule="exact" w:before="236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IDA Crisis Facility</w:t>
      </w:r>
    </w:p>
    <w:p>
      <w:pPr>
        <w:autoSpaceDN w:val="0"/>
        <w:autoSpaceDE w:val="0"/>
        <w:widowControl/>
        <w:spacing w:line="240" w:lineRule="exact" w:before="124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On July 5, 2023, IDA's Board of Governors adopted a Resolution to establish a Crisis Facility to scale up support for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world’s poorest countries to address worsening development challenges due to the overlapping global crises,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particularly food insecurity and extreme climate events. The Crisis Facility has two objectives: i) to provide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additional resources to IDA countries affected by Russia’s invasion of Ukraine at a time of compounding,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overlapping global crises; and ii) to provide a mechanism for pooling and leveraging contributions to support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Ukraine, and to neighboring Moldova. This facility is supported by member contributions and is one of the measures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to enhance IDA's financing capacity in IDA20. As of June 30, 2024, $662 million of member contributions had been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received by the facility.</w:t>
      </w:r>
    </w:p>
    <w:p>
      <w:pPr>
        <w:autoSpaceDN w:val="0"/>
        <w:autoSpaceDE w:val="0"/>
        <w:widowControl/>
        <w:spacing w:line="268" w:lineRule="exact" w:before="136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Financial Business Model</w:t>
      </w:r>
    </w:p>
    <w:p>
      <w:pPr>
        <w:autoSpaceDN w:val="0"/>
        <w:autoSpaceDE w:val="0"/>
        <w:widowControl/>
        <w:spacing w:line="240" w:lineRule="exact" w:before="124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has financed its operations over the years with its own equity, including regular additions to equity provided by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member countries as part of the replenishment process.  As a result of the strong support of member countries, IDA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has built up a substantial equity base of $190.3 billion as of June 30, 2024. Since FY18, IDA has shifted to a hybrid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financial model by introducing market debt into its business model. By prudently leveraging its equity and blending </w:t>
      </w:r>
    </w:p>
    <w:p>
      <w:pPr>
        <w:autoSpaceDN w:val="0"/>
        <w:autoSpaceDE w:val="0"/>
        <w:widowControl/>
        <w:spacing w:line="156" w:lineRule="exact" w:before="582" w:after="0"/>
        <w:ind w:left="190" w:right="30" w:hanging="180"/>
        <w:jc w:val="both"/>
      </w:pPr>
      <w:r>
        <w:rPr>
          <w:w w:val="101.11111534966363"/>
          <w:rFonts w:ascii="Arial" w:hAnsi="Arial" w:eastAsia="Arial"/>
          <w:b w:val="0"/>
          <w:i/>
          <w:color w:val="000000"/>
          <w:sz w:val="9"/>
        </w:rPr>
        <w:t>2</w:t>
      </w:r>
      <w:r>
        <w:rPr>
          <w:rFonts w:ascii="Arial" w:hAnsi="Arial" w:eastAsia="Arial"/>
          <w:b w:val="0"/>
          <w:i/>
          <w:color w:val="000000"/>
          <w:sz w:val="14"/>
        </w:rPr>
        <w:t xml:space="preserve">  IDA’s members are owners and hold voting rights in IDA. Members do not, however, hold shares in IDA and are therefore not referred to as </w:t>
      </w:r>
      <w:r>
        <w:rPr>
          <w:rFonts w:ascii="Arial" w:hAnsi="Arial" w:eastAsia="Arial"/>
          <w:b w:val="0"/>
          <w:i/>
          <w:color w:val="000000"/>
          <w:sz w:val="14"/>
        </w:rPr>
        <w:t xml:space="preserve">shareholders. Payments for subscriptions and contributions from members increase IDA’s paid-in equity and are financially equivalent to paid-in </w:t>
      </w:r>
      <w:r>
        <w:rPr>
          <w:rFonts w:ascii="Arial" w:hAnsi="Arial" w:eastAsia="Arial"/>
          <w:b w:val="0"/>
          <w:i/>
          <w:color w:val="000000"/>
          <w:sz w:val="14"/>
        </w:rPr>
        <w:t xml:space="preserve">capital in multilateral development organizations that issue shares,  IDA members have the same ownership rights as shareholders in other MDBs. </w:t>
      </w:r>
    </w:p>
    <w:p>
      <w:pPr>
        <w:autoSpaceDN w:val="0"/>
        <w:autoSpaceDE w:val="0"/>
        <w:widowControl/>
        <w:spacing w:line="156" w:lineRule="exact" w:before="0" w:after="0"/>
        <w:ind w:left="19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4"/>
        </w:rPr>
        <w:t xml:space="preserve">For example, should IDA ever permanently suspend its operations, each member would receive a pro rata share of IDA’s net assets in proportion to </w:t>
      </w:r>
      <w:r>
        <w:rPr>
          <w:rFonts w:ascii="Arial" w:hAnsi="Arial" w:eastAsia="Arial"/>
          <w:b w:val="0"/>
          <w:i/>
          <w:color w:val="000000"/>
          <w:sz w:val="14"/>
        </w:rPr>
        <w:t>the amounts it originally paid in and invested in IDA.</w:t>
      </w:r>
    </w:p>
    <w:p>
      <w:pPr>
        <w:autoSpaceDN w:val="0"/>
        <w:tabs>
          <w:tab w:pos="190" w:val="left"/>
        </w:tabs>
        <w:autoSpaceDE w:val="0"/>
        <w:widowControl/>
        <w:spacing w:line="168" w:lineRule="exact" w:before="8" w:after="0"/>
        <w:ind w:left="10" w:right="0" w:firstLine="0"/>
        <w:jc w:val="left"/>
      </w:pPr>
      <w:r>
        <w:rPr>
          <w:w w:val="101.11111534966363"/>
          <w:rFonts w:ascii="ArialMT" w:hAnsi="ArialMT" w:eastAsia="ArialMT"/>
          <w:b w:val="0"/>
          <w:i w:val="0"/>
          <w:color w:val="000000"/>
          <w:sz w:val="9"/>
        </w:rPr>
        <w:t>3</w:t>
      </w:r>
      <w:r>
        <w:rPr>
          <w:rFonts w:ascii="Arial" w:hAnsi="Arial" w:eastAsia="Arial"/>
          <w:b w:val="0"/>
          <w:i/>
          <w:color w:val="000000"/>
          <w:sz w:val="14"/>
        </w:rPr>
        <w:t xml:space="preserve">U.S. dollar amounts are based on IDA20 reference rate of USD/SDR 1.42934. The U.S. dollar amounts are provided for reporting purposes only, as </w:t>
      </w:r>
      <w:r>
        <w:tab/>
      </w:r>
      <w:r>
        <w:rPr>
          <w:rFonts w:ascii="Arial" w:hAnsi="Arial" w:eastAsia="Arial"/>
          <w:b w:val="0"/>
          <w:i/>
          <w:color w:val="000000"/>
          <w:sz w:val="14"/>
        </w:rPr>
        <w:t>IDA’s balance sheet is predominantly managed in SDR.</w:t>
      </w:r>
    </w:p>
    <w:p>
      <w:pPr>
        <w:autoSpaceDN w:val="0"/>
        <w:tabs>
          <w:tab w:pos="9206" w:val="left"/>
        </w:tabs>
        <w:autoSpaceDE w:val="0"/>
        <w:widowControl/>
        <w:spacing w:line="224" w:lineRule="exact" w:before="402" w:after="0"/>
        <w:ind w:left="32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Management's Discussion and Analysis:  June 30, 2024 </w:t>
      </w:r>
      <w:r>
        <w:rPr>
          <w:rFonts w:ascii="ArialMT" w:hAnsi="ArialMT" w:eastAsia="ArialMT"/>
          <w:b w:val="0"/>
          <w:i w:val="0"/>
          <w:color w:val="000000"/>
          <w:sz w:val="20"/>
        </w:rPr>
        <w:t>7</w:t>
      </w:r>
    </w:p>
    <w:p>
      <w:pPr>
        <w:sectPr>
          <w:pgSz w:w="12240" w:h="15840"/>
          <w:pgMar w:top="360" w:right="1370" w:bottom="424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7"/>
        <w:gridCol w:w="4717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II: Overview</w:t>
            </w:r>
          </w:p>
        </w:tc>
      </w:tr>
    </w:tbl>
    <w:p>
      <w:pPr>
        <w:autoSpaceDN w:val="0"/>
        <w:autoSpaceDE w:val="0"/>
        <w:widowControl/>
        <w:spacing w:line="240" w:lineRule="exact" w:before="378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market debt with equity contributions from members, IDA has increased its financial efficiency, and scaled up its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financing to support the escalating demand for its resources to deliver on the following priorities: </w:t>
      </w:r>
    </w:p>
    <w:p>
      <w:pPr>
        <w:autoSpaceDN w:val="0"/>
        <w:tabs>
          <w:tab w:pos="364" w:val="left"/>
        </w:tabs>
        <w:autoSpaceDE w:val="0"/>
        <w:widowControl/>
        <w:spacing w:line="224" w:lineRule="exact" w:before="142" w:after="0"/>
        <w:ind w:left="4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Provide concessional financing on terms that respond to clients’ needs; and</w:t>
      </w:r>
    </w:p>
    <w:p>
      <w:pPr>
        <w:autoSpaceDN w:val="0"/>
        <w:tabs>
          <w:tab w:pos="364" w:val="left"/>
        </w:tabs>
        <w:autoSpaceDE w:val="0"/>
        <w:widowControl/>
        <w:spacing w:line="240" w:lineRule="exact" w:before="120" w:after="0"/>
        <w:ind w:left="4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Ensure long-term financial sustainability of IDA’s financial model through a prudent risk management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framework.</w:t>
      </w:r>
    </w:p>
    <w:p>
      <w:pPr>
        <w:autoSpaceDN w:val="0"/>
        <w:autoSpaceDE w:val="0"/>
        <w:widowControl/>
        <w:spacing w:line="240" w:lineRule="exact" w:before="114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Currently, IDA's non-concessional and concessional lending, including grants, is primarily financed by IDA’s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equity. As IDA’s funding program expands under the hybrid financial model, a larger portion of lending will be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funded by market debt, together with member countries’ contributions (equity). Funds not deployed for lending are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maintained in IDA’s investment portfolio to supply liquidity for its operations, which will also be increasingly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funded with debt.</w:t>
      </w:r>
    </w:p>
    <w:p>
      <w:pPr>
        <w:autoSpaceDN w:val="0"/>
        <w:autoSpaceDE w:val="0"/>
        <w:widowControl/>
        <w:spacing w:line="268" w:lineRule="exact" w:before="280" w:after="0"/>
        <w:ind w:left="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Basis of Reporting</w:t>
      </w:r>
    </w:p>
    <w:p>
      <w:pPr>
        <w:autoSpaceDN w:val="0"/>
        <w:autoSpaceDE w:val="0"/>
        <w:widowControl/>
        <w:spacing w:line="240" w:lineRule="exact" w:before="124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prepares its financial statements in conformity with accounting principles generally accepted in the United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States of America (U.S. GAAP). IDA’s reporting currency is the U.S. dollar. IDA’s functional currencies are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SDR and its component currencies of the U.S. dollar, euro, Japanese yen, pound sterling and Chinese renminbi.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Management uses net income as the basis for deriving adjusted net income, as discussed in Section IV: Financial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Results.</w:t>
      </w:r>
    </w:p>
    <w:p>
      <w:pPr>
        <w:autoSpaceDN w:val="0"/>
        <w:autoSpaceDE w:val="0"/>
        <w:widowControl/>
        <w:spacing w:line="244" w:lineRule="exact" w:before="130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Adjusted Net Income</w:t>
      </w:r>
    </w:p>
    <w:p>
      <w:pPr>
        <w:autoSpaceDN w:val="0"/>
        <w:autoSpaceDE w:val="0"/>
        <w:widowControl/>
        <w:spacing w:line="240" w:lineRule="exact" w:before="130" w:after="0"/>
        <w:ind w:left="4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Adjusted Net Income (ANI), a non-GAAP measure, reflects the economic results of IDA’s operations and is used by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IDA’s management and the Board as a financial sustainability measure. ANI is defined as IDA’s net income,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adjusted to exclude certain items. After the effects of these adjustments, ANI generally reflects amounts which are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realized, not restricted for specific uses, and not directly funded by members. For a detailed discussion of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adjustments, see Section IV: Financial Results.</w:t>
      </w:r>
    </w:p>
    <w:p>
      <w:pPr>
        <w:autoSpaceDN w:val="0"/>
        <w:tabs>
          <w:tab w:pos="656" w:val="left"/>
        </w:tabs>
        <w:autoSpaceDE w:val="0"/>
        <w:widowControl/>
        <w:spacing w:line="224" w:lineRule="exact" w:before="7048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Management's Discussion and Analysis:  June 30, 2024</w:t>
      </w:r>
    </w:p>
    <w:p>
      <w:pPr>
        <w:sectPr>
          <w:pgSz w:w="12240" w:h="15840"/>
          <w:pgMar w:top="360" w:right="1370" w:bottom="424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20"/>
        <w:gridCol w:w="4720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III: IDA’s Financial Resources</w:t>
            </w:r>
          </w:p>
        </w:tc>
      </w:tr>
    </w:tbl>
    <w:p>
      <w:pPr>
        <w:autoSpaceDN w:val="0"/>
        <w:autoSpaceDE w:val="0"/>
        <w:widowControl/>
        <w:spacing w:line="314" w:lineRule="exact" w:before="438" w:after="0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Section III: IDA’s Financial Resources</w:t>
      </w:r>
    </w:p>
    <w:p>
      <w:pPr>
        <w:autoSpaceDN w:val="0"/>
        <w:autoSpaceDE w:val="0"/>
        <w:widowControl/>
        <w:spacing w:line="240" w:lineRule="exact" w:before="206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finances its operations mainly with its own equity, including regular additions to equity through members'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subscriptions and contributions as part of the replenishment process. Members’ subscriptions and contributions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receivable for each replenishment are settled through payment of cash or deposit of nonnegotiable, noninterest-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bearing demand notes which become due throughout the replenishment period, generally three years. The notes are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encashed by IDA on a pro rata basis over a 9 to 11-year period which generally corresponds with the disbursement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period of the loans and grants.</w:t>
      </w:r>
    </w:p>
    <w:p>
      <w:pPr>
        <w:autoSpaceDN w:val="0"/>
        <w:autoSpaceDE w:val="0"/>
        <w:widowControl/>
        <w:spacing w:line="268" w:lineRule="exact" w:before="256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IDA20 Funding</w:t>
      </w:r>
    </w:p>
    <w:p>
      <w:pPr>
        <w:autoSpaceDN w:val="0"/>
        <w:autoSpaceDE w:val="0"/>
        <w:widowControl/>
        <w:spacing w:line="240" w:lineRule="exact" w:before="124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IDA’s financing resource envelope available for lending and grant commitments is based on the long-term outlook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of IDA’s financial sustainability. This takes into account the amount of member contributions and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concessionality of the proposed financing to borrowers, market conditions, and capital adequacy requirements. For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three-year funding cycle of IDA20, the agreed resource envelope totals $93.0 billion, supported by $23.5 billion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of member contributions. </w:t>
      </w:r>
    </w:p>
    <w:p>
      <w:pPr>
        <w:autoSpaceDN w:val="0"/>
        <w:autoSpaceDE w:val="0"/>
        <w:widowControl/>
        <w:spacing w:line="268" w:lineRule="exact" w:before="256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Allocation of IDA20 Resources</w:t>
      </w:r>
    </w:p>
    <w:p>
      <w:pPr>
        <w:autoSpaceDN w:val="0"/>
        <w:autoSpaceDE w:val="0"/>
        <w:widowControl/>
        <w:spacing w:line="240" w:lineRule="exact" w:before="124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Eligibility for IDA’s resources is determined primarily by a member’s relative poverty. Relative poverty is defined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Gross National Income (GNI) per capita below an established threshold that is updated annually. For FY25,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threshold is $1,335 (FY24: $1,315).</w:t>
      </w:r>
    </w:p>
    <w:p>
      <w:pPr>
        <w:autoSpaceDN w:val="0"/>
        <w:autoSpaceDE w:val="0"/>
        <w:widowControl/>
        <w:spacing w:line="178" w:lineRule="exact" w:before="150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Table 2: IDA20 Allocations</w:t>
      </w:r>
    </w:p>
    <w:p>
      <w:pPr>
        <w:autoSpaceDN w:val="0"/>
        <w:autoSpaceDE w:val="0"/>
        <w:widowControl/>
        <w:spacing w:line="178" w:lineRule="exact" w:before="74" w:after="56"/>
        <w:ind w:left="1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billions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0"/>
        <w:gridCol w:w="4720"/>
      </w:tblGrid>
      <w:tr>
        <w:trPr>
          <w:trHeight w:hRule="exact" w:val="286"/>
        </w:trPr>
        <w:tc>
          <w:tcPr>
            <w:tcW w:type="dxa" w:w="349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6D6D6D"/>
                <w:sz w:val="16"/>
              </w:rPr>
              <w:t>Allocation</w:t>
            </w:r>
          </w:p>
        </w:tc>
        <w:tc>
          <w:tcPr>
            <w:tcW w:type="dxa" w:w="403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6" w:after="0"/>
              <w:ind w:left="0" w:right="6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6D6D6D"/>
                <w:sz w:val="16"/>
              </w:rPr>
              <w:t xml:space="preserve">USD Equivalent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6D6D6D"/>
                <w:sz w:val="10"/>
              </w:rPr>
              <w:t>a</w:t>
            </w:r>
          </w:p>
        </w:tc>
      </w:tr>
    </w:tbl>
    <w:p>
      <w:pPr>
        <w:autoSpaceDN w:val="0"/>
        <w:autoSpaceDE w:val="0"/>
        <w:widowControl/>
        <w:spacing w:line="178" w:lineRule="exact" w:before="32" w:after="32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Concessional financing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47"/>
        <w:gridCol w:w="3147"/>
        <w:gridCol w:w="3147"/>
      </w:tblGrid>
      <w:tr>
        <w:trPr>
          <w:trHeight w:hRule="exact" w:val="238"/>
        </w:trPr>
        <w:tc>
          <w:tcPr>
            <w:tcW w:type="dxa" w:w="5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1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Country Allocation Envelope</w:t>
            </w:r>
          </w:p>
        </w:tc>
        <w:tc>
          <w:tcPr>
            <w:tcW w:type="dxa" w:w="1370"/>
            <w:vMerge w:val="restart"/>
            <w:tcBorders>
              <w:bottom w:sz="8.0" w:val="single" w:color="#6C6C6C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1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62.8 </w:t>
            </w:r>
          </w:p>
        </w:tc>
      </w:tr>
      <w:tr>
        <w:trPr>
          <w:trHeight w:hRule="exact" w:val="240"/>
        </w:trPr>
        <w:tc>
          <w:tcPr>
            <w:tcW w:type="dxa" w:w="5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1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IDA Concessional Windows</w:t>
            </w:r>
          </w:p>
        </w:tc>
        <w:tc>
          <w:tcPr>
            <w:tcW w:type="dxa" w:w="3147"/>
            <w:vMerge/>
            <w:tcBorders>
              <w:bottom w:sz="8.0" w:val="single" w:color="#6C6C6C"/>
            </w:tcBorders>
          </w:tcPr>
          <w:p/>
        </w:tc>
        <w:tc>
          <w:tcPr>
            <w:tcW w:type="dxa" w:w="5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1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21.4 </w:t>
            </w:r>
          </w:p>
        </w:tc>
      </w:tr>
      <w:tr>
        <w:trPr>
          <w:trHeight w:hRule="exact" w:val="240"/>
        </w:trPr>
        <w:tc>
          <w:tcPr>
            <w:tcW w:type="dxa" w:w="5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Non-concessional financing</w:t>
            </w:r>
          </w:p>
        </w:tc>
        <w:tc>
          <w:tcPr>
            <w:tcW w:type="dxa" w:w="3147"/>
            <w:vMerge/>
            <w:tcBorders>
              <w:bottom w:sz="8.0" w:val="single" w:color="#6C6C6C"/>
            </w:tcBorders>
          </w:tcPr>
          <w:p/>
        </w:tc>
        <w:tc>
          <w:tcPr>
            <w:tcW w:type="dxa" w:w="5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6.3 </w:t>
            </w:r>
          </w:p>
        </w:tc>
      </w:tr>
      <w:tr>
        <w:trPr>
          <w:trHeight w:hRule="exact" w:val="240"/>
        </w:trPr>
        <w:tc>
          <w:tcPr>
            <w:tcW w:type="dxa" w:w="5640"/>
            <w:tcBorders>
              <w:bottom w:sz="8.0" w:val="single" w:color="#6C6C6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Private Sector Window</w:t>
            </w:r>
          </w:p>
        </w:tc>
        <w:tc>
          <w:tcPr>
            <w:tcW w:type="dxa" w:w="3147"/>
            <w:vMerge/>
            <w:tcBorders>
              <w:bottom w:sz="8.0" w:val="single" w:color="#6C6C6C"/>
            </w:tcBorders>
          </w:tcPr>
          <w:p/>
        </w:tc>
        <w:tc>
          <w:tcPr>
            <w:tcW w:type="dxa" w:w="510"/>
            <w:tcBorders>
              <w:bottom w:sz="8.0" w:val="single" w:color="#6C6C6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2.5 </w:t>
            </w:r>
          </w:p>
        </w:tc>
      </w:tr>
      <w:tr>
        <w:trPr>
          <w:trHeight w:hRule="exact" w:val="220"/>
        </w:trPr>
        <w:tc>
          <w:tcPr>
            <w:tcW w:type="dxa" w:w="5640"/>
            <w:tcBorders>
              <w:top w:sz="8.0" w:val="single" w:color="#6C6C6C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Total Allocation</w:t>
            </w:r>
          </w:p>
        </w:tc>
        <w:tc>
          <w:tcPr>
            <w:tcW w:type="dxa" w:w="1370"/>
            <w:tcBorders>
              <w:top w:sz="8.0" w:val="single" w:color="#6C6C6C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9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10"/>
            <w:tcBorders>
              <w:top w:sz="8.0" w:val="single" w:color="#6C6C6C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2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93.0 </w:t>
            </w:r>
          </w:p>
        </w:tc>
      </w:tr>
    </w:tbl>
    <w:p>
      <w:pPr>
        <w:autoSpaceDN w:val="0"/>
        <w:tabs>
          <w:tab w:pos="242" w:val="left"/>
        </w:tabs>
        <w:autoSpaceDE w:val="0"/>
        <w:widowControl/>
        <w:spacing w:line="192" w:lineRule="exact" w:before="356" w:after="0"/>
        <w:ind w:left="62" w:right="1872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a. U.S. dollar amounts are based on IDA20 reference rate of USD/SDR 1.42934. The U.S. dollar </w:t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>amounts are provided for reporting purposes only.</w:t>
      </w:r>
    </w:p>
    <w:p>
      <w:pPr>
        <w:autoSpaceDN w:val="0"/>
        <w:autoSpaceDE w:val="0"/>
        <w:widowControl/>
        <w:spacing w:line="222" w:lineRule="exact" w:before="210" w:after="112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of June 30, 2024, 75 countries are eligible to borrow from IDA on concessional terms as follows: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20"/>
        <w:gridCol w:w="4720"/>
      </w:tblGrid>
      <w:tr>
        <w:trPr>
          <w:trHeight w:hRule="exact" w:val="1726"/>
        </w:trPr>
        <w:tc>
          <w:tcPr>
            <w:tcW w:type="dxa" w:w="1174"/>
            <w:vMerge w:val="restart"/>
            <w:tcBorders>
              <w:top w:sz="4.0" w:val="single" w:color="#7F7F7F"/>
              <w:end w:sz="4.0" w:val="single" w:color="#7F7F7F"/>
              <w:bottom w:sz="4.0" w:val="single" w:color="#7F7F7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02" w:val="left"/>
              </w:tabs>
              <w:autoSpaceDE w:val="0"/>
              <w:widowControl/>
              <w:spacing w:line="192" w:lineRule="exact" w:before="1802" w:after="0"/>
              <w:ind w:left="25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IDA eligible </w:t>
            </w:r>
            <w:r>
              <w:tab/>
            </w: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countries</w:t>
            </w:r>
          </w:p>
        </w:tc>
        <w:tc>
          <w:tcPr>
            <w:tcW w:type="dxa" w:w="8194"/>
            <w:tcBorders>
              <w:start w:sz="4.0" w:val="single" w:color="#7F7F7F"/>
              <w:top w:sz="4.0" w:val="single" w:color="#7F7F7F"/>
              <w:bottom w:sz="4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082" w:val="left"/>
              </w:tabs>
              <w:autoSpaceDE w:val="0"/>
              <w:widowControl/>
              <w:spacing w:line="180" w:lineRule="exact" w:before="16" w:after="0"/>
              <w:ind w:left="4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IDA-only </w:t>
            </w:r>
            <w:r>
              <w:tab/>
            </w: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40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countries that (a) have not exceeded the IDA operational cut-off GNI per capita for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more than two consecutive years; and (b) are not creditworthy to borrow from IBRD.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This includes: </w:t>
            </w: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11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Small Island Economies that have per capita incomes above the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IDA operational cut-off for more than two consecutive years, but that have been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granted the status of an “IDA-only Country” under the Small Island Economies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Exception.</w:t>
            </w:r>
          </w:p>
          <w:p>
            <w:pPr>
              <w:autoSpaceDN w:val="0"/>
              <w:autoSpaceDE w:val="0"/>
              <w:widowControl/>
              <w:spacing w:line="184" w:lineRule="exact" w:before="176" w:after="0"/>
              <w:ind w:left="208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2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countries with loans in nonaccrual status, which were classified as “IDA-only” at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time they became nonaccrual countries.</w:t>
            </w:r>
          </w:p>
        </w:tc>
      </w:tr>
      <w:tr>
        <w:trPr>
          <w:trHeight w:hRule="exact" w:val="1048"/>
        </w:trPr>
        <w:tc>
          <w:tcPr>
            <w:tcW w:type="dxa" w:w="4720"/>
            <w:vMerge/>
            <w:tcBorders>
              <w:top w:sz="4.0" w:val="single" w:color="#7F7F7F"/>
              <w:end w:sz="4.0" w:val="single" w:color="#7F7F7F"/>
              <w:bottom w:sz="4.0" w:val="single" w:color="#7F7F7F"/>
            </w:tcBorders>
          </w:tcPr>
          <w:p/>
        </w:tc>
        <w:tc>
          <w:tcPr>
            <w:tcW w:type="dxa" w:w="8194"/>
            <w:tcBorders>
              <w:start w:sz="4.0" w:val="single" w:color="#7F7F7F"/>
              <w:top w:sz="4.0" w:val="single" w:color="#7F7F7F"/>
              <w:bottom w:sz="4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082" w:val="left"/>
              </w:tabs>
              <w:autoSpaceDE w:val="0"/>
              <w:widowControl/>
              <w:spacing w:line="192" w:lineRule="exact" w:before="6" w:after="0"/>
              <w:ind w:left="4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Gap </w:t>
            </w:r>
            <w:r>
              <w:tab/>
            </w: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18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countries that are (a) determined by IDA to be eligible for IDA financing; (b)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determined by IDA to have a GNI per capita that has exceeded the cut-off for 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eligibility for more than two consecutive years; and (c) not currently determined by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IBRD to be creditworthy to borrow from IBRD. This includes </w:t>
            </w: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3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Small States that are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not island states.</w:t>
            </w:r>
          </w:p>
        </w:tc>
      </w:tr>
      <w:tr>
        <w:trPr>
          <w:trHeight w:hRule="exact" w:val="1246"/>
        </w:trPr>
        <w:tc>
          <w:tcPr>
            <w:tcW w:type="dxa" w:w="4720"/>
            <w:vMerge/>
            <w:tcBorders>
              <w:top w:sz="4.0" w:val="single" w:color="#7F7F7F"/>
              <w:end w:sz="4.0" w:val="single" w:color="#7F7F7F"/>
              <w:bottom w:sz="4.0" w:val="single" w:color="#7F7F7F"/>
            </w:tcBorders>
          </w:tcPr>
          <w:p/>
        </w:tc>
        <w:tc>
          <w:tcPr>
            <w:tcW w:type="dxa" w:w="8194"/>
            <w:tcBorders>
              <w:start w:sz="4.0" w:val="single" w:color="#7F7F7F"/>
              <w:top w:sz="4.0" w:val="single" w:color="#7F7F7F"/>
              <w:bottom w:sz="4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082" w:val="left"/>
              </w:tabs>
              <w:autoSpaceDE w:val="0"/>
              <w:widowControl/>
              <w:spacing w:line="192" w:lineRule="exact" w:before="6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Blend </w:t>
            </w:r>
            <w:r>
              <w:tab/>
            </w: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14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countries that are determined: (a) by IDA to be eligible for IDA financing; and (b)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by IBRD to be creditworthy to borrow from IBRD. This includes </w:t>
            </w: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6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Small Island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Economies and </w:t>
            </w: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Small State that is not an island state.</w:t>
            </w:r>
          </w:p>
          <w:p>
            <w:pPr>
              <w:autoSpaceDN w:val="0"/>
              <w:autoSpaceDE w:val="0"/>
              <w:widowControl/>
              <w:spacing w:line="192" w:lineRule="exact" w:before="120" w:after="0"/>
              <w:ind w:left="208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country with loans in nonaccrual status, which was classified as “Blend” at the time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it became a nonaccrual country.</w:t>
            </w:r>
          </w:p>
        </w:tc>
      </w:tr>
    </w:tbl>
    <w:p>
      <w:pPr>
        <w:autoSpaceDN w:val="0"/>
        <w:tabs>
          <w:tab w:pos="9206" w:val="left"/>
        </w:tabs>
        <w:autoSpaceDE w:val="0"/>
        <w:widowControl/>
        <w:spacing w:line="224" w:lineRule="exact" w:before="490" w:after="0"/>
        <w:ind w:left="32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Management's Discussion and Analysis:  June 30, 2024 </w:t>
      </w:r>
      <w:r>
        <w:rPr>
          <w:rFonts w:ascii="ArialMT" w:hAnsi="ArialMT" w:eastAsia="ArialMT"/>
          <w:b w:val="0"/>
          <w:i w:val="0"/>
          <w:color w:val="000000"/>
          <w:sz w:val="20"/>
        </w:rPr>
        <w:t>9</w:t>
      </w:r>
    </w:p>
    <w:p>
      <w:pPr>
        <w:sectPr>
          <w:pgSz w:w="12240" w:h="15840"/>
          <w:pgMar w:top="360" w:right="1370" w:bottom="424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7"/>
        <w:gridCol w:w="4717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III: IDA’s Financial Resources</w:t>
            </w:r>
          </w:p>
        </w:tc>
      </w:tr>
    </w:tbl>
    <w:p>
      <w:pPr>
        <w:autoSpaceDN w:val="0"/>
        <w:autoSpaceDE w:val="0"/>
        <w:widowControl/>
        <w:spacing w:line="240" w:lineRule="exact" w:before="378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financing is provided in the form of loans, grants, and guarantees. Most of IDA’s resources are allocated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eligible members through IDA Country Allocations that provide unearmarked support. The allocation framework is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agreed for each replenishment cycle. IDA Country Allocations are determined using the Performance Based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Allocation (PBA) system, which takes into account the country’s performance rating (CPR), population size and per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capita income, and complemented by the FCV envelope. The rest of IDA resources are provided through five IDA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Windows dedicated to addressing specific development priorities, and an Arrears Clearance framework that provides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exceptional support for countries to fully reengage with the World Bank.</w:t>
      </w:r>
    </w:p>
    <w:p>
      <w:pPr>
        <w:autoSpaceDN w:val="0"/>
        <w:autoSpaceDE w:val="0"/>
        <w:widowControl/>
        <w:spacing w:line="222" w:lineRule="exact" w:before="138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IDA responds to specific needs of its members through the following five IDA Windows:</w:t>
      </w:r>
    </w:p>
    <w:p>
      <w:pPr>
        <w:autoSpaceDN w:val="0"/>
        <w:autoSpaceDE w:val="0"/>
        <w:widowControl/>
        <w:spacing w:line="178" w:lineRule="exact" w:before="150" w:after="0"/>
        <w:ind w:left="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Figure 1: IDA Windows</w:t>
      </w:r>
    </w:p>
    <w:p>
      <w:pPr>
        <w:autoSpaceDN w:val="0"/>
        <w:autoSpaceDE w:val="0"/>
        <w:widowControl/>
        <w:spacing w:line="240" w:lineRule="auto" w:before="102" w:after="0"/>
        <w:ind w:left="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937760" cy="279781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797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184" w:lineRule="exact" w:before="66" w:after="72"/>
        <w:ind w:left="4" w:right="5472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 xml:space="preserve">Table 3: Cumulative Net Commitments under IDA20 </w:t>
      </w:r>
      <w:r>
        <w:br/>
      </w: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358"/>
        <w:gridCol w:w="2358"/>
        <w:gridCol w:w="2358"/>
        <w:gridCol w:w="2358"/>
      </w:tblGrid>
      <w:tr>
        <w:trPr>
          <w:trHeight w:hRule="exact" w:val="434"/>
        </w:trPr>
        <w:tc>
          <w:tcPr>
            <w:tcW w:type="dxa" w:w="3164"/>
            <w:tcBorders>
              <w:bottom w:sz="4.0" w:val="single" w:color="#7F7F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0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As of June 30, 2024</w:t>
            </w:r>
          </w:p>
        </w:tc>
        <w:tc>
          <w:tcPr>
            <w:tcW w:type="dxa" w:w="3240"/>
            <w:tcBorders>
              <w:bottom w:sz="4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806" w:val="left"/>
              </w:tabs>
              <w:autoSpaceDE w:val="0"/>
              <w:widowControl/>
              <w:spacing w:line="160" w:lineRule="exact" w:before="78" w:after="0"/>
              <w:ind w:left="1718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 xml:space="preserve">Loans 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Guarantees</w:t>
            </w:r>
          </w:p>
        </w:tc>
        <w:tc>
          <w:tcPr>
            <w:tcW w:type="dxa" w:w="1840"/>
            <w:tcBorders>
              <w:bottom w:sz="4.0" w:val="single" w:color="#7F7F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Grants</w:t>
            </w:r>
          </w:p>
        </w:tc>
        <w:tc>
          <w:tcPr>
            <w:tcW w:type="dxa" w:w="1124"/>
            <w:tcBorders>
              <w:bottom w:sz="4.0" w:val="single" w:color="#7F7F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0" w:after="0"/>
              <w:ind w:left="0" w:right="5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Total</w:t>
            </w:r>
          </w:p>
        </w:tc>
      </w:tr>
    </w:tbl>
    <w:p>
      <w:pPr>
        <w:autoSpaceDN w:val="0"/>
        <w:autoSpaceDE w:val="0"/>
        <w:widowControl/>
        <w:spacing w:line="178" w:lineRule="exact" w:before="28" w:after="32"/>
        <w:ind w:left="11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Concessional financing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4.00000000000006" w:type="dxa"/>
      </w:tblPr>
      <w:tblGrid>
        <w:gridCol w:w="1887"/>
        <w:gridCol w:w="1887"/>
        <w:gridCol w:w="1887"/>
        <w:gridCol w:w="1887"/>
        <w:gridCol w:w="1887"/>
      </w:tblGrid>
      <w:tr>
        <w:trPr>
          <w:trHeight w:hRule="exact" w:val="242"/>
        </w:trPr>
        <w:tc>
          <w:tcPr>
            <w:tcW w:type="dxa" w:w="2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14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IDA Country Allocations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50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33,867 $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9,326 $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43,193 </w:t>
            </w:r>
          </w:p>
        </w:tc>
      </w:tr>
    </w:tbl>
    <w:p>
      <w:pPr>
        <w:autoSpaceDN w:val="0"/>
        <w:autoSpaceDE w:val="0"/>
        <w:widowControl/>
        <w:spacing w:line="178" w:lineRule="exact" w:before="28" w:after="32"/>
        <w:ind w:left="27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IDA Concessional Windows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4.00000000000006" w:type="dxa"/>
      </w:tblPr>
      <w:tblGrid>
        <w:gridCol w:w="2358"/>
        <w:gridCol w:w="2358"/>
        <w:gridCol w:w="2358"/>
        <w:gridCol w:w="2358"/>
      </w:tblGrid>
      <w:tr>
        <w:trPr>
          <w:trHeight w:hRule="exact" w:val="204"/>
        </w:trPr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24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Regional Window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6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2,361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3,066 </w:t>
            </w:r>
          </w:p>
        </w:tc>
        <w:tc>
          <w:tcPr>
            <w:tcW w:type="dxa" w:w="11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5,427 </w:t>
            </w:r>
          </w:p>
        </w:tc>
      </w:tr>
      <w:tr>
        <w:trPr>
          <w:trHeight w:hRule="exact" w:val="240"/>
        </w:trPr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2" w:after="0"/>
              <w:ind w:left="24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Window for Host Communities and Refugees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2" w:after="0"/>
              <w:ind w:left="0" w:right="6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350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1,286 </w:t>
            </w:r>
          </w:p>
        </w:tc>
        <w:tc>
          <w:tcPr>
            <w:tcW w:type="dxa" w:w="11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2" w:after="0"/>
              <w:ind w:left="0" w:right="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1,636 </w:t>
            </w:r>
          </w:p>
        </w:tc>
      </w:tr>
      <w:tr>
        <w:trPr>
          <w:trHeight w:hRule="exact" w:val="240"/>
        </w:trPr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2" w:after="0"/>
              <w:ind w:left="24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Crisis Response Window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2" w:after="0"/>
              <w:ind w:left="0" w:right="6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759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1,707 </w:t>
            </w:r>
          </w:p>
        </w:tc>
        <w:tc>
          <w:tcPr>
            <w:tcW w:type="dxa" w:w="11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2" w:after="0"/>
              <w:ind w:left="0" w:right="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2,466 </w:t>
            </w:r>
          </w:p>
        </w:tc>
      </w:tr>
      <w:tr>
        <w:trPr>
          <w:trHeight w:hRule="exact" w:val="278"/>
        </w:trPr>
        <w:tc>
          <w:tcPr>
            <w:tcW w:type="dxa" w:w="4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20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Scale-up Window – Shorter Maturity Loans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0" w:after="0"/>
              <w:ind w:left="0" w:right="6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6,033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0" w:after="0"/>
              <w:ind w:left="0" w:right="65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1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0" w:after="0"/>
              <w:ind w:left="0" w:right="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6,033 </w:t>
            </w:r>
          </w:p>
        </w:tc>
      </w:tr>
    </w:tbl>
    <w:p>
      <w:pPr>
        <w:autoSpaceDN w:val="0"/>
        <w:autoSpaceDE w:val="0"/>
        <w:widowControl/>
        <w:spacing w:line="178" w:lineRule="exact" w:before="30" w:after="6"/>
        <w:ind w:left="14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Non-concessional financing including Scale-up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87"/>
        <w:gridCol w:w="1887"/>
        <w:gridCol w:w="1887"/>
        <w:gridCol w:w="1887"/>
        <w:gridCol w:w="1887"/>
      </w:tblGrid>
      <w:tr>
        <w:trPr>
          <w:trHeight w:hRule="exact" w:val="222"/>
        </w:trPr>
        <w:tc>
          <w:tcPr>
            <w:tcW w:type="dxa" w:w="4044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14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Window</w:t>
            </w:r>
          </w:p>
        </w:tc>
        <w:tc>
          <w:tcPr>
            <w:tcW w:type="dxa" w:w="7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70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5,485 </w:t>
            </w:r>
          </w:p>
        </w:tc>
        <w:tc>
          <w:tcPr>
            <w:tcW w:type="dxa" w:w="17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71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90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5,485 </w:t>
            </w:r>
          </w:p>
        </w:tc>
      </w:tr>
      <w:tr>
        <w:trPr>
          <w:trHeight w:hRule="exact" w:val="220"/>
        </w:trPr>
        <w:tc>
          <w:tcPr>
            <w:tcW w:type="dxa" w:w="4044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Total Cumulative Net Commitments </w:t>
            </w:r>
            <w:r>
              <w:rPr>
                <w:w w:val="103.99999618530273"/>
                <w:rFonts w:ascii="Arial" w:hAnsi="Arial" w:eastAsia="Arial"/>
                <w:b/>
                <w:i w:val="0"/>
                <w:color w:val="000000"/>
                <w:sz w:val="10"/>
              </w:rPr>
              <w:t>a b</w:t>
            </w:r>
          </w:p>
        </w:tc>
        <w:tc>
          <w:tcPr>
            <w:tcW w:type="dxa" w:w="700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7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48,855 $ </w:t>
            </w:r>
          </w:p>
        </w:tc>
        <w:tc>
          <w:tcPr>
            <w:tcW w:type="dxa" w:w="17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15,385 $ </w:t>
            </w:r>
          </w:p>
        </w:tc>
        <w:tc>
          <w:tcPr>
            <w:tcW w:type="dxa" w:w="1090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6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64,240 </w:t>
            </w:r>
          </w:p>
        </w:tc>
      </w:tr>
    </w:tbl>
    <w:p>
      <w:pPr>
        <w:autoSpaceDN w:val="0"/>
        <w:tabs>
          <w:tab w:pos="236" w:val="left"/>
        </w:tabs>
        <w:autoSpaceDE w:val="0"/>
        <w:widowControl/>
        <w:spacing w:line="192" w:lineRule="exact" w:before="280" w:after="0"/>
        <w:ind w:left="56" w:right="864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a. Commitments are net of full cancellations and terminations relating to commitments approved in the same fiscal year. </w:t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>Commitments exclude IDA-IFC-MIGA Private Sector Window (PSW) activities.</w:t>
      </w:r>
    </w:p>
    <w:p>
      <w:pPr>
        <w:autoSpaceDN w:val="0"/>
        <w:autoSpaceDE w:val="0"/>
        <w:widowControl/>
        <w:spacing w:line="178" w:lineRule="exact" w:before="62" w:after="0"/>
        <w:ind w:left="56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b. Excludes IDA19 Commitments of $1.2 billion credits approved in July 2022.</w:t>
      </w:r>
    </w:p>
    <w:p>
      <w:pPr>
        <w:autoSpaceDN w:val="0"/>
        <w:autoSpaceDE w:val="0"/>
        <w:widowControl/>
        <w:spacing w:line="244" w:lineRule="exact" w:before="202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Allocation - Performance Based Allocation (PBA) System</w:t>
      </w:r>
    </w:p>
    <w:p>
      <w:pPr>
        <w:autoSpaceDN w:val="0"/>
        <w:autoSpaceDE w:val="0"/>
        <w:widowControl/>
        <w:spacing w:line="240" w:lineRule="exact" w:before="130" w:after="0"/>
        <w:ind w:left="4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IDA’s resources are allocated to eligible members, using its PBA system and the allocation framework agreed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during each replenishment. These allocations depend on several factors: the overall availability of IDA’s resources,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individual country needs, their policy performance and institutional capacity, and each country’s performance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relative to others. The PBA system is designed to provide resources where they are likely to be most helpful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reducing poverty. </w:t>
      </w:r>
    </w:p>
    <w:p>
      <w:pPr>
        <w:autoSpaceDN w:val="0"/>
        <w:tabs>
          <w:tab w:pos="656" w:val="left"/>
        </w:tabs>
        <w:autoSpaceDE w:val="0"/>
        <w:widowControl/>
        <w:spacing w:line="224" w:lineRule="exact" w:before="55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Management's Discussion and Analysis:  June 30, 2024</w:t>
      </w:r>
    </w:p>
    <w:p>
      <w:pPr>
        <w:sectPr>
          <w:pgSz w:w="12240" w:h="15840"/>
          <w:pgMar w:top="360" w:right="1370" w:bottom="424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7"/>
        <w:gridCol w:w="4717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III: IDA’s Financial Resources</w:t>
            </w:r>
          </w:p>
        </w:tc>
      </w:tr>
    </w:tbl>
    <w:p>
      <w:pPr>
        <w:autoSpaceDN w:val="0"/>
        <w:autoSpaceDE w:val="0"/>
        <w:widowControl/>
        <w:spacing w:line="240" w:lineRule="exact" w:before="378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Under the PBA, the main factor that determines the allocation of IDA’s core concessional resources among eligible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countries is their performance in the Country Policy and Institutional Assessment (CPIA). The CPIA reflects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results of an exercise that rates eligible countries against a set of criteria including economic management; structural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policies; policies for social inclusion and equity; and public-sector management and institutions. The CPIA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portfolio performance together constitute the IDA Country Performance Rating (CPR). In addition to the CPR,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population, and per capita income are factored into a country’s allocation, along with the annual base allocation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(SDR15 million per country). In addition, country allocations provide the FCV envelope to enhance support for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eligible countries facing different FCV risks. The Sustainable Development Finance Policy (SDFP), which became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effective at the beginning of IDA19, aims to incentivize IDA-eligible countries to move towards transparent,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sustainable financing and to promote coordination between IDA and other creditors in support of these countries’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efforts to address their debt-related vulnerabilities. A set-aside from or a discount of IDA’s country allocation are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used to incentivize satisfactory implementation of Performance and Policy Actions. Countries which demonstrate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satisfactory progress in implementing their Performance and Policy Actions have access to their full annual country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allocation. Countries that do not satisfactorily implement their Performance and Policy Actions will either have 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share of their country allocation set aside or their country allocation reduced.</w:t>
      </w:r>
    </w:p>
    <w:p>
      <w:pPr>
        <w:autoSpaceDN w:val="0"/>
        <w:autoSpaceDE w:val="0"/>
        <w:widowControl/>
        <w:spacing w:line="240" w:lineRule="exact" w:before="120" w:after="0"/>
        <w:ind w:left="4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recognition of the change in IDA’s business model starting in IDA18, and to ensure that its lending decisions are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compatible with the capital adequacy requirements of a triple-A rating, the allocation framework for IDA20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continues to be aligned with the Single Borrower Limit (SBL) and capital adequacy requirements under the DSC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Framework, see Section IX: Risk Management.</w:t>
      </w:r>
    </w:p>
    <w:p>
      <w:pPr>
        <w:autoSpaceDN w:val="0"/>
        <w:autoSpaceDE w:val="0"/>
        <w:widowControl/>
        <w:spacing w:line="244" w:lineRule="exact" w:before="130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Concessional Financing</w:t>
      </w:r>
    </w:p>
    <w:p>
      <w:pPr>
        <w:autoSpaceDN w:val="0"/>
        <w:autoSpaceDE w:val="0"/>
        <w:widowControl/>
        <w:spacing w:line="240" w:lineRule="exact" w:before="13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Concessional financing is provided in the form of loans, grants and guarantees. Eligibility and percentage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allocation for grants for IDA-only countries is based on an assessment of the country’s risk of debt distress, where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countries, including IDA-only Small States, with high risk of debt distress, or in debt distress, receive their IDA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assistance in grants. IDA-only Small States at moderate risk of debt distress continue to receive half of their IDA20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allocation in grants and half in loans. Gap and Blend countries are only eligible for grant financing through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Window for Host Communities and Refugees, if applicable.</w:t>
      </w:r>
    </w:p>
    <w:p>
      <w:pPr>
        <w:autoSpaceDN w:val="0"/>
        <w:autoSpaceDE w:val="0"/>
        <w:widowControl/>
        <w:spacing w:line="240" w:lineRule="exact" w:before="12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part of IDA’s balance sheet optimization measures, two new financing terms have been introduced in IDA20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which carry no interest or service charges: a) Concessional Shorter-Maturity Loans (SMLs); and b) 50-year loans.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See Figure 2 for Overview of IDA20 Financing Terms. In addition, starting from IDA20, the borrowers are offered,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part of the loan agreement, an option to convert their concessional borrowing into one of the SDR component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currencies or non-SDR local currency terms, at their choice and subject to market availability.</w:t>
      </w:r>
    </w:p>
    <w:p>
      <w:pPr>
        <w:autoSpaceDN w:val="0"/>
        <w:autoSpaceDE w:val="0"/>
        <w:widowControl/>
        <w:spacing w:line="178" w:lineRule="exact" w:before="150" w:after="0"/>
        <w:ind w:left="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Figure 2: Overview of IDA20 Financing Terms</w:t>
      </w:r>
    </w:p>
    <w:p>
      <w:pPr>
        <w:autoSpaceDN w:val="0"/>
        <w:autoSpaceDE w:val="0"/>
        <w:widowControl/>
        <w:spacing w:line="240" w:lineRule="auto" w:before="102" w:after="0"/>
        <w:ind w:left="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715000" cy="28574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tabs>
          <w:tab w:pos="9104" w:val="left"/>
        </w:tabs>
        <w:autoSpaceDE w:val="0"/>
        <w:widowControl/>
        <w:spacing w:line="224" w:lineRule="exact" w:before="510" w:after="0"/>
        <w:ind w:left="329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Management's Discussion and Analysis: 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11</w:t>
      </w:r>
    </w:p>
    <w:p>
      <w:pPr>
        <w:sectPr>
          <w:pgSz w:w="12240" w:h="15840"/>
          <w:pgMar w:top="360" w:right="1370" w:bottom="424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7"/>
        <w:gridCol w:w="4717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III: IDA’s Financial Resources</w:t>
            </w:r>
          </w:p>
        </w:tc>
      </w:tr>
    </w:tbl>
    <w:p>
      <w:pPr>
        <w:autoSpaceDN w:val="0"/>
        <w:autoSpaceDE w:val="0"/>
        <w:widowControl/>
        <w:spacing w:line="240" w:lineRule="exact" w:before="378" w:after="0"/>
        <w:ind w:left="4" w:right="20" w:firstLine="0"/>
        <w:jc w:val="both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The Country Allocation Envelope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 represents $62.8 billion of the IDA20 resource envelope, and is allocated based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on the PBA. The amount available for each country is a function of the country’s CPR rating, population, and per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capita income, complemented by the FCV envelope, where applicable. With the introduction of new financing terms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IDA20, some IDA countries receive a portion of their country allocations as concessional SMLs. In addition,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IDA-only countries at moderate risk of debt distress, with the exception of Small States, receive their country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allocations as 50-year loans. Previously, these countries were eligible for half grants and half loans.</w:t>
      </w:r>
    </w:p>
    <w:p>
      <w:pPr>
        <w:autoSpaceDN w:val="0"/>
        <w:autoSpaceDE w:val="0"/>
        <w:widowControl/>
        <w:spacing w:line="240" w:lineRule="exact" w:before="120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IDA Concessional Windows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 allow IDA to respond to specific needs of its members. In IDA20, $21.4 billion of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IDA20 resource envelope will be used to fund the following:</w:t>
      </w:r>
    </w:p>
    <w:p>
      <w:pPr>
        <w:autoSpaceDN w:val="0"/>
        <w:tabs>
          <w:tab w:pos="364" w:val="left"/>
        </w:tabs>
        <w:autoSpaceDE w:val="0"/>
        <w:widowControl/>
        <w:spacing w:line="222" w:lineRule="exact" w:before="138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$7.9 billion of Regional Window.</w:t>
      </w:r>
    </w:p>
    <w:p>
      <w:pPr>
        <w:autoSpaceDN w:val="0"/>
        <w:tabs>
          <w:tab w:pos="364" w:val="left"/>
        </w:tabs>
        <w:autoSpaceDE w:val="0"/>
        <w:widowControl/>
        <w:spacing w:line="222" w:lineRule="exact" w:before="78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$2.4 billion of Window for Host Communities and Refugees.</w:t>
      </w:r>
    </w:p>
    <w:p>
      <w:pPr>
        <w:autoSpaceDN w:val="0"/>
        <w:tabs>
          <w:tab w:pos="364" w:val="left"/>
        </w:tabs>
        <w:autoSpaceDE w:val="0"/>
        <w:widowControl/>
        <w:spacing w:line="222" w:lineRule="exact" w:before="78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$3.3 billion of Crisis Response Window.</w:t>
      </w:r>
    </w:p>
    <w:p>
      <w:pPr>
        <w:autoSpaceDN w:val="0"/>
        <w:tabs>
          <w:tab w:pos="364" w:val="left"/>
        </w:tabs>
        <w:autoSpaceDE w:val="0"/>
        <w:widowControl/>
        <w:spacing w:line="222" w:lineRule="exact" w:before="78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$7.8 billion of Concessional Scale-up Window (SUW) – SMLs.</w:t>
      </w:r>
    </w:p>
    <w:p>
      <w:pPr>
        <w:autoSpaceDN w:val="0"/>
        <w:autoSpaceDE w:val="0"/>
        <w:widowControl/>
        <w:spacing w:line="220" w:lineRule="exact" w:before="136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Regional Window</w:t>
      </w:r>
    </w:p>
    <w:p>
      <w:pPr>
        <w:autoSpaceDN w:val="0"/>
        <w:autoSpaceDE w:val="0"/>
        <w:widowControl/>
        <w:spacing w:line="240" w:lineRule="exact" w:before="124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Regional Window was developed as a funding mechanism to provide additional resources to finance projects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that help low</w:t>
      </w:r>
      <w:r>
        <w:rPr>
          <w:rFonts w:ascii="Quivira" w:hAnsi="Quivira" w:eastAsia="Quivira"/>
          <w:b w:val="0"/>
          <w:i w:val="0"/>
          <w:color w:val="000000"/>
          <w:sz w:val="20"/>
        </w:rPr>
        <w:t>-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income countries achieve their regional integration objectives. IDA fosters regional integration by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playing three overlapping roles:</w:t>
      </w:r>
    </w:p>
    <w:p>
      <w:pPr>
        <w:autoSpaceDN w:val="0"/>
        <w:tabs>
          <w:tab w:pos="364" w:val="left"/>
        </w:tabs>
        <w:autoSpaceDE w:val="0"/>
        <w:widowControl/>
        <w:spacing w:line="222" w:lineRule="exact" w:before="138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supporting an enabling environment through advisory and analytical work; </w:t>
      </w:r>
    </w:p>
    <w:p>
      <w:pPr>
        <w:autoSpaceDN w:val="0"/>
        <w:tabs>
          <w:tab w:pos="364" w:val="left"/>
        </w:tabs>
        <w:autoSpaceDE w:val="0"/>
        <w:widowControl/>
        <w:spacing w:line="222" w:lineRule="exact" w:before="78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financing projects through policy and investment loans; and</w:t>
      </w:r>
    </w:p>
    <w:p>
      <w:pPr>
        <w:autoSpaceDN w:val="0"/>
        <w:tabs>
          <w:tab w:pos="364" w:val="left"/>
        </w:tabs>
        <w:autoSpaceDE w:val="0"/>
        <w:widowControl/>
        <w:spacing w:line="222" w:lineRule="exact" w:before="78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convening state and nonstate actors for coordination and collective actions.</w:t>
      </w:r>
    </w:p>
    <w:p>
      <w:pPr>
        <w:autoSpaceDN w:val="0"/>
        <w:autoSpaceDE w:val="0"/>
        <w:widowControl/>
        <w:spacing w:line="220" w:lineRule="exact" w:before="136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Window for Host Communities and Refugees (WHR)</w:t>
      </w:r>
    </w:p>
    <w:p>
      <w:pPr>
        <w:autoSpaceDN w:val="0"/>
        <w:autoSpaceDE w:val="0"/>
        <w:widowControl/>
        <w:spacing w:line="240" w:lineRule="exact" w:before="124" w:after="0"/>
        <w:ind w:left="4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Window for Host Communities and Refugees will support operations that promote medium-to long-term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development opportunities for refugee and host communities in IDA countries. The purpose of the WHR is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support refugee hosting countries to: </w:t>
      </w:r>
    </w:p>
    <w:p>
      <w:pPr>
        <w:autoSpaceDN w:val="0"/>
        <w:tabs>
          <w:tab w:pos="364" w:val="left"/>
        </w:tabs>
        <w:autoSpaceDE w:val="0"/>
        <w:widowControl/>
        <w:spacing w:line="222" w:lineRule="exact" w:before="138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create social and economic development opportunities for refugee and host communities; </w:t>
      </w:r>
    </w:p>
    <w:p>
      <w:pPr>
        <w:autoSpaceDN w:val="0"/>
        <w:tabs>
          <w:tab w:pos="364" w:val="left"/>
        </w:tabs>
        <w:autoSpaceDE w:val="0"/>
        <w:widowControl/>
        <w:spacing w:line="240" w:lineRule="exact" w:before="60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facilitate solutions that include sustainable socio-economic inclusion of refugees in the host country and/or their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return to the country of origin; and </w:t>
      </w:r>
    </w:p>
    <w:p>
      <w:pPr>
        <w:autoSpaceDN w:val="0"/>
        <w:tabs>
          <w:tab w:pos="364" w:val="left"/>
        </w:tabs>
        <w:autoSpaceDE w:val="0"/>
        <w:widowControl/>
        <w:spacing w:line="222" w:lineRule="exact" w:before="78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strengthen country preparedness for increased or potential new refugee flow.</w:t>
      </w:r>
    </w:p>
    <w:p>
      <w:pPr>
        <w:autoSpaceDN w:val="0"/>
        <w:autoSpaceDE w:val="0"/>
        <w:widowControl/>
        <w:spacing w:line="220" w:lineRule="exact" w:before="136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Crisis Response Window (CRW)</w:t>
      </w:r>
    </w:p>
    <w:p>
      <w:pPr>
        <w:autoSpaceDN w:val="0"/>
        <w:autoSpaceDE w:val="0"/>
        <w:widowControl/>
        <w:spacing w:line="240" w:lineRule="exact" w:before="124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primary objective of the CRW is to provide IDA countries with additional resources that will help them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respond to major natural disasters, or public health emergencies and severe economic crises so that they can return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to their long-term development paths. This $3.3 billion window under the IDA20 resource envelope includes an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allocation of up to $1.0 billion under the CRW Early Response Financing (ERF) to enable IDA countries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intervene earlier in response to slower-onset crises, namely disease outbreaks and food insecurity.</w:t>
      </w:r>
    </w:p>
    <w:p>
      <w:pPr>
        <w:autoSpaceDN w:val="0"/>
        <w:autoSpaceDE w:val="0"/>
        <w:widowControl/>
        <w:spacing w:line="220" w:lineRule="exact" w:before="136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 xml:space="preserve">Concessional Scale-up Window – Shorter Maturity Loans (SUW-SML) </w:t>
      </w:r>
    </w:p>
    <w:p>
      <w:pPr>
        <w:autoSpaceDN w:val="0"/>
        <w:autoSpaceDE w:val="0"/>
        <w:widowControl/>
        <w:spacing w:line="240" w:lineRule="exact" w:before="124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Shorter Maturity Loans under the Scale-up Window will provide additional concessional resources with an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allocation of $7.8 billion in eligible countries i.e., IDA-only countries at low or moderate risk of debt distress, as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well as Gap and Blend countries (except Small States that are at high risk or in debt distress).</w:t>
      </w:r>
    </w:p>
    <w:p>
      <w:pPr>
        <w:autoSpaceDN w:val="0"/>
        <w:autoSpaceDE w:val="0"/>
        <w:widowControl/>
        <w:spacing w:line="244" w:lineRule="exact" w:before="130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Non-Concessional Financing</w:t>
      </w:r>
    </w:p>
    <w:p>
      <w:pPr>
        <w:autoSpaceDN w:val="0"/>
        <w:autoSpaceDE w:val="0"/>
        <w:widowControl/>
        <w:spacing w:line="240" w:lineRule="exact" w:before="130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Non-Concessional financing comprises loans and guarantees whose terms are aligned with those of IBRD’s flexible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loans and guarantees. Under the IDA20 resource envelope, $6.3 billion of resources have been allocated to non-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concessional financing which entirely relates to the regular Scale-up Window. </w:t>
      </w:r>
    </w:p>
    <w:p>
      <w:pPr>
        <w:autoSpaceDN w:val="0"/>
        <w:autoSpaceDE w:val="0"/>
        <w:widowControl/>
        <w:spacing w:line="240" w:lineRule="exact" w:before="120" w:after="0"/>
        <w:ind w:left="4" w:right="20" w:firstLine="0"/>
        <w:jc w:val="both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 xml:space="preserve">Non-Concessional Scale-up Window: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Non-Concessional Scale-up Window is a window of resources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established to enhance support for high-quality, transformational, country-specific and/or regional operations with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strong development impact. Allocation of Non-Concessional Scale-up Window resources to the regions will broadly </w:t>
      </w:r>
    </w:p>
    <w:p>
      <w:pPr>
        <w:autoSpaceDN w:val="0"/>
        <w:tabs>
          <w:tab w:pos="656" w:val="left"/>
        </w:tabs>
        <w:autoSpaceDE w:val="0"/>
        <w:widowControl/>
        <w:spacing w:line="224" w:lineRule="exact" w:before="580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Management's Discussion and Analysis:  June 30, 2024</w:t>
      </w:r>
    </w:p>
    <w:p>
      <w:pPr>
        <w:sectPr>
          <w:pgSz w:w="12240" w:h="15840"/>
          <w:pgMar w:top="360" w:right="1370" w:bottom="424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7"/>
        <w:gridCol w:w="4717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III: IDA’s Financial Resources</w:t>
            </w:r>
          </w:p>
        </w:tc>
      </w:tr>
    </w:tbl>
    <w:p>
      <w:pPr>
        <w:autoSpaceDN w:val="0"/>
        <w:autoSpaceDE w:val="0"/>
        <w:widowControl/>
        <w:spacing w:line="240" w:lineRule="exact" w:before="378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conform to the allocations under the PBA, excluding countries at a high risk of debt distress. Allocations are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balanced between IDA-only and Blend countries, and to avoid countries from having a concentration of Non-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Concessional Scale-up Window resources. Implementation arrangements will prioritize a country’s ability to absorb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resources and the proposed projects’ alignment with IDA20 policy priorities and the debt-related Sustainable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Development Finance Policy.</w:t>
      </w:r>
    </w:p>
    <w:p>
      <w:pPr>
        <w:autoSpaceDN w:val="0"/>
        <w:autoSpaceDE w:val="0"/>
        <w:widowControl/>
        <w:spacing w:line="244" w:lineRule="exact" w:before="130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 xml:space="preserve">Private Sector Window (PSW) </w:t>
      </w:r>
    </w:p>
    <w:p>
      <w:pPr>
        <w:autoSpaceDN w:val="0"/>
        <w:autoSpaceDE w:val="0"/>
        <w:widowControl/>
        <w:spacing w:line="240" w:lineRule="exact" w:before="13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IDA-IFC-MIGA Private Sector Window was created under IDA18 to mobilize private sector investment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IDA-only countries and IDA-eligible Fragile and Conflict-affected Situations. Under IDA20, $2.5 billion has been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allocated to PSW, bringing the cumulative total allocation to $5.5 billion. As of  June 30, 2024, $2.1 billion had been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utilized out of a cumulative combined total of $4.7 billion committed in IDA18 through IDA20.</w:t>
      </w:r>
    </w:p>
    <w:p>
      <w:pPr>
        <w:autoSpaceDN w:val="0"/>
        <w:autoSpaceDE w:val="0"/>
        <w:widowControl/>
        <w:spacing w:line="240" w:lineRule="exact" w:before="120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PSW is deployed through facilities designed to target critical challenges faced by the private sector and will leverage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IFC and MIGA’s business platforms and instruments.</w:t>
      </w:r>
    </w:p>
    <w:p>
      <w:pPr>
        <w:autoSpaceDN w:val="0"/>
        <w:autoSpaceDE w:val="0"/>
        <w:widowControl/>
        <w:spacing w:line="244" w:lineRule="exact" w:before="130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Arrears Clearance Framework</w:t>
      </w:r>
    </w:p>
    <w:p>
      <w:pPr>
        <w:autoSpaceDN w:val="0"/>
        <w:autoSpaceDE w:val="0"/>
        <w:widowControl/>
        <w:spacing w:line="240" w:lineRule="exact" w:before="13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has a policy of not providing additional financing to borrowers who are overdue on their payments to IDA 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IBRD. However, IDA may engage with these countries under limited and clearly defined circumstances. IDA’s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arrears clearance framework sets out these circumstances, including (i) pre-arrears clearance grants; and (ii)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arrears clearance set-aside, that can only be financed under the arrears clearance operations. In IDA20, no allocation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was set aside towards arrears clearance to support the possible reengagement of IDA countries that are currently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arrears. However, during the IDA20 period, should meaningful progress arise in any country in arrears, 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reallocation discussion with IDA members will be initiated.</w:t>
      </w:r>
    </w:p>
    <w:p>
      <w:pPr>
        <w:autoSpaceDN w:val="0"/>
        <w:tabs>
          <w:tab w:pos="364" w:val="left"/>
        </w:tabs>
        <w:autoSpaceDE w:val="0"/>
        <w:widowControl/>
        <w:spacing w:line="220" w:lineRule="exact" w:before="136" w:after="0"/>
        <w:ind w:left="4" w:right="0" w:firstLine="0"/>
        <w:jc w:val="left"/>
      </w:pPr>
      <w:r>
        <w:rPr>
          <w:rFonts w:ascii="TimesNewRoman" w:hAnsi="TimesNewRoman" w:eastAsia="TimesNewRoman"/>
          <w:b/>
          <w:i/>
          <w:color w:val="000000"/>
          <w:sz w:val="20"/>
        </w:rPr>
        <w:t xml:space="preserve">i. </w:t>
      </w:r>
      <w:r>
        <w:tab/>
      </w:r>
      <w:r>
        <w:rPr>
          <w:rFonts w:ascii="TimesNewRoman" w:hAnsi="TimesNewRoman" w:eastAsia="TimesNewRoman"/>
          <w:b/>
          <w:i/>
          <w:color w:val="000000"/>
          <w:sz w:val="20"/>
        </w:rPr>
        <w:t>Pre-Arrears Clearance Grants (PACG)</w:t>
      </w:r>
    </w:p>
    <w:p>
      <w:pPr>
        <w:autoSpaceDN w:val="0"/>
        <w:autoSpaceDE w:val="0"/>
        <w:widowControl/>
        <w:spacing w:line="240" w:lineRule="exact" w:before="124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PACG mechanism enables IDA to engage early in support of a government undertaking convincing reforms.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This was first introduced in IDA12 to be used to finance high priority activities related to the preparation of 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program of social and economic recovery and to build resilience until the arrears are fully cleared. Conditions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constituting this framework include indications that:</w:t>
      </w:r>
    </w:p>
    <w:p>
      <w:pPr>
        <w:autoSpaceDN w:val="0"/>
        <w:tabs>
          <w:tab w:pos="364" w:val="left"/>
        </w:tabs>
        <w:autoSpaceDE w:val="0"/>
        <w:widowControl/>
        <w:spacing w:line="240" w:lineRule="exact" w:before="120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early performance is promising as evidenced by the recipient country having taken convincing steps towards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social and economic recovery.</w:t>
      </w:r>
    </w:p>
    <w:p>
      <w:pPr>
        <w:autoSpaceDN w:val="0"/>
        <w:tabs>
          <w:tab w:pos="364" w:val="left"/>
        </w:tabs>
        <w:autoSpaceDE w:val="0"/>
        <w:widowControl/>
        <w:spacing w:line="240" w:lineRule="exact" w:before="60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arrears to IDA and/or IBRD are large and protracted and cannot be easily or quickly cleared using domestic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resources.</w:t>
      </w:r>
    </w:p>
    <w:p>
      <w:pPr>
        <w:autoSpaceDN w:val="0"/>
        <w:tabs>
          <w:tab w:pos="364" w:val="left"/>
        </w:tabs>
        <w:autoSpaceDE w:val="0"/>
        <w:widowControl/>
        <w:spacing w:line="240" w:lineRule="exact" w:before="60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 concerted international effort to provide positive financial flows and other assistance is underway, and other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creditors have agreed not to make net withdrawals of financial resources from the country.</w:t>
      </w:r>
    </w:p>
    <w:p>
      <w:pPr>
        <w:autoSpaceDN w:val="0"/>
        <w:tabs>
          <w:tab w:pos="364" w:val="left"/>
        </w:tabs>
        <w:autoSpaceDE w:val="0"/>
        <w:widowControl/>
        <w:spacing w:line="240" w:lineRule="exact" w:before="120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alternative sources of financing for post-conflict recovery are inadequate or available only on inappropriate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terms; and </w:t>
      </w:r>
    </w:p>
    <w:p>
      <w:pPr>
        <w:autoSpaceDN w:val="0"/>
        <w:tabs>
          <w:tab w:pos="364" w:val="left"/>
        </w:tabs>
        <w:autoSpaceDE w:val="0"/>
        <w:widowControl/>
        <w:spacing w:line="240" w:lineRule="exact" w:before="60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Pari passu sharing arrangements are in place between preferred creditors, for any payments made by the country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in advance of arrears clearance.</w:t>
      </w:r>
    </w:p>
    <w:p>
      <w:pPr>
        <w:autoSpaceDN w:val="0"/>
        <w:autoSpaceDE w:val="0"/>
        <w:widowControl/>
        <w:spacing w:line="240" w:lineRule="exact" w:before="120" w:after="0"/>
        <w:ind w:left="4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PACG program has met its objectives with each of the prior PACG recipients successfully clearing all their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arrears to IDA. Prior PACG recipients are Democratic Republic of the Congo, Cote d’Ivoire, Afghanistan, Liberia,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Myanmar, Somalia, and Sudan for a total of $802 million between FY01 and FY24.</w:t>
      </w:r>
    </w:p>
    <w:p>
      <w:pPr>
        <w:autoSpaceDN w:val="0"/>
        <w:tabs>
          <w:tab w:pos="364" w:val="left"/>
        </w:tabs>
        <w:autoSpaceDE w:val="0"/>
        <w:widowControl/>
        <w:spacing w:line="220" w:lineRule="exact" w:before="136" w:after="0"/>
        <w:ind w:left="4" w:right="0" w:firstLine="0"/>
        <w:jc w:val="left"/>
      </w:pPr>
      <w:r>
        <w:rPr>
          <w:rFonts w:ascii="TimesNewRoman" w:hAnsi="TimesNewRoman" w:eastAsia="TimesNewRoman"/>
          <w:b/>
          <w:i/>
          <w:color w:val="000000"/>
          <w:sz w:val="20"/>
        </w:rPr>
        <w:t xml:space="preserve">ii. </w:t>
      </w:r>
      <w:r>
        <w:tab/>
      </w:r>
      <w:r>
        <w:rPr>
          <w:rFonts w:ascii="TimesNewRoman" w:hAnsi="TimesNewRoman" w:eastAsia="TimesNewRoman"/>
          <w:b/>
          <w:i/>
          <w:color w:val="000000"/>
          <w:sz w:val="20"/>
        </w:rPr>
        <w:t>Arrears Clearance Set-Aside</w:t>
      </w:r>
    </w:p>
    <w:p>
      <w:pPr>
        <w:autoSpaceDN w:val="0"/>
        <w:autoSpaceDE w:val="0"/>
        <w:widowControl/>
        <w:spacing w:line="240" w:lineRule="exact" w:before="124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Arrears Clearance Set-Aside (ACSA) forms part of IDA’s overall financing commitments. It is financed by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additional member contributions under the replenishments. In IDA15, the arrears clearance was further enhanced.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members agreed to ring-fence arrears clearance support to IDA countries that were in arrears as of December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31, 2006 and meet a very narrow and well-defined set of criteria– see below, including eligibility for support under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Heavily Indebted Poor Countries (HIPC) debt initiative. Amounts were set aside within the IDA replenishment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so that when circumstances allow, IDA would be able to help countries clear arrears and fully re-engage with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World Bank. </w:t>
      </w:r>
    </w:p>
    <w:p>
      <w:pPr>
        <w:autoSpaceDN w:val="0"/>
        <w:tabs>
          <w:tab w:pos="9088" w:val="left"/>
        </w:tabs>
        <w:autoSpaceDE w:val="0"/>
        <w:widowControl/>
        <w:spacing w:line="224" w:lineRule="exact" w:before="676" w:after="0"/>
        <w:ind w:left="329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Management's Discussion and Analysis: 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13</w:t>
      </w:r>
    </w:p>
    <w:p>
      <w:pPr>
        <w:sectPr>
          <w:pgSz w:w="12240" w:h="15840"/>
          <w:pgMar w:top="360" w:right="1370" w:bottom="424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7"/>
        <w:gridCol w:w="4717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III: IDA’s Financial Resources</w:t>
            </w:r>
          </w:p>
        </w:tc>
      </w:tr>
    </w:tbl>
    <w:p>
      <w:pPr>
        <w:autoSpaceDN w:val="0"/>
        <w:autoSpaceDE w:val="0"/>
        <w:widowControl/>
        <w:spacing w:line="222" w:lineRule="exact" w:before="396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To be considered for any arrears clearance support, the country would need to meet the following criteria: </w:t>
      </w:r>
    </w:p>
    <w:p>
      <w:pPr>
        <w:autoSpaceDN w:val="0"/>
        <w:tabs>
          <w:tab w:pos="364" w:val="left"/>
        </w:tabs>
        <w:autoSpaceDE w:val="0"/>
        <w:widowControl/>
        <w:spacing w:line="222" w:lineRule="exact" w:before="138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be eligible for HIPC debt relief; </w:t>
      </w:r>
    </w:p>
    <w:p>
      <w:pPr>
        <w:autoSpaceDN w:val="0"/>
        <w:tabs>
          <w:tab w:pos="364" w:val="left"/>
        </w:tabs>
        <w:autoSpaceDE w:val="0"/>
        <w:widowControl/>
        <w:spacing w:line="222" w:lineRule="exact" w:before="78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agree to implement a medium-term growth-oriented reform program endorsed by the World Bank;</w:t>
      </w:r>
    </w:p>
    <w:p>
      <w:pPr>
        <w:autoSpaceDN w:val="0"/>
        <w:tabs>
          <w:tab w:pos="364" w:val="left"/>
        </w:tabs>
        <w:autoSpaceDE w:val="0"/>
        <w:widowControl/>
        <w:spacing w:line="222" w:lineRule="exact" w:before="78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ensure a sustainable macro and sustainable debt service after arrears clearance;</w:t>
      </w:r>
    </w:p>
    <w:p>
      <w:pPr>
        <w:autoSpaceDN w:val="0"/>
        <w:tabs>
          <w:tab w:pos="364" w:val="left"/>
        </w:tabs>
        <w:autoSpaceDE w:val="0"/>
        <w:widowControl/>
        <w:spacing w:line="222" w:lineRule="exact" w:before="78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agree on a stabilization program endorsed by the International Monetary Fund (IMF) management and </w:t>
      </w:r>
    </w:p>
    <w:p>
      <w:pPr>
        <w:autoSpaceDN w:val="0"/>
        <w:autoSpaceDE w:val="0"/>
        <w:widowControl/>
        <w:spacing w:line="222" w:lineRule="exact" w:before="18" w:after="0"/>
        <w:ind w:left="36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monitored by IMF staff or supported by an IMF arrangement; and </w:t>
      </w:r>
    </w:p>
    <w:p>
      <w:pPr>
        <w:autoSpaceDN w:val="0"/>
        <w:tabs>
          <w:tab w:pos="364" w:val="left"/>
        </w:tabs>
        <w:autoSpaceDE w:val="0"/>
        <w:widowControl/>
        <w:spacing w:line="222" w:lineRule="exact" w:before="78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agree to a financing plan for full clearance of arrears, including normalization with other Multilateral </w:t>
      </w:r>
    </w:p>
    <w:p>
      <w:pPr>
        <w:autoSpaceDN w:val="0"/>
        <w:autoSpaceDE w:val="0"/>
        <w:widowControl/>
        <w:spacing w:line="222" w:lineRule="exact" w:before="18" w:after="0"/>
        <w:ind w:left="36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Development Banks (MDBs).</w:t>
      </w:r>
    </w:p>
    <w:p>
      <w:pPr>
        <w:autoSpaceDN w:val="0"/>
        <w:autoSpaceDE w:val="0"/>
        <w:widowControl/>
        <w:spacing w:line="222" w:lineRule="exact" w:before="138" w:after="0"/>
        <w:ind w:left="0" w:right="0" w:firstLine="0"/>
        <w:jc w:val="center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addition, to receive support for arrears clearance, project proposals should meet re-engagement criteria based on </w:t>
      </w:r>
    </w:p>
    <w:p>
      <w:pPr>
        <w:autoSpaceDN w:val="0"/>
        <w:autoSpaceDE w:val="0"/>
        <w:widowControl/>
        <w:spacing w:line="222" w:lineRule="exact" w:before="18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facts and circumstances of each case.</w:t>
      </w:r>
    </w:p>
    <w:p>
      <w:pPr>
        <w:autoSpaceDN w:val="0"/>
        <w:tabs>
          <w:tab w:pos="656" w:val="left"/>
        </w:tabs>
        <w:autoSpaceDE w:val="0"/>
        <w:widowControl/>
        <w:spacing w:line="224" w:lineRule="exact" w:before="10504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Management's Discussion and Analysis:  June 30, 2024</w:t>
      </w:r>
    </w:p>
    <w:p>
      <w:pPr>
        <w:sectPr>
          <w:pgSz w:w="12240" w:h="15840"/>
          <w:pgMar w:top="360" w:right="1370" w:bottom="424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20"/>
        <w:gridCol w:w="4720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IV: Financial Results</w:t>
            </w:r>
          </w:p>
        </w:tc>
      </w:tr>
    </w:tbl>
    <w:p>
      <w:pPr>
        <w:autoSpaceDN w:val="0"/>
        <w:autoSpaceDE w:val="0"/>
        <w:widowControl/>
        <w:spacing w:line="314" w:lineRule="exact" w:before="438" w:after="0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Section IV: Financial Results</w:t>
      </w:r>
    </w:p>
    <w:p>
      <w:pPr>
        <w:autoSpaceDN w:val="0"/>
        <w:autoSpaceDE w:val="0"/>
        <w:widowControl/>
        <w:spacing w:line="268" w:lineRule="exact" w:before="342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Financial Results and Portfolio Performance</w:t>
      </w:r>
    </w:p>
    <w:p>
      <w:pPr>
        <w:autoSpaceDN w:val="0"/>
        <w:autoSpaceDE w:val="0"/>
        <w:widowControl/>
        <w:spacing w:line="244" w:lineRule="exact" w:before="134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Net Income</w:t>
      </w:r>
    </w:p>
    <w:p>
      <w:pPr>
        <w:autoSpaceDN w:val="0"/>
        <w:autoSpaceDE w:val="0"/>
        <w:widowControl/>
        <w:spacing w:line="240" w:lineRule="exact" w:before="13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had a net loss of $3,573 million in FY24 compared with a net loss of $3,262 million in FY23 (Table 4).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higher net loss was primarily driven by an increase of $1,345 million in development grant expenses due to higher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disbursements of conditional grants in FY24 as the conditions for expense recognition were met, and an increase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$659 million in borrowing expenses as a result of the increase in average interest rates and higher average balance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borrowings outstanding in FY24 compared to FY23.</w:t>
      </w:r>
    </w:p>
    <w:p>
      <w:pPr>
        <w:autoSpaceDN w:val="0"/>
        <w:autoSpaceDE w:val="0"/>
        <w:widowControl/>
        <w:spacing w:line="244" w:lineRule="exact" w:before="130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Adjusted Net Income</w:t>
      </w:r>
    </w:p>
    <w:p>
      <w:pPr>
        <w:autoSpaceDN w:val="0"/>
        <w:autoSpaceDE w:val="0"/>
        <w:widowControl/>
        <w:spacing w:line="240" w:lineRule="exact" w:before="130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Adjusted Net Income, a non-GAAP measure, reflects the economic results of IDA’s operations and is used by IDA’s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management and the Board as a financial sustainability measure. ANI is defined as IDA’s net income, adjusted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exclude the following items.</w:t>
      </w:r>
    </w:p>
    <w:p>
      <w:pPr>
        <w:autoSpaceDN w:val="0"/>
        <w:tabs>
          <w:tab w:pos="370" w:val="left"/>
        </w:tabs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/>
          <w:color w:val="000000"/>
          <w:sz w:val="20"/>
        </w:rPr>
        <w:t xml:space="preserve">Development financing activities directly funded by contributions from members: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These are mainly comprised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of development grants, provision for HIPC / Multilateral Debt Relief Initiative (MDRI) debt relief, and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amortization of discounts on CPL. For financial reporting, these activities are treated as expenses, while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contributions from members which finance these activities, are reflected directly in IDA’s equity.</w:t>
      </w:r>
    </w:p>
    <w:p>
      <w:pPr>
        <w:autoSpaceDN w:val="0"/>
        <w:tabs>
          <w:tab w:pos="370" w:val="left"/>
        </w:tabs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/>
          <w:color w:val="000000"/>
          <w:sz w:val="20"/>
        </w:rPr>
        <w:t xml:space="preserve">Contributions/grants received from affiliated organizations or other similar contributions: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These are mainly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comprised of contributions from IBRD, IFC and other contributions from trust funds. These are intended to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finance development activities similar to member contributions but are not directly included in equity as they do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not carry voting rights.</w:t>
      </w:r>
    </w:p>
    <w:p>
      <w:pPr>
        <w:autoSpaceDN w:val="0"/>
        <w:tabs>
          <w:tab w:pos="370" w:val="left"/>
        </w:tabs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/>
          <w:color w:val="000000"/>
          <w:sz w:val="20"/>
        </w:rPr>
        <w:t xml:space="preserve">Non-functional currency translation adjustment (gains) losses: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These represent unrealized exchange rate gains/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losses resulting from the translation of loans, borrowings, development grants payable and all other assets and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liabilities still held on IDA’s Balance Sheet that are denominated in currencies other than the component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currencies of SDR.</w:t>
      </w:r>
    </w:p>
    <w:p>
      <w:pPr>
        <w:autoSpaceDN w:val="0"/>
        <w:tabs>
          <w:tab w:pos="370" w:val="left"/>
        </w:tabs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/>
          <w:color w:val="000000"/>
          <w:sz w:val="20"/>
        </w:rPr>
        <w:t>Unrealized mark-to-market gains/losses on non-trading portfolios: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 These are mainly comprised of unrealized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mark-to-market gains and losses on the asset/liability management (ALM), borrowing, and non-trading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investment portfolios. For the purpose of ANI, the result of loan revenue hedges is not part of the adjustment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related to unrealized mark-to-market gains/losses on non-trading portfolio since the objective of the loan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revenue hedges is to stabilize IDA’s revenue against any currency risk.</w:t>
      </w:r>
    </w:p>
    <w:p>
      <w:pPr>
        <w:autoSpaceDN w:val="0"/>
        <w:tabs>
          <w:tab w:pos="370" w:val="left"/>
        </w:tabs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/>
          <w:color w:val="000000"/>
          <w:sz w:val="20"/>
        </w:rPr>
        <w:t xml:space="preserve">Unrealized mark-to-market gains/losses on certain positions in the investment trading portfolios, net: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adjustment applies to trades where the unrealized gains and losses on derivative forward contracts are recorded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the income statement and the underlying physical assets being purchased and sold are recorded at amortized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cost during the holding period.  In these cases, the unrealized gains and losses on the forward contract at the end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of the reporting period (if any) are excluded from net income when calculating adjusted net income.</w:t>
      </w:r>
    </w:p>
    <w:p>
      <w:pPr>
        <w:autoSpaceDN w:val="0"/>
        <w:tabs>
          <w:tab w:pos="370" w:val="left"/>
        </w:tabs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/>
          <w:color w:val="000000"/>
          <w:sz w:val="20"/>
        </w:rPr>
        <w:t xml:space="preserve">Pension, Post-Employment Benefit Plan (PEBP) and Post-Retirement Contribution Reserve (PCRF) </w:t>
      </w:r>
      <w:r>
        <w:tab/>
      </w:r>
      <w:r>
        <w:rPr>
          <w:rFonts w:ascii="TimesNewRoman" w:hAnsi="TimesNewRoman" w:eastAsia="TimesNewRoman"/>
          <w:b w:val="0"/>
          <w:i/>
          <w:color w:val="000000"/>
          <w:sz w:val="20"/>
        </w:rPr>
        <w:t xml:space="preserve">adjustments: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While IDA is not a participating sponsor to these benefit plans, IDA shares in the costs and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reimburses IBRD for its proportionate share of any contributions made to these plans by IBRD, as part of a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Board-approved cost sharing ratio. The Pension adjustment reflects the difference between IDA’s share of cash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contributions to both the pension plans and PCRF, and the accounting expense, as well as the investment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revenue earned on those assets related to the PEBP and PCRF. The PCRF was established by the Board to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stabilize contributions to the pension and post-retirement benefits plans. Management has designated the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income from these assets to meet the needs of the pension plans. As a result, PEBP and PCRF investment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revenue is excluded from adjusted net income.</w:t>
      </w:r>
    </w:p>
    <w:p>
      <w:pPr>
        <w:autoSpaceDN w:val="0"/>
        <w:tabs>
          <w:tab w:pos="9094" w:val="left"/>
        </w:tabs>
        <w:autoSpaceDE w:val="0"/>
        <w:widowControl/>
        <w:spacing w:line="224" w:lineRule="exact" w:before="1308" w:after="0"/>
        <w:ind w:left="32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Management's Discussion and Analysis: 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15</w:t>
      </w:r>
    </w:p>
    <w:p>
      <w:pPr>
        <w:sectPr>
          <w:pgSz w:w="12240" w:h="15840"/>
          <w:pgMar w:top="360" w:right="1370" w:bottom="424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358"/>
        <w:gridCol w:w="2358"/>
        <w:gridCol w:w="2358"/>
        <w:gridCol w:w="2358"/>
      </w:tblGrid>
      <w:tr>
        <w:trPr>
          <w:trHeight w:hRule="exact" w:val="284"/>
        </w:trPr>
        <w:tc>
          <w:tcPr>
            <w:tcW w:type="dxa" w:w="3964"/>
            <w:gridSpan w:val="3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6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IV: Financial Results</w:t>
            </w:r>
          </w:p>
        </w:tc>
      </w:tr>
      <w:tr>
        <w:trPr>
          <w:trHeight w:hRule="exact" w:val="676"/>
        </w:trPr>
        <w:tc>
          <w:tcPr>
            <w:tcW w:type="dxa" w:w="204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390" w:after="0"/>
              <w:ind w:left="4" w:right="0" w:firstLine="0"/>
              <w:jc w:val="left"/>
            </w:pP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220"/>
            <w:gridSpan w:val="3"/>
            <w:tcBorders>
              <w:top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390" w:after="0"/>
              <w:ind w:left="160" w:right="0" w:firstLine="0"/>
              <w:jc w:val="left"/>
            </w:pPr>
            <w:r>
              <w:rPr>
                <w:rFonts w:ascii="TimesNewRoman" w:hAnsi="TimesNewRoman" w:eastAsia="TimesNewRoman"/>
                <w:b w:val="0"/>
                <w:i/>
                <w:color w:val="000000"/>
                <w:sz w:val="20"/>
              </w:rPr>
              <w:t>Other Adjustments:</w:t>
            </w:r>
          </w:p>
        </w:tc>
      </w:tr>
      <w:tr>
        <w:trPr>
          <w:trHeight w:hRule="exact" w:val="310"/>
        </w:trPr>
        <w:tc>
          <w:tcPr>
            <w:tcW w:type="dxa" w:w="5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80" w:after="0"/>
              <w:ind w:left="0" w:right="114" w:firstLine="0"/>
              <w:jc w:val="right"/>
            </w:pP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>i.</w:t>
            </w:r>
          </w:p>
        </w:tc>
        <w:tc>
          <w:tcPr>
            <w:tcW w:type="dxa" w:w="8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80" w:after="0"/>
              <w:ind w:left="140" w:right="0" w:firstLine="0"/>
              <w:jc w:val="left"/>
            </w:pP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Under certain arrangements (such as Externally Funded Outputs (EFOs)), IDA receives a share of the </w:t>
            </w:r>
          </w:p>
        </w:tc>
      </w:tr>
    </w:tbl>
    <w:p>
      <w:pPr>
        <w:autoSpaceDN w:val="0"/>
        <w:autoSpaceDE w:val="0"/>
        <w:widowControl/>
        <w:spacing w:line="238" w:lineRule="exact" w:before="0" w:after="0"/>
        <w:ind w:left="72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revenue earned from agreements with donors under which funds received are to be used to finance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specified outputs or services. These funds may be utilized only for the purposes specified in the agreements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and are therefore considered contractually restricted until applied for these purposes. Income attributable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these arrangements is excluded from reported income when determining adjusted net income since there is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no discretion about the use of these funds.</w:t>
      </w:r>
    </w:p>
    <w:p>
      <w:pPr>
        <w:autoSpaceDN w:val="0"/>
        <w:tabs>
          <w:tab w:pos="724" w:val="left"/>
        </w:tabs>
        <w:autoSpaceDE w:val="0"/>
        <w:widowControl/>
        <w:spacing w:line="240" w:lineRule="exact" w:before="120" w:after="0"/>
        <w:ind w:left="36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ii.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Under the Board-approved framework, RAMP fees are dedicated for the purpose of providing technical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assistance and asset management services to external clients. Due to the potential timing mismatch between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fee revenue (recognized as earned) and program expenditures (recognized as incurred), fees earned in a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given fiscal year may be used to provide services in a future fiscal year. To ensure that RAMP revenues are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only used for the delivery of RAMP services, and not allocated for other purposes, any difference between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fee revenue and expenses from RAMP included in reported net income is excluded to arrive at adjusted net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income.</w:t>
      </w:r>
    </w:p>
    <w:p>
      <w:pPr>
        <w:autoSpaceDN w:val="0"/>
        <w:autoSpaceDE w:val="0"/>
        <w:widowControl/>
        <w:spacing w:line="240" w:lineRule="exact" w:before="240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IDA’s adjusted net income was $780 million in FY24, compared with adjusted net income of $193 million in FY23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(Table 4). The increase was primarily driven by the following factors: </w:t>
      </w:r>
    </w:p>
    <w:p>
      <w:pPr>
        <w:autoSpaceDN w:val="0"/>
        <w:tabs>
          <w:tab w:pos="724" w:val="left"/>
        </w:tabs>
        <w:autoSpaceDE w:val="0"/>
        <w:widowControl/>
        <w:spacing w:line="236" w:lineRule="exact" w:before="148" w:after="0"/>
        <w:ind w:left="364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 decrease of $413 million in the provision expense for losses on loans and other exposures, excluding the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provision expense for HIPC/MDRI and grant advances, mainly attributable to a lower loss given default, a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reduction in the expected default frequency from the update of the assumptions that is performed quarterly,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and a lower increase in loan and other exposures during the year;</w:t>
      </w:r>
    </w:p>
    <w:p>
      <w:pPr>
        <w:autoSpaceDN w:val="0"/>
        <w:tabs>
          <w:tab w:pos="724" w:val="left"/>
        </w:tabs>
        <w:autoSpaceDE w:val="0"/>
        <w:widowControl/>
        <w:spacing w:line="240" w:lineRule="exact" w:before="48" w:after="0"/>
        <w:ind w:left="36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 increase of $383 million in net interest revenue from loans due to the higher average balance and the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increase in interest rates on non-concessional loans in FY24 compared to FY23;</w:t>
      </w:r>
    </w:p>
    <w:p>
      <w:pPr>
        <w:autoSpaceDN w:val="0"/>
        <w:tabs>
          <w:tab w:pos="724" w:val="left"/>
        </w:tabs>
        <w:autoSpaceDE w:val="0"/>
        <w:widowControl/>
        <w:spacing w:line="240" w:lineRule="exact" w:before="60" w:after="0"/>
        <w:ind w:left="36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 increase of $304 million in unrealized mark-to-market gains on the investment-trading portfolio,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excluding IDA’s share of returns from PEBP and PCRF assets, mainly driven by the decrease in yields on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EUR denominated bonds in FY24 compared to FY23;</w:t>
      </w:r>
    </w:p>
    <w:p>
      <w:pPr>
        <w:autoSpaceDN w:val="0"/>
        <w:tabs>
          <w:tab w:pos="724" w:val="left"/>
        </w:tabs>
        <w:autoSpaceDE w:val="0"/>
        <w:widowControl/>
        <w:spacing w:line="240" w:lineRule="exact" w:before="60" w:after="0"/>
        <w:ind w:left="36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 increase of $264 million in net interest revenue on investments as a result of both higher average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interest rates and a higher average portfolio balance in FY24 compared to FY23,</w:t>
      </w:r>
    </w:p>
    <w:p>
      <w:pPr>
        <w:autoSpaceDN w:val="0"/>
        <w:autoSpaceDE w:val="0"/>
        <w:widowControl/>
        <w:spacing w:line="222" w:lineRule="exact" w:before="138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partially offset by:</w:t>
      </w:r>
    </w:p>
    <w:p>
      <w:pPr>
        <w:autoSpaceDN w:val="0"/>
        <w:tabs>
          <w:tab w:pos="724" w:val="left"/>
        </w:tabs>
        <w:autoSpaceDE w:val="0"/>
        <w:widowControl/>
        <w:spacing w:line="240" w:lineRule="exact" w:before="120" w:after="0"/>
        <w:ind w:left="36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 increase of $653 million in borrowing expenses, excluding amortization of the discount on CPL, as a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result of the increase in average interest rates and higher average balance of borrowings outstanding in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FY24 compared to FY23.</w:t>
      </w:r>
    </w:p>
    <w:p>
      <w:pPr>
        <w:autoSpaceDN w:val="0"/>
        <w:tabs>
          <w:tab w:pos="656" w:val="left"/>
        </w:tabs>
        <w:autoSpaceDE w:val="0"/>
        <w:widowControl/>
        <w:spacing w:line="224" w:lineRule="exact" w:before="4924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Management's Discussion and Analysis:  June 30, 2024</w:t>
      </w:r>
    </w:p>
    <w:p>
      <w:pPr>
        <w:sectPr>
          <w:pgSz w:w="12240" w:h="15840"/>
          <w:pgMar w:top="360" w:right="1370" w:bottom="424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76"/>
        <w:gridCol w:w="4776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IV: Financial Results</w:t>
            </w:r>
          </w:p>
        </w:tc>
      </w:tr>
    </w:tbl>
    <w:p>
      <w:pPr>
        <w:autoSpaceDN w:val="0"/>
        <w:autoSpaceDE w:val="0"/>
        <w:widowControl/>
        <w:spacing w:line="178" w:lineRule="exact" w:before="408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Table 4: Condensed Statements of Income</w:t>
      </w:r>
    </w:p>
    <w:p>
      <w:pPr>
        <w:autoSpaceDN w:val="0"/>
        <w:autoSpaceDE w:val="0"/>
        <w:widowControl/>
        <w:spacing w:line="178" w:lineRule="exact" w:before="14" w:after="0"/>
        <w:ind w:left="1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p>
      <w:pPr>
        <w:autoSpaceDN w:val="0"/>
        <w:autoSpaceDE w:val="0"/>
        <w:widowControl/>
        <w:spacing w:line="178" w:lineRule="exact" w:before="134" w:after="52"/>
        <w:ind w:left="0" w:right="858" w:firstLine="0"/>
        <w:jc w:val="right"/>
      </w:pPr>
      <w:r>
        <w:rPr>
          <w:rFonts w:ascii="Arial" w:hAnsi="Arial" w:eastAsia="Arial"/>
          <w:b w:val="0"/>
          <w:i/>
          <w:color w:val="808080"/>
          <w:sz w:val="16"/>
        </w:rPr>
        <w:t>Impact on Income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1910"/>
        <w:gridCol w:w="1910"/>
        <w:gridCol w:w="1910"/>
        <w:gridCol w:w="1910"/>
        <w:gridCol w:w="1910"/>
      </w:tblGrid>
      <w:tr>
        <w:trPr>
          <w:trHeight w:hRule="exact" w:val="264"/>
        </w:trPr>
        <w:tc>
          <w:tcPr>
            <w:tcW w:type="dxa" w:w="4004"/>
            <w:tcBorders>
              <w:bottom w:sz="4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4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For the fiscal year ended June 30 ,</w:t>
            </w:r>
          </w:p>
        </w:tc>
        <w:tc>
          <w:tcPr>
            <w:tcW w:type="dxa" w:w="2020"/>
            <w:tcBorders>
              <w:bottom w:sz="4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4" w:after="0"/>
              <w:ind w:left="0" w:right="1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2024</w:t>
            </w:r>
          </w:p>
        </w:tc>
        <w:tc>
          <w:tcPr>
            <w:tcW w:type="dxa" w:w="780"/>
            <w:tcBorders>
              <w:bottom w:sz="4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2023</w:t>
            </w:r>
          </w:p>
        </w:tc>
        <w:tc>
          <w:tcPr>
            <w:tcW w:type="dxa" w:w="1280"/>
            <w:tcBorders>
              <w:bottom w:sz="4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808080"/>
                <w:sz w:val="16"/>
              </w:rPr>
              <w:t>Decrease</w:t>
            </w:r>
          </w:p>
        </w:tc>
        <w:tc>
          <w:tcPr>
            <w:tcW w:type="dxa" w:w="1284"/>
            <w:tcBorders>
              <w:bottom w:sz="4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808080"/>
                <w:sz w:val="16"/>
              </w:rPr>
              <w:t>Increase</w:t>
            </w:r>
          </w:p>
        </w:tc>
      </w:tr>
    </w:tbl>
    <w:p>
      <w:pPr>
        <w:autoSpaceDN w:val="0"/>
        <w:autoSpaceDE w:val="0"/>
        <w:widowControl/>
        <w:spacing w:line="178" w:lineRule="exact" w:before="76" w:after="34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Interest Revenue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1592"/>
        <w:gridCol w:w="1592"/>
        <w:gridCol w:w="1592"/>
        <w:gridCol w:w="1592"/>
        <w:gridCol w:w="1592"/>
        <w:gridCol w:w="1592"/>
      </w:tblGrid>
      <w:tr>
        <w:trPr>
          <w:trHeight w:hRule="exact" w:val="240"/>
        </w:trPr>
        <w:tc>
          <w:tcPr>
            <w:tcW w:type="dxa" w:w="52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Loans, net </w:t>
            </w:r>
          </w:p>
        </w:tc>
        <w:tc>
          <w:tcPr>
            <w:tcW w:type="dxa" w:w="142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$ 2,639 $ 2,256 </w:t>
            </w:r>
          </w:p>
        </w:tc>
        <w:tc>
          <w:tcPr>
            <w:tcW w:type="dxa" w:w="596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898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9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383</w:t>
            </w:r>
          </w:p>
        </w:tc>
      </w:tr>
      <w:tr>
        <w:trPr>
          <w:trHeight w:hRule="exact" w:val="284"/>
        </w:trPr>
        <w:tc>
          <w:tcPr>
            <w:tcW w:type="dxa" w:w="52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06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Investments, net</w:t>
            </w:r>
          </w:p>
        </w:tc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92" w:after="0"/>
              <w:ind w:left="0" w:right="15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1,317 </w:t>
            </w:r>
          </w:p>
        </w:tc>
        <w:tc>
          <w:tcPr>
            <w:tcW w:type="dxa" w:w="5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9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1,053</w:t>
            </w:r>
          </w:p>
        </w:tc>
        <w:tc>
          <w:tcPr>
            <w:tcW w:type="dxa" w:w="596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898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9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88" w:after="0"/>
              <w:ind w:left="2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264</w:t>
            </w:r>
          </w:p>
        </w:tc>
      </w:tr>
      <w:tr>
        <w:trPr>
          <w:trHeight w:hRule="exact" w:val="328"/>
        </w:trPr>
        <w:tc>
          <w:tcPr>
            <w:tcW w:type="dxa" w:w="52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18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Asset-liability management derivatives, net</w:t>
            </w:r>
          </w:p>
        </w:tc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92" w:after="0"/>
              <w:ind w:left="0" w:right="15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58 </w:t>
            </w:r>
          </w:p>
        </w:tc>
        <w:tc>
          <w:tcPr>
            <w:tcW w:type="dxa" w:w="58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92" w:after="0"/>
              <w:ind w:left="0" w:right="6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596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898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9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90" w:after="0"/>
              <w:ind w:left="9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43</w:t>
            </w:r>
          </w:p>
        </w:tc>
      </w:tr>
      <w:tr>
        <w:trPr>
          <w:trHeight w:hRule="exact" w:val="284"/>
        </w:trPr>
        <w:tc>
          <w:tcPr>
            <w:tcW w:type="dxa" w:w="529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Borrowing expenses, net</w:t>
            </w:r>
          </w:p>
        </w:tc>
        <w:tc>
          <w:tcPr>
            <w:tcW w:type="dxa" w:w="84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(1,616) </w:t>
            </w:r>
          </w:p>
        </w:tc>
        <w:tc>
          <w:tcPr>
            <w:tcW w:type="dxa" w:w="584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6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(957)</w:t>
            </w:r>
          </w:p>
        </w:tc>
        <w:tc>
          <w:tcPr>
            <w:tcW w:type="dxa" w:w="59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98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(659)</w:t>
            </w:r>
          </w:p>
        </w:tc>
        <w:tc>
          <w:tcPr>
            <w:tcW w:type="dxa" w:w="942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6"/>
        </w:trPr>
        <w:tc>
          <w:tcPr>
            <w:tcW w:type="dxa" w:w="52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6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Interest Revenue, net of borrowing expenses</w:t>
            </w:r>
          </w:p>
        </w:tc>
        <w:tc>
          <w:tcPr>
            <w:tcW w:type="dxa" w:w="1428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$ 2,398 $ 2,367 </w:t>
            </w:r>
          </w:p>
        </w:tc>
        <w:tc>
          <w:tcPr>
            <w:tcW w:type="dxa" w:w="5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98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4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7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31</w:t>
            </w:r>
          </w:p>
        </w:tc>
      </w:tr>
      <w:tr>
        <w:trPr>
          <w:trHeight w:hRule="exact" w:val="240"/>
        </w:trPr>
        <w:tc>
          <w:tcPr>
            <w:tcW w:type="dxa" w:w="529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1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Provision for losses on loans and other exposures</w:t>
            </w:r>
          </w:p>
        </w:tc>
        <w:tc>
          <w:tcPr>
            <w:tcW w:type="dxa" w:w="84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1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(275) </w:t>
            </w:r>
          </w:p>
        </w:tc>
        <w:tc>
          <w:tcPr>
            <w:tcW w:type="dxa" w:w="58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(688) </w:t>
            </w:r>
          </w:p>
        </w:tc>
        <w:tc>
          <w:tcPr>
            <w:tcW w:type="dxa" w:w="59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98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42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413</w:t>
            </w:r>
          </w:p>
        </w:tc>
      </w:tr>
      <w:tr>
        <w:trPr>
          <w:trHeight w:hRule="exact" w:val="280"/>
        </w:trPr>
        <w:tc>
          <w:tcPr>
            <w:tcW w:type="dxa" w:w="52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Other revenue (expenses), net (Table 11) </w:t>
            </w:r>
          </w:p>
        </w:tc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94" w:after="0"/>
              <w:ind w:left="0" w:right="15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28 </w:t>
            </w:r>
          </w:p>
        </w:tc>
        <w:tc>
          <w:tcPr>
            <w:tcW w:type="dxa" w:w="5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94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55 </w:t>
            </w:r>
          </w:p>
        </w:tc>
        <w:tc>
          <w:tcPr>
            <w:tcW w:type="dxa" w:w="59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89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92" w:after="0"/>
              <w:ind w:left="0" w:right="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(27)</w:t>
            </w:r>
          </w:p>
        </w:tc>
        <w:tc>
          <w:tcPr>
            <w:tcW w:type="dxa" w:w="94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76" w:after="0"/>
              <w:ind w:left="9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40</w:t>
            </w:r>
          </w:p>
        </w:tc>
      </w:tr>
      <w:tr>
        <w:trPr>
          <w:trHeight w:hRule="exact" w:val="280"/>
        </w:trPr>
        <w:tc>
          <w:tcPr>
            <w:tcW w:type="dxa" w:w="529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6" w:after="0"/>
              <w:ind w:left="15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Net non-interest expenses (Table 9)</w:t>
            </w:r>
          </w:p>
        </w:tc>
        <w:tc>
          <w:tcPr>
            <w:tcW w:type="dxa" w:w="142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0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(1,424)  (1,464) </w:t>
            </w:r>
          </w:p>
        </w:tc>
        <w:tc>
          <w:tcPr>
            <w:tcW w:type="dxa" w:w="1592"/>
            <w:vMerge/>
            <w:tcBorders/>
          </w:tcPr>
          <w:p/>
        </w:tc>
        <w:tc>
          <w:tcPr>
            <w:tcW w:type="dxa" w:w="1592"/>
            <w:vMerge/>
            <w:tcBorders/>
          </w:tcPr>
          <w:p/>
        </w:tc>
        <w:tc>
          <w:tcPr>
            <w:tcW w:type="dxa" w:w="1592"/>
            <w:vMerge/>
            <w:tcBorders/>
          </w:tcPr>
          <w:p/>
        </w:tc>
      </w:tr>
      <w:tr>
        <w:trPr>
          <w:trHeight w:hRule="exact" w:val="76"/>
        </w:trPr>
        <w:tc>
          <w:tcPr>
            <w:tcW w:type="dxa" w:w="1592"/>
            <w:vMerge/>
            <w:tcBorders/>
          </w:tcPr>
          <w:p/>
        </w:tc>
        <w:tc>
          <w:tcPr>
            <w:tcW w:type="dxa" w:w="84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4" w:after="0"/>
              <w:ind w:left="0" w:right="15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291 </w:t>
            </w:r>
          </w:p>
        </w:tc>
        <w:tc>
          <w:tcPr>
            <w:tcW w:type="dxa" w:w="58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4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117 </w:t>
            </w:r>
          </w:p>
        </w:tc>
        <w:tc>
          <w:tcPr>
            <w:tcW w:type="dxa" w:w="1592"/>
            <w:vMerge/>
            <w:tcBorders/>
          </w:tcPr>
          <w:p/>
        </w:tc>
        <w:tc>
          <w:tcPr>
            <w:tcW w:type="dxa" w:w="1592"/>
            <w:vMerge/>
            <w:tcBorders/>
          </w:tcPr>
          <w:p/>
        </w:tc>
        <w:tc>
          <w:tcPr>
            <w:tcW w:type="dxa" w:w="94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02" w:after="0"/>
              <w:ind w:left="1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174</w:t>
            </w:r>
          </w:p>
        </w:tc>
      </w:tr>
      <w:tr>
        <w:trPr>
          <w:trHeight w:hRule="exact" w:val="260"/>
        </w:trPr>
        <w:tc>
          <w:tcPr>
            <w:tcW w:type="dxa" w:w="52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4" w:after="0"/>
              <w:ind w:left="13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Transfers from affiliated organizations and others</w:t>
            </w:r>
          </w:p>
        </w:tc>
        <w:tc>
          <w:tcPr>
            <w:tcW w:type="dxa" w:w="1592"/>
            <w:vMerge/>
            <w:tcBorders/>
          </w:tcPr>
          <w:p/>
        </w:tc>
        <w:tc>
          <w:tcPr>
            <w:tcW w:type="dxa" w:w="1592"/>
            <w:vMerge/>
            <w:tcBorders/>
          </w:tcPr>
          <w:p/>
        </w:tc>
        <w:tc>
          <w:tcPr>
            <w:tcW w:type="dxa" w:w="1592"/>
            <w:vMerge/>
            <w:tcBorders/>
          </w:tcPr>
          <w:p/>
        </w:tc>
        <w:tc>
          <w:tcPr>
            <w:tcW w:type="dxa" w:w="1592"/>
            <w:vMerge/>
            <w:tcBorders/>
          </w:tcPr>
          <w:p/>
        </w:tc>
        <w:tc>
          <w:tcPr>
            <w:tcW w:type="dxa" w:w="1592"/>
            <w:vMerge/>
            <w:tcBorders/>
          </w:tcPr>
          <w:p/>
        </w:tc>
      </w:tr>
      <w:tr>
        <w:trPr>
          <w:trHeight w:hRule="exact" w:val="240"/>
        </w:trPr>
        <w:tc>
          <w:tcPr>
            <w:tcW w:type="dxa" w:w="52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" w:after="0"/>
              <w:ind w:left="15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Non-functional currency translation adjustment (losses) gains, net</w:t>
            </w:r>
          </w:p>
        </w:tc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1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(21) </w:t>
            </w:r>
          </w:p>
        </w:tc>
        <w:tc>
          <w:tcPr>
            <w:tcW w:type="dxa" w:w="5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192 </w:t>
            </w:r>
          </w:p>
        </w:tc>
        <w:tc>
          <w:tcPr>
            <w:tcW w:type="dxa" w:w="596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89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0" w:after="0"/>
              <w:ind w:left="0" w:right="2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(213)</w:t>
            </w:r>
          </w:p>
        </w:tc>
        <w:tc>
          <w:tcPr>
            <w:tcW w:type="dxa" w:w="942"/>
            <w:tcBorders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4"/>
        </w:trPr>
        <w:tc>
          <w:tcPr>
            <w:tcW w:type="dxa" w:w="52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20" w:after="0"/>
              <w:ind w:left="152" w:right="432" w:firstLine="2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Unrealized mark-to-market gains (losses) on investments-trading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portfolio, net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a</w:t>
            </w:r>
          </w:p>
        </w:tc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8" w:after="0"/>
              <w:ind w:left="0" w:right="15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316 </w:t>
            </w:r>
          </w:p>
        </w:tc>
        <w:tc>
          <w:tcPr>
            <w:tcW w:type="dxa" w:w="5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8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(29) </w:t>
            </w:r>
          </w:p>
        </w:tc>
        <w:tc>
          <w:tcPr>
            <w:tcW w:type="dxa" w:w="596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898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9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96" w:after="0"/>
              <w:ind w:left="0" w:right="40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345</w:t>
            </w:r>
          </w:p>
        </w:tc>
      </w:tr>
      <w:tr>
        <w:trPr>
          <w:trHeight w:hRule="exact" w:val="44"/>
        </w:trPr>
        <w:tc>
          <w:tcPr>
            <w:tcW w:type="dxa" w:w="5296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84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00" w:after="0"/>
              <w:ind w:left="0" w:right="15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405 </w:t>
            </w:r>
          </w:p>
        </w:tc>
        <w:tc>
          <w:tcPr>
            <w:tcW w:type="dxa" w:w="58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0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134 </w:t>
            </w:r>
          </w:p>
        </w:tc>
        <w:tc>
          <w:tcPr>
            <w:tcW w:type="dxa" w:w="596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898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942"/>
            <w:tcBorders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0"/>
        </w:trPr>
        <w:tc>
          <w:tcPr>
            <w:tcW w:type="dxa" w:w="52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2" w:after="0"/>
              <w:ind w:left="15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Unrealized mark-to-market gains on non-trading portfolios, net</w:t>
            </w:r>
          </w:p>
        </w:tc>
        <w:tc>
          <w:tcPr>
            <w:tcW w:type="dxa" w:w="1592"/>
            <w:vMerge/>
            <w:tcBorders/>
          </w:tcPr>
          <w:p/>
        </w:tc>
        <w:tc>
          <w:tcPr>
            <w:tcW w:type="dxa" w:w="1592"/>
            <w:vMerge/>
            <w:tcBorders/>
          </w:tcPr>
          <w:p/>
        </w:tc>
        <w:tc>
          <w:tcPr>
            <w:tcW w:type="dxa" w:w="596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898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9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2" w:after="0"/>
              <w:ind w:left="2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271</w:t>
            </w:r>
          </w:p>
        </w:tc>
      </w:tr>
      <w:tr>
        <w:trPr>
          <w:trHeight w:hRule="exact" w:val="336"/>
        </w:trPr>
        <w:tc>
          <w:tcPr>
            <w:tcW w:type="dxa" w:w="529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6" w:after="0"/>
              <w:ind w:left="16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Development grants</w:t>
            </w:r>
          </w:p>
        </w:tc>
        <w:tc>
          <w:tcPr>
            <w:tcW w:type="dxa" w:w="1428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(5,291)  (3,946) </w:t>
            </w:r>
          </w:p>
        </w:tc>
        <w:tc>
          <w:tcPr>
            <w:tcW w:type="dxa" w:w="59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98" w:after="0"/>
              <w:ind w:left="8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(1,345)</w:t>
            </w:r>
          </w:p>
        </w:tc>
        <w:tc>
          <w:tcPr>
            <w:tcW w:type="dxa" w:w="898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42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96"/>
        </w:trPr>
        <w:tc>
          <w:tcPr>
            <w:tcW w:type="dxa" w:w="52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Net (Loss) Income</w:t>
            </w:r>
          </w:p>
        </w:tc>
        <w:tc>
          <w:tcPr>
            <w:tcW w:type="dxa" w:w="1428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(3,573) $ (3,262) </w:t>
            </w:r>
          </w:p>
        </w:tc>
        <w:tc>
          <w:tcPr>
            <w:tcW w:type="dxa" w:w="59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98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(311)</w:t>
            </w:r>
          </w:p>
        </w:tc>
        <w:tc>
          <w:tcPr>
            <w:tcW w:type="dxa" w:w="942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80" w:lineRule="exact" w:before="64" w:after="22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Adjustments to reconcile net (loss) income to adjusted net income: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65"/>
        <w:gridCol w:w="1365"/>
        <w:gridCol w:w="1365"/>
        <w:gridCol w:w="1365"/>
        <w:gridCol w:w="1365"/>
        <w:gridCol w:w="1365"/>
        <w:gridCol w:w="1365"/>
      </w:tblGrid>
      <w:tr>
        <w:trPr>
          <w:trHeight w:hRule="exact" w:val="298"/>
        </w:trPr>
        <w:tc>
          <w:tcPr>
            <w:tcW w:type="dxa" w:w="53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4" w:after="0"/>
              <w:ind w:left="18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Activities directly funded by member contributions</w:t>
            </w:r>
          </w:p>
        </w:tc>
        <w:tc>
          <w:tcPr>
            <w:tcW w:type="dxa" w:w="20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4" w:after="0"/>
              <w:ind w:left="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5,350 </w:t>
            </w:r>
          </w:p>
        </w:tc>
        <w:tc>
          <w:tcPr>
            <w:tcW w:type="dxa" w:w="5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4,000 </w:t>
            </w:r>
          </w:p>
        </w:tc>
        <w:tc>
          <w:tcPr>
            <w:tcW w:type="dxa" w:w="149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4" w:after="0"/>
              <w:ind w:left="0" w:right="18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(174)</w:t>
            </w:r>
          </w:p>
        </w:tc>
        <w:tc>
          <w:tcPr>
            <w:tcW w:type="dxa" w:w="82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5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1,350</w:t>
            </w:r>
          </w:p>
        </w:tc>
      </w:tr>
      <w:tr>
        <w:trPr>
          <w:trHeight w:hRule="exact" w:val="270"/>
        </w:trPr>
        <w:tc>
          <w:tcPr>
            <w:tcW w:type="dxa" w:w="53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0" w:after="0"/>
              <w:ind w:left="1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Contributions from affiliated organizations and others</w:t>
            </w:r>
          </w:p>
        </w:tc>
        <w:tc>
          <w:tcPr>
            <w:tcW w:type="dxa" w:w="1365"/>
            <w:vMerge/>
            <w:tcBorders/>
          </w:tcPr>
          <w:p/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(291) </w:t>
            </w:r>
          </w:p>
        </w:tc>
        <w:tc>
          <w:tcPr>
            <w:tcW w:type="dxa" w:w="5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0" w:after="0"/>
              <w:ind w:left="10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(117) </w:t>
            </w:r>
          </w:p>
        </w:tc>
        <w:tc>
          <w:tcPr>
            <w:tcW w:type="dxa" w:w="1365"/>
            <w:vMerge/>
            <w:tcBorders/>
          </w:tcPr>
          <w:p/>
        </w:tc>
        <w:tc>
          <w:tcPr>
            <w:tcW w:type="dxa" w:w="1365"/>
            <w:vMerge/>
            <w:tcBorders/>
          </w:tcPr>
          <w:p/>
        </w:tc>
        <w:tc>
          <w:tcPr>
            <w:tcW w:type="dxa" w:w="1365"/>
            <w:vMerge/>
            <w:tcBorders/>
          </w:tcPr>
          <w:p/>
        </w:tc>
      </w:tr>
      <w:tr>
        <w:trPr>
          <w:trHeight w:hRule="exact" w:val="284"/>
        </w:trPr>
        <w:tc>
          <w:tcPr>
            <w:tcW w:type="dxa" w:w="53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6" w:after="0"/>
              <w:ind w:left="1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Non-functional currency translation adjustment losses (gains), net</w:t>
            </w:r>
          </w:p>
        </w:tc>
        <w:tc>
          <w:tcPr>
            <w:tcW w:type="dxa" w:w="204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21 </w:t>
            </w:r>
          </w:p>
        </w:tc>
        <w:tc>
          <w:tcPr>
            <w:tcW w:type="dxa" w:w="5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6" w:after="0"/>
              <w:ind w:left="10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(192) </w:t>
            </w:r>
          </w:p>
        </w:tc>
        <w:tc>
          <w:tcPr>
            <w:tcW w:type="dxa" w:w="1494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8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19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213</w:t>
            </w:r>
          </w:p>
        </w:tc>
        <w:tc>
          <w:tcPr>
            <w:tcW w:type="dxa" w:w="458"/>
            <w:tcBorders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0"/>
        </w:trPr>
        <w:tc>
          <w:tcPr>
            <w:tcW w:type="dxa" w:w="53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1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Unrealized mark-to-market (gains) on non-trading portfolios, net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b</w:t>
            </w:r>
          </w:p>
        </w:tc>
        <w:tc>
          <w:tcPr>
            <w:tcW w:type="dxa" w:w="204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(392) </w:t>
            </w:r>
          </w:p>
        </w:tc>
        <w:tc>
          <w:tcPr>
            <w:tcW w:type="dxa" w:w="5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(32) </w:t>
            </w:r>
          </w:p>
        </w:tc>
        <w:tc>
          <w:tcPr>
            <w:tcW w:type="dxa" w:w="14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0" w:right="30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(360)</w:t>
            </w:r>
          </w:p>
        </w:tc>
        <w:tc>
          <w:tcPr>
            <w:tcW w:type="dxa" w:w="824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458"/>
            <w:tcBorders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6"/>
        </w:trPr>
        <w:tc>
          <w:tcPr>
            <w:tcW w:type="dxa" w:w="5326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204"/>
            <w:vMerge w:val="restart"/>
            <w:tcBorders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504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1494"/>
            <w:vMerge w:val="restart"/>
            <w:tcBorders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8" w:after="0"/>
              <w:ind w:left="0" w:right="1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(131)</w:t>
            </w:r>
          </w:p>
        </w:tc>
        <w:tc>
          <w:tcPr>
            <w:tcW w:type="dxa" w:w="824"/>
            <w:vMerge w:val="restart"/>
            <w:tcBorders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58"/>
            <w:vMerge w:val="restart"/>
            <w:tcBorders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74"/>
        </w:trPr>
        <w:tc>
          <w:tcPr>
            <w:tcW w:type="dxa" w:w="5326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1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Pension and other adjustments</w:t>
            </w:r>
          </w:p>
        </w:tc>
        <w:tc>
          <w:tcPr>
            <w:tcW w:type="dxa" w:w="1365"/>
            <w:vMerge/>
            <w:tcBorders>
              <w:bottom w:sz="8.0" w:val="single" w:color="#929292"/>
            </w:tcBorders>
          </w:tcPr>
          <w:p/>
        </w:tc>
        <w:tc>
          <w:tcPr>
            <w:tcW w:type="dxa" w:w="72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(335) </w:t>
            </w:r>
          </w:p>
        </w:tc>
        <w:tc>
          <w:tcPr>
            <w:tcW w:type="dxa" w:w="504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10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(204) </w:t>
            </w:r>
          </w:p>
        </w:tc>
        <w:tc>
          <w:tcPr>
            <w:tcW w:type="dxa" w:w="1365"/>
            <w:vMerge/>
            <w:tcBorders>
              <w:bottom w:sz="8.0" w:val="single" w:color="#929292"/>
            </w:tcBorders>
          </w:tcPr>
          <w:p/>
        </w:tc>
        <w:tc>
          <w:tcPr>
            <w:tcW w:type="dxa" w:w="1365"/>
            <w:vMerge/>
            <w:tcBorders>
              <w:bottom w:sz="8.0" w:val="single" w:color="#929292"/>
            </w:tcBorders>
          </w:tcPr>
          <w:p/>
        </w:tc>
        <w:tc>
          <w:tcPr>
            <w:tcW w:type="dxa" w:w="1365"/>
            <w:vMerge/>
            <w:tcBorders>
              <w:bottom w:sz="8.0" w:val="single" w:color="#929292"/>
            </w:tcBorders>
          </w:tcPr>
          <w:p/>
        </w:tc>
      </w:tr>
      <w:tr>
        <w:trPr>
          <w:trHeight w:hRule="exact" w:val="266"/>
        </w:trPr>
        <w:tc>
          <w:tcPr>
            <w:tcW w:type="dxa" w:w="5326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6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Adjusted Net Income</w:t>
            </w:r>
          </w:p>
        </w:tc>
        <w:tc>
          <w:tcPr>
            <w:tcW w:type="dxa" w:w="204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2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6" w:after="0"/>
              <w:ind w:left="17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780 $ </w:t>
            </w:r>
          </w:p>
        </w:tc>
        <w:tc>
          <w:tcPr>
            <w:tcW w:type="dxa" w:w="504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6" w:after="0"/>
              <w:ind w:left="0" w:right="32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193 </w:t>
            </w:r>
          </w:p>
        </w:tc>
        <w:tc>
          <w:tcPr>
            <w:tcW w:type="dxa" w:w="1494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24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13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587</w:t>
            </w:r>
          </w:p>
        </w:tc>
        <w:tc>
          <w:tcPr>
            <w:tcW w:type="dxa" w:w="458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04"/>
        </w:trPr>
        <w:tc>
          <w:tcPr>
            <w:tcW w:type="dxa" w:w="5326"/>
            <w:tcBorders>
              <w:top w:sz="8.0" w:val="single" w:color="#929292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4"/>
            <w:tcBorders>
              <w:top w:sz="8.0" w:val="single" w:color="#929292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top w:sz="8.0" w:val="single" w:color="#929292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04"/>
            <w:tcBorders>
              <w:top w:sz="8.0" w:val="single" w:color="#929292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94"/>
            <w:tcBorders>
              <w:top w:sz="8.0" w:val="single" w:color="#929292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24"/>
            <w:tcBorders>
              <w:top w:sz="8.0" w:val="single" w:color="#929292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58"/>
            <w:tcBorders>
              <w:top w:sz="8.0" w:val="single" w:color="#929292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78" w:lineRule="exact" w:before="18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a. Includes IDA’s share of returns from Post-Employment Benefit Plan (PEBP) and Post-Retirement Contribution Reserve Fund </w:t>
      </w:r>
    </w:p>
    <w:p>
      <w:pPr>
        <w:autoSpaceDN w:val="0"/>
        <w:autoSpaceDE w:val="0"/>
        <w:widowControl/>
        <w:spacing w:line="180" w:lineRule="exact" w:before="0" w:after="0"/>
        <w:ind w:left="24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(PCRF) assets - $124 million positive return (FY23 - $83 million positive return).</w:t>
      </w:r>
    </w:p>
    <w:p>
      <w:pPr>
        <w:autoSpaceDN w:val="0"/>
        <w:autoSpaceDE w:val="0"/>
        <w:widowControl/>
        <w:spacing w:line="178" w:lineRule="exact" w:before="54" w:after="5134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b. Excludes $13 million of gains from revenue-related forward currency contracts (FY23 - $102 million of gains).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30.0" w:type="dxa"/>
      </w:tblPr>
      <w:tblGrid>
        <w:gridCol w:w="4776"/>
        <w:gridCol w:w="4776"/>
      </w:tblGrid>
      <w:tr>
        <w:trPr>
          <w:trHeight w:hRule="exact" w:val="264"/>
        </w:trPr>
        <w:tc>
          <w:tcPr>
            <w:tcW w:type="dxa" w:w="7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60" w:after="0"/>
              <w:ind w:left="166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IDA Management's Discussion and Analysis:  June 30, 2024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60" w:after="0"/>
              <w:ind w:left="0" w:right="1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17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0" w:right="1258" w:bottom="424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76"/>
        <w:gridCol w:w="4776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IV: Financial Results</w:t>
            </w:r>
          </w:p>
        </w:tc>
      </w:tr>
    </w:tbl>
    <w:p>
      <w:pPr>
        <w:autoSpaceDN w:val="0"/>
        <w:autoSpaceDE w:val="0"/>
        <w:widowControl/>
        <w:spacing w:line="178" w:lineRule="exact" w:before="408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Table 5: Condensed Balance Sheets</w:t>
      </w:r>
    </w:p>
    <w:p>
      <w:pPr>
        <w:autoSpaceDN w:val="0"/>
        <w:autoSpaceDE w:val="0"/>
        <w:widowControl/>
        <w:spacing w:line="178" w:lineRule="exact" w:before="74" w:after="58"/>
        <w:ind w:left="1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388"/>
        <w:gridCol w:w="2388"/>
        <w:gridCol w:w="2388"/>
        <w:gridCol w:w="2388"/>
      </w:tblGrid>
      <w:tr>
        <w:trPr>
          <w:trHeight w:hRule="exact" w:val="270"/>
        </w:trPr>
        <w:tc>
          <w:tcPr>
            <w:tcW w:type="dxa" w:w="223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As of June 30,</w:t>
            </w:r>
          </w:p>
        </w:tc>
        <w:tc>
          <w:tcPr>
            <w:tcW w:type="dxa" w:w="192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4" w:after="0"/>
              <w:ind w:left="0" w:right="4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2024</w:t>
            </w:r>
          </w:p>
        </w:tc>
        <w:tc>
          <w:tcPr>
            <w:tcW w:type="dxa" w:w="118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2023</w:t>
            </w:r>
          </w:p>
        </w:tc>
        <w:tc>
          <w:tcPr>
            <w:tcW w:type="dxa" w:w="297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40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Decrease  Increase</w:t>
            </w:r>
          </w:p>
        </w:tc>
      </w:tr>
    </w:tbl>
    <w:p>
      <w:pPr>
        <w:autoSpaceDN w:val="0"/>
        <w:autoSpaceDE w:val="0"/>
        <w:widowControl/>
        <w:spacing w:line="178" w:lineRule="exact" w:before="132" w:after="28"/>
        <w:ind w:left="11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Assets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1061"/>
        <w:gridCol w:w="1061"/>
        <w:gridCol w:w="1061"/>
        <w:gridCol w:w="1061"/>
        <w:gridCol w:w="1061"/>
        <w:gridCol w:w="1061"/>
        <w:gridCol w:w="1061"/>
        <w:gridCol w:w="1061"/>
        <w:gridCol w:w="1061"/>
      </w:tblGrid>
      <w:tr>
        <w:trPr>
          <w:trHeight w:hRule="exact" w:val="236"/>
        </w:trPr>
        <w:tc>
          <w:tcPr>
            <w:tcW w:type="dxa" w:w="25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Due from banks</w:t>
            </w:r>
          </w:p>
        </w:tc>
        <w:tc>
          <w:tcPr>
            <w:tcW w:type="dxa" w:w="3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" w:after="0"/>
              <w:ind w:left="0" w:right="1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586 $ </w:t>
            </w:r>
          </w:p>
        </w:tc>
        <w:tc>
          <w:tcPr>
            <w:tcW w:type="dxa" w:w="8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689 </w:t>
            </w:r>
          </w:p>
        </w:tc>
        <w:tc>
          <w:tcPr>
            <w:tcW w:type="dxa" w:w="1502"/>
            <w:tcBorders>
              <w:end w:sz="12.0" w:val="single" w:color="#B5B6B5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0" w:right="7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(103)</w:t>
            </w:r>
          </w:p>
        </w:tc>
        <w:tc>
          <w:tcPr>
            <w:tcW w:type="dxa" w:w="464"/>
            <w:tcBorders>
              <w:start w:sz="12.0" w:val="single" w:color="#B5B6B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74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556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548"/>
            <w:tcBorders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94"/>
        </w:trPr>
        <w:tc>
          <w:tcPr>
            <w:tcW w:type="dxa" w:w="25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Investments</w:t>
            </w:r>
          </w:p>
        </w:tc>
        <w:tc>
          <w:tcPr>
            <w:tcW w:type="dxa" w:w="356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2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34,377 </w:t>
            </w:r>
          </w:p>
        </w:tc>
        <w:tc>
          <w:tcPr>
            <w:tcW w:type="dxa" w:w="8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31,822 </w:t>
            </w:r>
          </w:p>
        </w:tc>
        <w:tc>
          <w:tcPr>
            <w:tcW w:type="dxa" w:w="1502"/>
            <w:tcBorders>
              <w:end w:sz="12.0" w:val="single" w:color="#B5B6B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4"/>
            <w:tcBorders>
              <w:start w:sz="12.0" w:val="single" w:color="#B5B6B5"/>
            </w:tcBorders>
            <w:shd w:fill="6d6d6d"/>
            <w:tcMar>
              <w:start w:w="0" w:type="dxa"/>
              <w:end w:w="0" w:type="dxa"/>
            </w:tcMar>
          </w:tcPr>
          <w:p/>
        </w:tc>
        <w:tc>
          <w:tcPr>
            <w:tcW w:type="dxa" w:w="14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4" w:after="0"/>
              <w:ind w:left="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2,555</w:t>
            </w:r>
          </w:p>
        </w:tc>
        <w:tc>
          <w:tcPr>
            <w:tcW w:type="dxa" w:w="556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548"/>
            <w:tcBorders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38"/>
        </w:trPr>
        <w:tc>
          <w:tcPr>
            <w:tcW w:type="dxa" w:w="25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16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Net Loans Outstanding</w:t>
            </w:r>
          </w:p>
        </w:tc>
        <w:tc>
          <w:tcPr>
            <w:tcW w:type="dxa" w:w="356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19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198,457 </w:t>
            </w:r>
          </w:p>
        </w:tc>
        <w:tc>
          <w:tcPr>
            <w:tcW w:type="dxa" w:w="8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17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187,669 </w:t>
            </w:r>
          </w:p>
        </w:tc>
        <w:tc>
          <w:tcPr>
            <w:tcW w:type="dxa" w:w="1502"/>
            <w:tcBorders>
              <w:end w:sz="12.0" w:val="single" w:color="#B5B6B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4"/>
            <w:tcBorders>
              <w:start w:sz="12.0" w:val="single" w:color="#B5B6B5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74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5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10,788</w:t>
            </w:r>
          </w:p>
        </w:tc>
        <w:tc>
          <w:tcPr>
            <w:tcW w:type="dxa" w:w="548"/>
            <w:tcBorders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24"/>
        </w:trPr>
        <w:tc>
          <w:tcPr>
            <w:tcW w:type="dxa" w:w="25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Derivative assets, net</w:t>
            </w:r>
          </w:p>
        </w:tc>
        <w:tc>
          <w:tcPr>
            <w:tcW w:type="dxa" w:w="35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38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363 </w:t>
            </w:r>
          </w:p>
        </w:tc>
        <w:tc>
          <w:tcPr>
            <w:tcW w:type="dxa" w:w="8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364 </w:t>
            </w:r>
          </w:p>
        </w:tc>
        <w:tc>
          <w:tcPr>
            <w:tcW w:type="dxa" w:w="1502"/>
            <w:vMerge w:val="restart"/>
            <w:tcBorders>
              <w:end w:sz="12.0" w:val="single" w:color="#B5B6B5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0" w:right="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(1)</w:t>
            </w:r>
          </w:p>
        </w:tc>
        <w:tc>
          <w:tcPr>
            <w:tcW w:type="dxa" w:w="464"/>
            <w:vMerge w:val="restart"/>
            <w:tcBorders>
              <w:start w:sz="12.0" w:val="single" w:color="#B5B6B5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72" w:after="0"/>
              <w:ind w:left="0" w:right="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629</w:t>
            </w:r>
          </w:p>
        </w:tc>
        <w:tc>
          <w:tcPr>
            <w:tcW w:type="dxa" w:w="147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55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548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36"/>
        </w:trPr>
        <w:tc>
          <w:tcPr>
            <w:tcW w:type="dxa" w:w="256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Other assets</w:t>
            </w:r>
          </w:p>
        </w:tc>
        <w:tc>
          <w:tcPr>
            <w:tcW w:type="dxa" w:w="1061"/>
            <w:vMerge/>
            <w:tcBorders>
              <w:bottom w:sz="8.0" w:val="single" w:color="#000000"/>
            </w:tcBorders>
          </w:tcPr>
          <w:p/>
        </w:tc>
        <w:tc>
          <w:tcPr>
            <w:tcW w:type="dxa" w:w="12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7,567 </w:t>
            </w:r>
          </w:p>
        </w:tc>
        <w:tc>
          <w:tcPr>
            <w:tcW w:type="dxa" w:w="83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6,938 </w:t>
            </w:r>
          </w:p>
        </w:tc>
        <w:tc>
          <w:tcPr>
            <w:tcW w:type="dxa" w:w="1061"/>
            <w:vMerge/>
            <w:tcBorders>
              <w:end w:sz="12.0" w:val="single" w:color="#B5B6B5"/>
              <w:bottom w:sz="8.0" w:val="single" w:color="#000000"/>
            </w:tcBorders>
          </w:tcPr>
          <w:p/>
        </w:tc>
        <w:tc>
          <w:tcPr>
            <w:tcW w:type="dxa" w:w="1061"/>
            <w:vMerge/>
            <w:tcBorders>
              <w:start w:sz="12.0" w:val="single" w:color="#B5B6B5"/>
              <w:bottom w:sz="8.0" w:val="single" w:color="#000000"/>
            </w:tcBorders>
          </w:tcPr>
          <w:p/>
        </w:tc>
        <w:tc>
          <w:tcPr>
            <w:tcW w:type="dxa" w:w="1061"/>
            <w:vMerge/>
            <w:tcBorders>
              <w:bottom w:sz="8.0" w:val="single" w:color="#000000"/>
            </w:tcBorders>
          </w:tcPr>
          <w:p/>
        </w:tc>
        <w:tc>
          <w:tcPr>
            <w:tcW w:type="dxa" w:w="1061"/>
            <w:vMerge/>
            <w:tcBorders>
              <w:bottom w:sz="8.0" w:val="single" w:color="#000000"/>
            </w:tcBorders>
          </w:tcPr>
          <w:p/>
        </w:tc>
        <w:tc>
          <w:tcPr>
            <w:tcW w:type="dxa" w:w="1061"/>
            <w:vMerge/>
            <w:tcBorders>
              <w:bottom w:sz="8.0" w:val="single" w:color="#000000"/>
            </w:tcBorders>
          </w:tcPr>
          <w:p/>
        </w:tc>
      </w:tr>
      <w:tr>
        <w:trPr>
          <w:trHeight w:hRule="exact" w:val="260"/>
        </w:trPr>
        <w:tc>
          <w:tcPr>
            <w:tcW w:type="dxa" w:w="2564"/>
            <w:tcBorders>
              <w:top w:sz="8.0" w:val="single" w:color="#000000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Total assets</w:t>
            </w:r>
          </w:p>
        </w:tc>
        <w:tc>
          <w:tcPr>
            <w:tcW w:type="dxa" w:w="356"/>
            <w:tcBorders>
              <w:top w:sz="8.0" w:val="single" w:color="#000000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200"/>
            <w:tcBorders>
              <w:top w:sz="8.0" w:val="single" w:color="#000000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241,350 $ </w:t>
            </w:r>
          </w:p>
        </w:tc>
        <w:tc>
          <w:tcPr>
            <w:tcW w:type="dxa" w:w="836"/>
            <w:tcBorders>
              <w:top w:sz="8.0" w:val="single" w:color="#000000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7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227,482 </w:t>
            </w:r>
          </w:p>
        </w:tc>
        <w:tc>
          <w:tcPr>
            <w:tcW w:type="dxa" w:w="1502"/>
            <w:tcBorders>
              <w:top w:sz="8.0" w:val="single" w:color="#000000"/>
              <w:end w:sz="12.0" w:val="single" w:color="#B5B6B5"/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4"/>
            <w:tcBorders>
              <w:start w:sz="12.0" w:val="single" w:color="#B5B6B5"/>
              <w:top w:sz="8.0" w:val="single" w:color="#000000"/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74"/>
            <w:tcBorders>
              <w:top w:sz="8.0" w:val="single" w:color="#000000"/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56"/>
            <w:tcBorders>
              <w:top w:sz="8.0" w:val="single" w:color="#000000"/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48"/>
            <w:tcBorders>
              <w:top w:sz="8.0" w:val="single" w:color="#000000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13,868</w:t>
            </w:r>
          </w:p>
        </w:tc>
      </w:tr>
      <w:tr>
        <w:trPr>
          <w:trHeight w:hRule="exact" w:val="62"/>
        </w:trPr>
        <w:tc>
          <w:tcPr>
            <w:tcW w:type="dxa" w:w="2564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6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00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6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02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4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74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56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48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80" w:lineRule="exact" w:before="248" w:after="14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Liabilities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65"/>
        <w:gridCol w:w="1365"/>
        <w:gridCol w:w="1365"/>
        <w:gridCol w:w="1365"/>
        <w:gridCol w:w="1365"/>
        <w:gridCol w:w="1365"/>
        <w:gridCol w:w="1365"/>
      </w:tblGrid>
      <w:tr>
        <w:trPr>
          <w:trHeight w:hRule="exact" w:val="194"/>
        </w:trPr>
        <w:tc>
          <w:tcPr>
            <w:tcW w:type="dxa" w:w="25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Borrowings</w:t>
            </w:r>
          </w:p>
        </w:tc>
        <w:tc>
          <w:tcPr>
            <w:tcW w:type="dxa" w:w="3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2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44,923 $ </w:t>
            </w:r>
          </w:p>
        </w:tc>
        <w:tc>
          <w:tcPr>
            <w:tcW w:type="dxa" w:w="8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32,567 </w:t>
            </w:r>
          </w:p>
        </w:tc>
        <w:tc>
          <w:tcPr>
            <w:tcW w:type="dxa" w:w="1516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2210"/>
            <w:tcBorders/>
            <w:shd w:fill="6d6d6d"/>
            <w:tcMar>
              <w:start w:w="0" w:type="dxa"/>
              <w:end w:w="0" w:type="dxa"/>
            </w:tcMar>
          </w:tcPr>
          <w:p/>
        </w:tc>
        <w:tc>
          <w:tcPr>
            <w:tcW w:type="dxa" w:w="8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4" w:after="0"/>
              <w:ind w:left="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12,356</w:t>
            </w:r>
          </w:p>
        </w:tc>
      </w:tr>
      <w:tr>
        <w:trPr>
          <w:trHeight w:hRule="exact" w:val="278"/>
        </w:trPr>
        <w:tc>
          <w:tcPr>
            <w:tcW w:type="dxa" w:w="25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2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Derivative liabilities, net</w:t>
            </w:r>
          </w:p>
        </w:tc>
        <w:tc>
          <w:tcPr>
            <w:tcW w:type="dxa" w:w="356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2" w:after="0"/>
              <w:ind w:left="0" w:right="38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667 </w:t>
            </w:r>
          </w:p>
        </w:tc>
        <w:tc>
          <w:tcPr>
            <w:tcW w:type="dxa" w:w="8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2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1,244 </w:t>
            </w:r>
          </w:p>
        </w:tc>
        <w:tc>
          <w:tcPr>
            <w:tcW w:type="dxa" w:w="15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0" w:after="0"/>
              <w:ind w:left="0" w:right="1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(577)</w:t>
            </w:r>
          </w:p>
        </w:tc>
        <w:tc>
          <w:tcPr>
            <w:tcW w:type="dxa" w:w="2210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818"/>
            <w:tcBorders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96"/>
        </w:trPr>
        <w:tc>
          <w:tcPr>
            <w:tcW w:type="dxa" w:w="25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0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Other liabilities</w:t>
            </w:r>
          </w:p>
        </w:tc>
        <w:tc>
          <w:tcPr>
            <w:tcW w:type="dxa" w:w="356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5,459 </w:t>
            </w:r>
          </w:p>
        </w:tc>
        <w:tc>
          <w:tcPr>
            <w:tcW w:type="dxa" w:w="8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0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7,889 </w:t>
            </w:r>
          </w:p>
        </w:tc>
        <w:tc>
          <w:tcPr>
            <w:tcW w:type="dxa" w:w="15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(2,430)</w:t>
            </w:r>
          </w:p>
        </w:tc>
        <w:tc>
          <w:tcPr>
            <w:tcW w:type="dxa" w:w="2210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818"/>
            <w:tcBorders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8"/>
        </w:trPr>
        <w:tc>
          <w:tcPr>
            <w:tcW w:type="dxa" w:w="259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Equity</w:t>
            </w:r>
          </w:p>
        </w:tc>
        <w:tc>
          <w:tcPr>
            <w:tcW w:type="dxa" w:w="35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19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190,301 </w:t>
            </w:r>
          </w:p>
        </w:tc>
        <w:tc>
          <w:tcPr>
            <w:tcW w:type="dxa" w:w="83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17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185,782 </w:t>
            </w:r>
          </w:p>
        </w:tc>
        <w:tc>
          <w:tcPr>
            <w:tcW w:type="dxa" w:w="151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0" w:right="9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4,519</w:t>
            </w:r>
          </w:p>
        </w:tc>
        <w:tc>
          <w:tcPr>
            <w:tcW w:type="dxa" w:w="818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20"/>
        </w:trPr>
        <w:tc>
          <w:tcPr>
            <w:tcW w:type="dxa" w:w="2594"/>
            <w:tcBorders>
              <w:top w:sz="8.0" w:val="single" w:color="#000000"/>
              <w:bottom w:sz="8.0" w:val="single" w:color="#6C6C6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Total liabilities and equity</w:t>
            </w:r>
          </w:p>
        </w:tc>
        <w:tc>
          <w:tcPr>
            <w:tcW w:type="dxa" w:w="356"/>
            <w:tcBorders>
              <w:top w:sz="8.0" w:val="single" w:color="#000000"/>
              <w:bottom w:sz="8.0" w:val="single" w:color="#6C6C6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200"/>
            <w:tcBorders>
              <w:top w:sz="8.0" w:val="single" w:color="#000000"/>
              <w:bottom w:sz="8.0" w:val="single" w:color="#6C6C6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241,350 $ </w:t>
            </w:r>
          </w:p>
        </w:tc>
        <w:tc>
          <w:tcPr>
            <w:tcW w:type="dxa" w:w="836"/>
            <w:tcBorders>
              <w:top w:sz="8.0" w:val="single" w:color="#000000"/>
              <w:bottom w:sz="8.0" w:val="single" w:color="#6C6C6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7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227,482 </w:t>
            </w:r>
          </w:p>
        </w:tc>
        <w:tc>
          <w:tcPr>
            <w:tcW w:type="dxa" w:w="1516"/>
            <w:tcBorders>
              <w:top w:sz="8.0" w:val="single" w:color="#000000"/>
              <w:bottom w:sz="8.0" w:val="single" w:color="#6C6C6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10"/>
            <w:tcBorders>
              <w:top w:sz="8.0" w:val="single" w:color="#000000"/>
              <w:bottom w:sz="8.0" w:val="single" w:color="#6C6C6C"/>
            </w:tcBorders>
            <w:shd w:fill="6d6d6d"/>
            <w:tcMar>
              <w:start w:w="0" w:type="dxa"/>
              <w:end w:w="0" w:type="dxa"/>
            </w:tcMar>
          </w:tcPr>
          <w:p/>
        </w:tc>
        <w:tc>
          <w:tcPr>
            <w:tcW w:type="dxa" w:w="818"/>
            <w:tcBorders>
              <w:top w:sz="8.0" w:val="single" w:color="#000000"/>
              <w:bottom w:sz="8.0" w:val="single" w:color="#6C6C6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13,868</w:t>
            </w:r>
          </w:p>
        </w:tc>
      </w:tr>
      <w:tr>
        <w:trPr>
          <w:trHeight w:hRule="exact" w:val="360"/>
        </w:trPr>
        <w:tc>
          <w:tcPr>
            <w:tcW w:type="dxa" w:w="2594"/>
            <w:tcBorders>
              <w:top w:sz="8.0" w:val="single" w:color="#6C6C6C"/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6"/>
            <w:tcBorders>
              <w:top w:sz="8.0" w:val="single" w:color="#6C6C6C"/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00"/>
            <w:tcBorders>
              <w:top w:sz="8.0" w:val="single" w:color="#6C6C6C"/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6"/>
            <w:tcBorders>
              <w:top w:sz="8.0" w:val="single" w:color="#6C6C6C"/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16"/>
            <w:tcBorders>
              <w:top w:sz="8.0" w:val="single" w:color="#6C6C6C"/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10"/>
            <w:tcBorders>
              <w:top w:sz="8.0" w:val="single" w:color="#6C6C6C"/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8"/>
            <w:tcBorders>
              <w:top w:sz="8.0" w:val="single" w:color="#6C6C6C"/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22" w:lineRule="exact" w:before="376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main drivers for the movements in the Condensed Balance Sheets from June 30, 2023 to June 30, 2024 are as </w:t>
      </w:r>
    </w:p>
    <w:p>
      <w:pPr>
        <w:autoSpaceDN w:val="0"/>
        <w:autoSpaceDE w:val="0"/>
        <w:widowControl/>
        <w:spacing w:line="222" w:lineRule="exact" w:before="18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follows:</w:t>
      </w:r>
    </w:p>
    <w:p>
      <w:pPr>
        <w:autoSpaceDN w:val="0"/>
        <w:tabs>
          <w:tab w:pos="730" w:val="left"/>
        </w:tabs>
        <w:autoSpaceDE w:val="0"/>
        <w:widowControl/>
        <w:spacing w:line="222" w:lineRule="exact" w:before="138" w:after="0"/>
        <w:ind w:left="37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An increase in investments, driven by net cash inflows from new issuances of debt during the year;</w:t>
      </w:r>
    </w:p>
    <w:p>
      <w:pPr>
        <w:autoSpaceDN w:val="0"/>
        <w:tabs>
          <w:tab w:pos="730" w:val="left"/>
        </w:tabs>
        <w:autoSpaceDE w:val="0"/>
        <w:widowControl/>
        <w:spacing w:line="222" w:lineRule="exact" w:before="78" w:after="0"/>
        <w:ind w:left="37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 increase in net loans outstanding due to net loan disbursements during the year; </w:t>
      </w:r>
    </w:p>
    <w:p>
      <w:pPr>
        <w:autoSpaceDN w:val="0"/>
        <w:tabs>
          <w:tab w:pos="730" w:val="left"/>
        </w:tabs>
        <w:autoSpaceDE w:val="0"/>
        <w:widowControl/>
        <w:spacing w:line="222" w:lineRule="exact" w:before="78" w:after="0"/>
        <w:ind w:left="37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An increase in borrowings due to net new issuances during the year;</w:t>
      </w:r>
    </w:p>
    <w:p>
      <w:pPr>
        <w:autoSpaceDN w:val="0"/>
        <w:tabs>
          <w:tab w:pos="730" w:val="left"/>
        </w:tabs>
        <w:autoSpaceDE w:val="0"/>
        <w:widowControl/>
        <w:spacing w:line="222" w:lineRule="exact" w:before="78" w:after="0"/>
        <w:ind w:left="37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 decrease in other liabilities mainly driven by the decrease in payable for development grants, and payable </w:t>
      </w:r>
    </w:p>
    <w:p>
      <w:pPr>
        <w:autoSpaceDN w:val="0"/>
        <w:autoSpaceDE w:val="0"/>
        <w:widowControl/>
        <w:spacing w:line="222" w:lineRule="exact" w:before="18" w:after="0"/>
        <w:ind w:left="0" w:right="0" w:firstLine="0"/>
        <w:jc w:val="center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for securities in the investment portfolio that were purchased but had not been settled during the year.</w:t>
      </w:r>
    </w:p>
    <w:p>
      <w:pPr>
        <w:autoSpaceDN w:val="0"/>
        <w:autoSpaceDE w:val="0"/>
        <w:widowControl/>
        <w:spacing w:line="244" w:lineRule="exact" w:before="70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Equity</w:t>
      </w:r>
    </w:p>
    <w:p>
      <w:pPr>
        <w:autoSpaceDN w:val="0"/>
        <w:autoSpaceDE w:val="0"/>
        <w:widowControl/>
        <w:spacing w:line="222" w:lineRule="exact" w:before="148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See Table 6 below for the change in IDA’s equity during FY24:</w:t>
      </w:r>
    </w:p>
    <w:p>
      <w:pPr>
        <w:autoSpaceDN w:val="0"/>
        <w:autoSpaceDE w:val="0"/>
        <w:widowControl/>
        <w:spacing w:line="178" w:lineRule="exact" w:before="150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Table 6: Changes in Equity</w:t>
      </w:r>
    </w:p>
    <w:p>
      <w:pPr>
        <w:autoSpaceDN w:val="0"/>
        <w:autoSpaceDE w:val="0"/>
        <w:widowControl/>
        <w:spacing w:line="178" w:lineRule="exact" w:before="134" w:after="2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billions of U.S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4"/>
        <w:gridCol w:w="3184"/>
        <w:gridCol w:w="3184"/>
      </w:tblGrid>
      <w:tr>
        <w:trPr>
          <w:trHeight w:hRule="exact" w:val="240"/>
        </w:trPr>
        <w:tc>
          <w:tcPr>
            <w:tcW w:type="dxa" w:w="3650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Equity as of June 30, 2023</w:t>
            </w:r>
          </w:p>
        </w:tc>
        <w:tc>
          <w:tcPr>
            <w:tcW w:type="dxa" w:w="2000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70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185.8 </w:t>
            </w:r>
          </w:p>
        </w:tc>
      </w:tr>
    </w:tbl>
    <w:p>
      <w:pPr>
        <w:autoSpaceDN w:val="0"/>
        <w:autoSpaceDE w:val="0"/>
        <w:widowControl/>
        <w:spacing w:line="178" w:lineRule="exact" w:before="22" w:after="3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Activity during the year: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388"/>
        <w:gridCol w:w="2388"/>
        <w:gridCol w:w="2388"/>
        <w:gridCol w:w="2388"/>
      </w:tblGrid>
      <w:tr>
        <w:trPr>
          <w:trHeight w:hRule="exact" w:val="232"/>
        </w:trPr>
        <w:tc>
          <w:tcPr>
            <w:tcW w:type="dxa" w:w="473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1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Subscriptions and contributions paid-in</w:t>
            </w:r>
          </w:p>
        </w:tc>
        <w:tc>
          <w:tcPr>
            <w:tcW w:type="dxa" w:w="15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8.8 </w:t>
            </w:r>
          </w:p>
        </w:tc>
      </w:tr>
      <w:tr>
        <w:trPr>
          <w:trHeight w:hRule="exact" w:val="240"/>
        </w:trPr>
        <w:tc>
          <w:tcPr>
            <w:tcW w:type="dxa" w:w="473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1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Nonnegotiable non-interest bearing demand obligations</w:t>
            </w:r>
          </w:p>
        </w:tc>
        <w:tc>
          <w:tcPr>
            <w:tcW w:type="dxa" w:w="15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0.9 </w:t>
            </w:r>
          </w:p>
        </w:tc>
      </w:tr>
      <w:tr>
        <w:trPr>
          <w:trHeight w:hRule="exact" w:val="240"/>
        </w:trPr>
        <w:tc>
          <w:tcPr>
            <w:tcW w:type="dxa" w:w="473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1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Changes in accumulated deficit </w:t>
            </w:r>
          </w:p>
        </w:tc>
        <w:tc>
          <w:tcPr>
            <w:tcW w:type="dxa" w:w="15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(3.6) </w:t>
            </w:r>
          </w:p>
        </w:tc>
      </w:tr>
      <w:tr>
        <w:trPr>
          <w:trHeight w:hRule="exact" w:val="240"/>
        </w:trPr>
        <w:tc>
          <w:tcPr>
            <w:tcW w:type="dxa" w:w="473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1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Changes in accumulated other comprehensive loss</w:t>
            </w:r>
          </w:p>
        </w:tc>
        <w:tc>
          <w:tcPr>
            <w:tcW w:type="dxa" w:w="15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(1.6) </w:t>
            </w:r>
          </w:p>
        </w:tc>
      </w:tr>
      <w:tr>
        <w:trPr>
          <w:trHeight w:hRule="exact" w:val="240"/>
        </w:trPr>
        <w:tc>
          <w:tcPr>
            <w:tcW w:type="dxa" w:w="473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Total Activity </w:t>
            </w:r>
          </w:p>
        </w:tc>
        <w:tc>
          <w:tcPr>
            <w:tcW w:type="dxa" w:w="15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4.5 </w:t>
            </w:r>
          </w:p>
        </w:tc>
      </w:tr>
      <w:tr>
        <w:trPr>
          <w:trHeight w:hRule="exact" w:val="228"/>
        </w:trPr>
        <w:tc>
          <w:tcPr>
            <w:tcW w:type="dxa" w:w="473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Equity as of June 30, 2024</w:t>
            </w:r>
          </w:p>
        </w:tc>
        <w:tc>
          <w:tcPr>
            <w:tcW w:type="dxa" w:w="936"/>
            <w:vMerge w:val="restart"/>
            <w:tcBorders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176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54"/>
            <w:vMerge w:val="restart"/>
            <w:tcBorders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190.3 </w:t>
            </w:r>
          </w:p>
        </w:tc>
      </w:tr>
      <w:tr>
        <w:trPr>
          <w:trHeight w:hRule="exact" w:val="334"/>
        </w:trPr>
        <w:tc>
          <w:tcPr>
            <w:tcW w:type="dxa" w:w="4730"/>
            <w:gridSpan w:val="2"/>
            <w:tcBorders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388"/>
            <w:vMerge/>
            <w:tcBorders>
              <w:bottom w:sz="8.0" w:val="single" w:color="#929292"/>
            </w:tcBorders>
          </w:tcPr>
          <w:p/>
        </w:tc>
        <w:tc>
          <w:tcPr>
            <w:tcW w:type="dxa" w:w="2388"/>
            <w:vMerge/>
            <w:tcBorders>
              <w:bottom w:sz="8.0" w:val="single" w:color="#929292"/>
            </w:tcBorders>
          </w:tcPr>
          <w:p/>
        </w:tc>
      </w:tr>
      <w:tr>
        <w:trPr>
          <w:trHeight w:hRule="exact" w:val="3148"/>
        </w:trPr>
        <w:tc>
          <w:tcPr>
            <w:tcW w:type="dxa" w:w="470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93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5850"/>
            <w:gridSpan w:val="3"/>
            <w:tcBorders>
              <w:top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934" w:after="0"/>
              <w:ind w:left="19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IDA Management's Discussion and Analysis:  June 30, 2024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0" w:right="1258" w:bottom="424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819"/>
        <w:gridCol w:w="4819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IV: Financial Results</w:t>
            </w:r>
          </w:p>
        </w:tc>
      </w:tr>
    </w:tbl>
    <w:p>
      <w:pPr>
        <w:autoSpaceDN w:val="0"/>
        <w:autoSpaceDE w:val="0"/>
        <w:widowControl/>
        <w:spacing w:line="244" w:lineRule="exact" w:before="388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Results from Financing Activities</w:t>
      </w:r>
    </w:p>
    <w:p>
      <w:pPr>
        <w:autoSpaceDN w:val="0"/>
        <w:autoSpaceDE w:val="0"/>
        <w:widowControl/>
        <w:spacing w:line="220" w:lineRule="exact" w:before="14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Loan Portfolio and Grant Activity</w:t>
      </w:r>
    </w:p>
    <w:p>
      <w:pPr>
        <w:autoSpaceDN w:val="0"/>
        <w:autoSpaceDE w:val="0"/>
        <w:widowControl/>
        <w:spacing w:line="240" w:lineRule="exact" w:before="124" w:after="0"/>
        <w:ind w:left="10" w:right="144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of June 30, 2024, net loans outstanding were $198.5 billion, $10.8 billion higher compared with June 30, 2023.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increase was mainly due to net loan disbursements of $13.0 billion during the year.</w:t>
      </w:r>
    </w:p>
    <w:p>
      <w:pPr>
        <w:autoSpaceDN w:val="0"/>
        <w:autoSpaceDE w:val="0"/>
        <w:widowControl/>
        <w:spacing w:line="240" w:lineRule="exact" w:before="120" w:after="342"/>
        <w:ind w:left="10" w:right="2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of June 30, 2024, 80% of IDA’s total loans outstanding were denominated in the SDR. For the regional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presentation of total loans outstanding, see Notes to the Financial Statements for the year ended June 30, 2024, Note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D – Loans and Other Exposures – Table D7.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10.0" w:type="dxa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rPr>
          <w:trHeight w:hRule="exact" w:val="272"/>
        </w:trPr>
        <w:tc>
          <w:tcPr>
            <w:tcW w:type="dxa" w:w="3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2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Figure 3: Net Loans Outstanding Activity</w:t>
            </w:r>
          </w:p>
        </w:tc>
        <w:tc>
          <w:tcPr>
            <w:tcW w:type="dxa" w:w="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11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4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3526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74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 Figure 4: Net Loans Outstanding</w:t>
            </w:r>
          </w:p>
        </w:tc>
        <w:tc>
          <w:tcPr>
            <w:tcW w:type="dxa" w:w="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198.5</w:t>
            </w:r>
          </w:p>
        </w:tc>
      </w:tr>
      <w:tr>
        <w:trPr>
          <w:trHeight w:hRule="exact" w:val="240"/>
        </w:trPr>
        <w:tc>
          <w:tcPr>
            <w:tcW w:type="dxa" w:w="3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2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In billions of U.S. dollars</w:t>
            </w:r>
          </w:p>
        </w:tc>
        <w:tc>
          <w:tcPr>
            <w:tcW w:type="dxa" w:w="876"/>
            <w:vMerge/>
            <w:tcBorders/>
          </w:tcPr>
          <w:p/>
        </w:tc>
        <w:tc>
          <w:tcPr>
            <w:tcW w:type="dxa" w:w="876"/>
            <w:vMerge/>
            <w:tcBorders/>
          </w:tcPr>
          <w:p/>
        </w:tc>
        <w:tc>
          <w:tcPr>
            <w:tcW w:type="dxa" w:w="876"/>
            <w:vMerge/>
            <w:tcBorders/>
          </w:tcPr>
          <w:p/>
        </w:tc>
        <w:tc>
          <w:tcPr>
            <w:tcW w:type="dxa" w:w="3526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74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 In billions of U.S. dollars</w:t>
            </w:r>
          </w:p>
        </w:tc>
        <w:tc>
          <w:tcPr>
            <w:tcW w:type="dxa" w:w="876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3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250</w:t>
            </w:r>
          </w:p>
        </w:tc>
        <w:tc>
          <w:tcPr>
            <w:tcW w:type="dxa" w:w="876"/>
            <w:vMerge/>
            <w:tcBorders/>
          </w:tcPr>
          <w:p/>
        </w:tc>
        <w:tc>
          <w:tcPr>
            <w:tcW w:type="dxa" w:w="876"/>
            <w:vMerge/>
            <w:tcBorders/>
          </w:tcPr>
          <w:p/>
        </w:tc>
        <w:tc>
          <w:tcPr>
            <w:tcW w:type="dxa" w:w="876"/>
            <w:vMerge/>
            <w:tcBorders/>
          </w:tcPr>
          <w:p/>
        </w:tc>
        <w:tc>
          <w:tcPr>
            <w:tcW w:type="dxa" w:w="118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32" w:after="0"/>
              <w:ind w:left="0" w:right="1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200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4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177.8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174.5</w:t>
            </w:r>
          </w:p>
        </w:tc>
        <w:tc>
          <w:tcPr>
            <w:tcW w:type="dxa" w:w="5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187.7</w:t>
            </w:r>
          </w:p>
        </w:tc>
        <w:tc>
          <w:tcPr>
            <w:tcW w:type="dxa" w:w="876"/>
            <w:vMerge/>
            <w:tcBorders/>
          </w:tcPr>
          <w:p/>
        </w:tc>
      </w:tr>
      <w:tr>
        <w:trPr>
          <w:trHeight w:hRule="exact" w:val="240"/>
        </w:trPr>
        <w:tc>
          <w:tcPr>
            <w:tcW w:type="dxa" w:w="3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124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21.2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1114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198.5</w:t>
            </w:r>
          </w:p>
        </w:tc>
        <w:tc>
          <w:tcPr>
            <w:tcW w:type="dxa" w:w="876"/>
            <w:vMerge/>
            <w:tcBorders/>
          </w:tcPr>
          <w:p/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6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161.0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876"/>
            <w:vMerge/>
            <w:tcBorders/>
          </w:tcPr>
          <w:p/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94"/>
        </w:trPr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200</w:t>
            </w:r>
          </w:p>
        </w:tc>
        <w:tc>
          <w:tcPr>
            <w:tcW w:type="dxa" w:w="2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25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187.7</w:t>
            </w:r>
          </w:p>
        </w:tc>
        <w:tc>
          <w:tcPr>
            <w:tcW w:type="dxa" w:w="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12" w:after="0"/>
              <w:ind w:left="1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(0.1)</w:t>
            </w:r>
          </w:p>
        </w:tc>
        <w:tc>
          <w:tcPr>
            <w:tcW w:type="dxa" w:w="111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8" w:after="0"/>
              <w:ind w:left="0" w:right="5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(2.1)</w:t>
            </w:r>
          </w:p>
        </w:tc>
        <w:tc>
          <w:tcPr>
            <w:tcW w:type="dxa" w:w="4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3526"/>
            <w:gridSpan w:val="5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78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150</w:t>
            </w:r>
          </w:p>
        </w:tc>
        <w:tc>
          <w:tcPr>
            <w:tcW w:type="dxa" w:w="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2"/>
        </w:trPr>
        <w:tc>
          <w:tcPr>
            <w:tcW w:type="dxa" w:w="3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" w:after="0"/>
              <w:ind w:left="0" w:right="3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(8.2)</w:t>
            </w:r>
          </w:p>
        </w:tc>
        <w:tc>
          <w:tcPr>
            <w:tcW w:type="dxa" w:w="876"/>
            <w:vMerge/>
            <w:tcBorders/>
          </w:tcPr>
          <w:p/>
        </w:tc>
        <w:tc>
          <w:tcPr>
            <w:tcW w:type="dxa" w:w="876"/>
            <w:vMerge/>
            <w:tcBorders/>
          </w:tcPr>
          <w:p/>
        </w:tc>
        <w:tc>
          <w:tcPr>
            <w:tcW w:type="dxa" w:w="876"/>
            <w:vMerge/>
            <w:tcBorders/>
          </w:tcPr>
          <w:p/>
        </w:tc>
        <w:tc>
          <w:tcPr>
            <w:tcW w:type="dxa" w:w="4380"/>
            <w:gridSpan w:val="5"/>
            <w:vMerge/>
            <w:tcBorders/>
          </w:tcPr>
          <w:p/>
        </w:tc>
        <w:tc>
          <w:tcPr>
            <w:tcW w:type="dxa" w:w="87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78" w:lineRule="exact" w:before="32" w:after="0"/>
        <w:ind w:left="0" w:right="3088" w:firstLine="0"/>
        <w:jc w:val="right"/>
      </w:pPr>
      <w:r>
        <w:rPr>
          <w:rFonts w:ascii="ArialMT" w:hAnsi="ArialMT" w:eastAsia="ArialMT"/>
          <w:b w:val="0"/>
          <w:i w:val="0"/>
          <w:color w:val="000000"/>
          <w:sz w:val="16"/>
        </w:rPr>
        <w:t>100</w:t>
      </w:r>
    </w:p>
    <w:p>
      <w:pPr>
        <w:autoSpaceDN w:val="0"/>
        <w:tabs>
          <w:tab w:pos="6372" w:val="left"/>
        </w:tabs>
        <w:autoSpaceDE w:val="0"/>
        <w:widowControl/>
        <w:spacing w:line="210" w:lineRule="exact" w:before="16" w:after="198"/>
        <w:ind w:left="28" w:right="3024" w:firstLine="0"/>
        <w:jc w:val="left"/>
      </w:pPr>
      <w:r>
        <w:rPr>
          <w:rFonts w:ascii="ArialMT" w:hAnsi="ArialMT" w:eastAsia="ArialMT"/>
          <w:b w:val="0"/>
          <w:i w:val="0"/>
          <w:color w:val="595959"/>
          <w:sz w:val="16"/>
        </w:rPr>
        <w:t xml:space="preserve">150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50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</w:tblGrid>
      <w:tr>
        <w:trPr>
          <w:trHeight w:hRule="exact" w:val="453"/>
        </w:trPr>
        <w:tc>
          <w:tcPr>
            <w:tcW w:type="dxa" w:w="4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100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278" w:after="0"/>
              <w:ind w:left="2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2"/>
              </w:rPr>
              <w:t xml:space="preserve">Net Loans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27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2"/>
              </w:rPr>
              <w:t xml:space="preserve">Gross loan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27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2"/>
              </w:rPr>
              <w:t xml:space="preserve">Repayments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27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2"/>
              </w:rPr>
              <w:t xml:space="preserve">Accumulated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27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2"/>
              </w:rPr>
              <w:t xml:space="preserve">Translation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278" w:after="0"/>
              <w:ind w:left="16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2"/>
              </w:rPr>
              <w:t xml:space="preserve">Net Loans </w:t>
            </w:r>
          </w:p>
        </w:tc>
        <w:tc>
          <w:tcPr>
            <w:tcW w:type="dxa" w:w="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4" w:after="0"/>
              <w:ind w:left="0" w:right="1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7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Jun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7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Jun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7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Jun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7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Jun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74" w:after="0"/>
              <w:ind w:left="0" w:right="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Jun </w:t>
            </w:r>
          </w:p>
        </w:tc>
      </w:tr>
      <w:tr>
        <w:trPr>
          <w:trHeight w:hRule="exact" w:val="101"/>
        </w:trPr>
        <w:tc>
          <w:tcPr>
            <w:tcW w:type="dxa" w:w="741"/>
            <w:vMerge/>
            <w:tcBorders/>
          </w:tcPr>
          <w:p/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0" w:after="0"/>
              <w:ind w:left="18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2"/>
              </w:rPr>
              <w:t xml:space="preserve">outstanding </w:t>
            </w:r>
          </w:p>
        </w:tc>
        <w:tc>
          <w:tcPr>
            <w:tcW w:type="dxa" w:w="9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2"/>
              </w:rPr>
              <w:t>disbursements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2"/>
              </w:rPr>
              <w:t xml:space="preserve">and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2"/>
              </w:rPr>
              <w:t xml:space="preserve">provision for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2"/>
              </w:rPr>
              <w:t xml:space="preserve">and other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0" w:after="0"/>
              <w:ind w:left="1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2"/>
              </w:rPr>
              <w:t xml:space="preserve">outstanding </w:t>
            </w:r>
          </w:p>
        </w:tc>
        <w:tc>
          <w:tcPr>
            <w:tcW w:type="dxa" w:w="741"/>
            <w:vMerge/>
            <w:tcBorders/>
          </w:tcPr>
          <w:p/>
        </w:tc>
        <w:tc>
          <w:tcPr>
            <w:tcW w:type="dxa" w:w="6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5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5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5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24</w:t>
            </w:r>
          </w:p>
        </w:tc>
      </w:tr>
      <w:tr>
        <w:trPr>
          <w:trHeight w:hRule="exact" w:val="140"/>
        </w:trPr>
        <w:tc>
          <w:tcPr>
            <w:tcW w:type="dxa" w:w="741"/>
            <w:vMerge/>
            <w:tcBorders/>
          </w:tcPr>
          <w:p/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6" w:after="0"/>
              <w:ind w:left="2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2"/>
              </w:rPr>
              <w:t xml:space="preserve">as of June </w:t>
            </w:r>
          </w:p>
        </w:tc>
        <w:tc>
          <w:tcPr>
            <w:tcW w:type="dxa" w:w="741"/>
            <w:vMerge/>
            <w:tcBorders/>
          </w:tcPr>
          <w:p/>
        </w:tc>
        <w:tc>
          <w:tcPr>
            <w:tcW w:type="dxa" w:w="8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2"/>
              </w:rPr>
              <w:t>prepayments</w:t>
            </w:r>
          </w:p>
        </w:tc>
        <w:tc>
          <w:tcPr>
            <w:tcW w:type="dxa" w:w="8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2"/>
              </w:rPr>
              <w:t>loan losses</w:t>
            </w:r>
          </w:p>
        </w:tc>
        <w:tc>
          <w:tcPr>
            <w:tcW w:type="dxa" w:w="8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2"/>
              </w:rPr>
              <w:t>adjustments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6" w:after="0"/>
              <w:ind w:left="1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2"/>
              </w:rPr>
              <w:t xml:space="preserve">as of June </w:t>
            </w:r>
          </w:p>
        </w:tc>
        <w:tc>
          <w:tcPr>
            <w:tcW w:type="dxa" w:w="741"/>
            <w:vMerge/>
            <w:tcBorders/>
          </w:tcPr>
          <w:p/>
        </w:tc>
        <w:tc>
          <w:tcPr>
            <w:tcW w:type="dxa" w:w="741"/>
            <w:vMerge/>
            <w:tcBorders/>
          </w:tcPr>
          <w:p/>
        </w:tc>
        <w:tc>
          <w:tcPr>
            <w:tcW w:type="dxa" w:w="741"/>
            <w:vMerge/>
            <w:tcBorders/>
          </w:tcPr>
          <w:p/>
        </w:tc>
        <w:tc>
          <w:tcPr>
            <w:tcW w:type="dxa" w:w="741"/>
            <w:vMerge/>
            <w:tcBorders/>
          </w:tcPr>
          <w:p/>
        </w:tc>
        <w:tc>
          <w:tcPr>
            <w:tcW w:type="dxa" w:w="741"/>
            <w:vMerge/>
            <w:tcBorders/>
          </w:tcPr>
          <w:p/>
        </w:tc>
        <w:tc>
          <w:tcPr>
            <w:tcW w:type="dxa" w:w="741"/>
            <w:vMerge/>
            <w:tcBorders/>
          </w:tcPr>
          <w:p/>
        </w:tc>
      </w:tr>
      <w:tr>
        <w:trPr>
          <w:trHeight w:hRule="exact" w:val="210"/>
        </w:trPr>
        <w:tc>
          <w:tcPr>
            <w:tcW w:type="dxa" w:w="741"/>
            <w:vMerge/>
            <w:tcBorders/>
          </w:tcPr>
          <w:p/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16" w:after="0"/>
              <w:ind w:left="0" w:right="17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2"/>
              </w:rPr>
              <w:t>30, 2023</w:t>
            </w:r>
          </w:p>
        </w:tc>
        <w:tc>
          <w:tcPr>
            <w:tcW w:type="dxa" w:w="741"/>
            <w:vMerge/>
            <w:tcBorders/>
          </w:tcPr>
          <w:p/>
        </w:tc>
        <w:tc>
          <w:tcPr>
            <w:tcW w:type="dxa" w:w="741"/>
            <w:vMerge/>
            <w:tcBorders/>
          </w:tcPr>
          <w:p/>
        </w:tc>
        <w:tc>
          <w:tcPr>
            <w:tcW w:type="dxa" w:w="741"/>
            <w:vMerge/>
            <w:tcBorders/>
          </w:tcPr>
          <w:p/>
        </w:tc>
        <w:tc>
          <w:tcPr>
            <w:tcW w:type="dxa" w:w="741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16" w:after="0"/>
              <w:ind w:left="20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2"/>
              </w:rPr>
              <w:t>30, 2024</w:t>
            </w:r>
          </w:p>
        </w:tc>
        <w:tc>
          <w:tcPr>
            <w:tcW w:type="dxa" w:w="741"/>
            <w:vMerge/>
            <w:tcBorders/>
          </w:tcPr>
          <w:p/>
        </w:tc>
        <w:tc>
          <w:tcPr>
            <w:tcW w:type="dxa" w:w="741"/>
            <w:vMerge/>
            <w:tcBorders/>
          </w:tcPr>
          <w:p/>
        </w:tc>
        <w:tc>
          <w:tcPr>
            <w:tcW w:type="dxa" w:w="741"/>
            <w:vMerge/>
            <w:tcBorders/>
          </w:tcPr>
          <w:p/>
        </w:tc>
        <w:tc>
          <w:tcPr>
            <w:tcW w:type="dxa" w:w="741"/>
            <w:vMerge/>
            <w:tcBorders/>
          </w:tcPr>
          <w:p/>
        </w:tc>
        <w:tc>
          <w:tcPr>
            <w:tcW w:type="dxa" w:w="741"/>
            <w:vMerge/>
            <w:tcBorders/>
          </w:tcPr>
          <w:p/>
        </w:tc>
        <w:tc>
          <w:tcPr>
            <w:tcW w:type="dxa" w:w="741"/>
            <w:vMerge/>
            <w:tcBorders/>
          </w:tcPr>
          <w:p/>
        </w:tc>
      </w:tr>
      <w:tr>
        <w:trPr>
          <w:trHeight w:hRule="exact" w:val="538"/>
        </w:trPr>
        <w:tc>
          <w:tcPr>
            <w:tcW w:type="dxa" w:w="954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78" w:lineRule="exact" w:before="232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Table 7: Gross Disbursements of Loans and Grants by Region</w:t>
      </w:r>
    </w:p>
    <w:p>
      <w:pPr>
        <w:autoSpaceDN w:val="0"/>
        <w:autoSpaceDE w:val="0"/>
        <w:widowControl/>
        <w:spacing w:line="178" w:lineRule="exact" w:before="74" w:after="74"/>
        <w:ind w:left="1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rPr>
          <w:trHeight w:hRule="exact" w:val="268"/>
        </w:trPr>
        <w:tc>
          <w:tcPr>
            <w:tcW w:type="dxa" w:w="261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2024</w:t>
            </w:r>
          </w:p>
        </w:tc>
        <w:tc>
          <w:tcPr>
            <w:tcW w:type="dxa" w:w="664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96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0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5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2023</w:t>
            </w:r>
          </w:p>
        </w:tc>
        <w:tc>
          <w:tcPr>
            <w:tcW w:type="dxa" w:w="656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64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0"/>
        </w:trPr>
        <w:tc>
          <w:tcPr>
            <w:tcW w:type="dxa" w:w="261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For the fiscal year  ended June 30,</w:t>
            </w:r>
          </w:p>
        </w:tc>
        <w:tc>
          <w:tcPr>
            <w:tcW w:type="dxa" w:w="26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7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 xml:space="preserve">Loans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808080"/>
                <w:sz w:val="10"/>
              </w:rPr>
              <w:t>a</w:t>
            </w:r>
          </w:p>
        </w:tc>
        <w:tc>
          <w:tcPr>
            <w:tcW w:type="dxa" w:w="96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1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 xml:space="preserve">Grants </w:t>
            </w:r>
          </w:p>
        </w:tc>
        <w:tc>
          <w:tcPr>
            <w:tcW w:type="dxa" w:w="664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6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Total</w:t>
            </w:r>
          </w:p>
        </w:tc>
        <w:tc>
          <w:tcPr>
            <w:tcW w:type="dxa" w:w="396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0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8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 xml:space="preserve">Loans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808080"/>
                <w:sz w:val="10"/>
              </w:rPr>
              <w:t>a</w:t>
            </w:r>
          </w:p>
        </w:tc>
        <w:tc>
          <w:tcPr>
            <w:tcW w:type="dxa" w:w="96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15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 xml:space="preserve">Grants </w:t>
            </w:r>
          </w:p>
        </w:tc>
        <w:tc>
          <w:tcPr>
            <w:tcW w:type="dxa" w:w="656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Total</w:t>
            </w:r>
          </w:p>
        </w:tc>
        <w:tc>
          <w:tcPr>
            <w:tcW w:type="dxa" w:w="364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Variance</w:t>
            </w:r>
          </w:p>
        </w:tc>
      </w:tr>
      <w:tr>
        <w:trPr>
          <w:trHeight w:hRule="exact" w:val="228"/>
        </w:trPr>
        <w:tc>
          <w:tcPr>
            <w:tcW w:type="dxa" w:w="2610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Eastern and Southern Africa</w:t>
            </w:r>
          </w:p>
        </w:tc>
        <w:tc>
          <w:tcPr>
            <w:tcW w:type="dxa" w:w="260"/>
            <w:vMerge w:val="restart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80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9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6,672 $ </w:t>
            </w:r>
          </w:p>
        </w:tc>
        <w:tc>
          <w:tcPr>
            <w:tcW w:type="dxa" w:w="960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2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4,024 $ </w:t>
            </w:r>
          </w:p>
        </w:tc>
        <w:tc>
          <w:tcPr>
            <w:tcW w:type="dxa" w:w="664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10,696 </w:t>
            </w:r>
          </w:p>
        </w:tc>
        <w:tc>
          <w:tcPr>
            <w:tcW w:type="dxa" w:w="396"/>
            <w:vMerge w:val="restart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5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00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20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6,345 $ </w:t>
            </w:r>
          </w:p>
        </w:tc>
        <w:tc>
          <w:tcPr>
            <w:tcW w:type="dxa" w:w="960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2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4,072 $ </w:t>
            </w:r>
          </w:p>
        </w:tc>
        <w:tc>
          <w:tcPr>
            <w:tcW w:type="dxa" w:w="656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10,417 </w:t>
            </w:r>
          </w:p>
        </w:tc>
        <w:tc>
          <w:tcPr>
            <w:tcW w:type="dxa" w:w="364"/>
            <w:vMerge w:val="restart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16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279 </w:t>
            </w:r>
          </w:p>
        </w:tc>
      </w:tr>
      <w:tr>
        <w:trPr>
          <w:trHeight w:hRule="exact" w:val="240"/>
        </w:trPr>
        <w:tc>
          <w:tcPr>
            <w:tcW w:type="dxa" w:w="26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Western and Central Africa</w:t>
            </w:r>
          </w:p>
        </w:tc>
        <w:tc>
          <w:tcPr>
            <w:tcW w:type="dxa" w:w="876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7,216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1,791 </w:t>
            </w:r>
          </w:p>
        </w:tc>
        <w:tc>
          <w:tcPr>
            <w:tcW w:type="dxa" w:w="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9,007 </w:t>
            </w:r>
          </w:p>
        </w:tc>
        <w:tc>
          <w:tcPr>
            <w:tcW w:type="dxa" w:w="876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6,034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1,914 </w:t>
            </w:r>
          </w:p>
        </w:tc>
        <w:tc>
          <w:tcPr>
            <w:tcW w:type="dxa" w:w="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7,948 </w:t>
            </w:r>
          </w:p>
        </w:tc>
        <w:tc>
          <w:tcPr>
            <w:tcW w:type="dxa" w:w="876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7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1,059 </w:t>
            </w:r>
          </w:p>
        </w:tc>
      </w:tr>
      <w:tr>
        <w:trPr>
          <w:trHeight w:hRule="exact" w:val="240"/>
        </w:trPr>
        <w:tc>
          <w:tcPr>
            <w:tcW w:type="dxa" w:w="26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East Asia and Pacific</w:t>
            </w:r>
          </w:p>
        </w:tc>
        <w:tc>
          <w:tcPr>
            <w:tcW w:type="dxa" w:w="876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23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839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2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176 </w:t>
            </w:r>
          </w:p>
        </w:tc>
        <w:tc>
          <w:tcPr>
            <w:tcW w:type="dxa" w:w="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1,015 </w:t>
            </w:r>
          </w:p>
        </w:tc>
        <w:tc>
          <w:tcPr>
            <w:tcW w:type="dxa" w:w="876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1,297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151 </w:t>
            </w:r>
          </w:p>
        </w:tc>
        <w:tc>
          <w:tcPr>
            <w:tcW w:type="dxa" w:w="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1,448 </w:t>
            </w:r>
          </w:p>
        </w:tc>
        <w:tc>
          <w:tcPr>
            <w:tcW w:type="dxa" w:w="876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7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(433) </w:t>
            </w:r>
          </w:p>
        </w:tc>
      </w:tr>
      <w:tr>
        <w:trPr>
          <w:trHeight w:hRule="exact" w:val="240"/>
        </w:trPr>
        <w:tc>
          <w:tcPr>
            <w:tcW w:type="dxa" w:w="26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Europe and Central Asia</w:t>
            </w:r>
          </w:p>
        </w:tc>
        <w:tc>
          <w:tcPr>
            <w:tcW w:type="dxa" w:w="876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23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900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2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287 </w:t>
            </w:r>
          </w:p>
        </w:tc>
        <w:tc>
          <w:tcPr>
            <w:tcW w:type="dxa" w:w="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1,187 </w:t>
            </w:r>
          </w:p>
        </w:tc>
        <w:tc>
          <w:tcPr>
            <w:tcW w:type="dxa" w:w="876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2,104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281 </w:t>
            </w:r>
          </w:p>
        </w:tc>
        <w:tc>
          <w:tcPr>
            <w:tcW w:type="dxa" w:w="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2,385 </w:t>
            </w:r>
          </w:p>
        </w:tc>
        <w:tc>
          <w:tcPr>
            <w:tcW w:type="dxa" w:w="876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7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(1,198) </w:t>
            </w:r>
          </w:p>
        </w:tc>
      </w:tr>
      <w:tr>
        <w:trPr>
          <w:trHeight w:hRule="exact" w:val="240"/>
        </w:trPr>
        <w:tc>
          <w:tcPr>
            <w:tcW w:type="dxa" w:w="26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Latin America and the Caribbean</w:t>
            </w:r>
          </w:p>
        </w:tc>
        <w:tc>
          <w:tcPr>
            <w:tcW w:type="dxa" w:w="876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23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430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2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172 </w:t>
            </w:r>
          </w:p>
        </w:tc>
        <w:tc>
          <w:tcPr>
            <w:tcW w:type="dxa" w:w="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602 </w:t>
            </w:r>
          </w:p>
        </w:tc>
        <w:tc>
          <w:tcPr>
            <w:tcW w:type="dxa" w:w="876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24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235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2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87 </w:t>
            </w:r>
          </w:p>
        </w:tc>
        <w:tc>
          <w:tcPr>
            <w:tcW w:type="dxa" w:w="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322 </w:t>
            </w:r>
          </w:p>
        </w:tc>
        <w:tc>
          <w:tcPr>
            <w:tcW w:type="dxa" w:w="876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7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280 </w:t>
            </w:r>
          </w:p>
        </w:tc>
      </w:tr>
      <w:tr>
        <w:trPr>
          <w:trHeight w:hRule="exact" w:val="240"/>
        </w:trPr>
        <w:tc>
          <w:tcPr>
            <w:tcW w:type="dxa" w:w="26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Middle East and North Africa</w:t>
            </w:r>
          </w:p>
        </w:tc>
        <w:tc>
          <w:tcPr>
            <w:tcW w:type="dxa" w:w="876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23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97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2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490 </w:t>
            </w:r>
          </w:p>
        </w:tc>
        <w:tc>
          <w:tcPr>
            <w:tcW w:type="dxa" w:w="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587 </w:t>
            </w:r>
          </w:p>
        </w:tc>
        <w:tc>
          <w:tcPr>
            <w:tcW w:type="dxa" w:w="876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24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46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506 </w:t>
            </w:r>
          </w:p>
        </w:tc>
        <w:tc>
          <w:tcPr>
            <w:tcW w:type="dxa" w:w="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552 </w:t>
            </w:r>
          </w:p>
        </w:tc>
        <w:tc>
          <w:tcPr>
            <w:tcW w:type="dxa" w:w="876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7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35 </w:t>
            </w:r>
          </w:p>
        </w:tc>
      </w:tr>
      <w:tr>
        <w:trPr>
          <w:trHeight w:hRule="exact" w:val="252"/>
        </w:trPr>
        <w:tc>
          <w:tcPr>
            <w:tcW w:type="dxa" w:w="261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South Asia</w:t>
            </w:r>
          </w:p>
        </w:tc>
        <w:tc>
          <w:tcPr>
            <w:tcW w:type="dxa" w:w="876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88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4,902 </w:t>
            </w:r>
          </w:p>
        </w:tc>
        <w:tc>
          <w:tcPr>
            <w:tcW w:type="dxa" w:w="96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2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251 </w:t>
            </w:r>
          </w:p>
        </w:tc>
        <w:tc>
          <w:tcPr>
            <w:tcW w:type="dxa" w:w="664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5,153 </w:t>
            </w:r>
          </w:p>
        </w:tc>
        <w:tc>
          <w:tcPr>
            <w:tcW w:type="dxa" w:w="876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90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4,487 </w:t>
            </w:r>
          </w:p>
        </w:tc>
        <w:tc>
          <w:tcPr>
            <w:tcW w:type="dxa" w:w="96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159 </w:t>
            </w:r>
          </w:p>
        </w:tc>
        <w:tc>
          <w:tcPr>
            <w:tcW w:type="dxa" w:w="656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4,646 </w:t>
            </w:r>
          </w:p>
        </w:tc>
        <w:tc>
          <w:tcPr>
            <w:tcW w:type="dxa" w:w="876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716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507 </w:t>
            </w:r>
          </w:p>
        </w:tc>
      </w:tr>
      <w:tr>
        <w:trPr>
          <w:trHeight w:hRule="exact" w:val="220"/>
        </w:trPr>
        <w:tc>
          <w:tcPr>
            <w:tcW w:type="dxa" w:w="261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26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8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0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21,056 $ </w:t>
            </w:r>
          </w:p>
        </w:tc>
        <w:tc>
          <w:tcPr>
            <w:tcW w:type="dxa" w:w="96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2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7,191 $ </w:t>
            </w:r>
          </w:p>
        </w:tc>
        <w:tc>
          <w:tcPr>
            <w:tcW w:type="dxa" w:w="664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28,247 </w:t>
            </w:r>
          </w:p>
        </w:tc>
        <w:tc>
          <w:tcPr>
            <w:tcW w:type="dxa" w:w="396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5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0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1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20,548 $ </w:t>
            </w:r>
          </w:p>
        </w:tc>
        <w:tc>
          <w:tcPr>
            <w:tcW w:type="dxa" w:w="96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22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7,170 $ </w:t>
            </w:r>
          </w:p>
        </w:tc>
        <w:tc>
          <w:tcPr>
            <w:tcW w:type="dxa" w:w="656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27,718 </w:t>
            </w:r>
          </w:p>
        </w:tc>
        <w:tc>
          <w:tcPr>
            <w:tcW w:type="dxa" w:w="364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16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529 </w:t>
            </w:r>
          </w:p>
        </w:tc>
      </w:tr>
      <w:tr>
        <w:trPr>
          <w:trHeight w:hRule="exact" w:val="260"/>
        </w:trPr>
        <w:tc>
          <w:tcPr>
            <w:tcW w:type="dxa" w:w="2610"/>
            <w:tcBorders>
              <w:top w:sz="8.0" w:val="single" w:color="#929292"/>
              <w:bottom w:sz="8.0" w:val="single" w:color="#B6B6B6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0"/>
            <w:tcBorders>
              <w:top w:sz="8.0" w:val="single" w:color="#929292"/>
              <w:bottom w:sz="8.0" w:val="single" w:color="#B6B6B6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80"/>
            <w:tcBorders>
              <w:top w:sz="8.0" w:val="single" w:color="#929292"/>
              <w:bottom w:sz="8.0" w:val="single" w:color="#B6B6B6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0"/>
            <w:tcBorders>
              <w:top w:sz="8.0" w:val="single" w:color="#929292"/>
              <w:bottom w:sz="8.0" w:val="single" w:color="#B6B6B6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64"/>
            <w:tcBorders>
              <w:top w:sz="8.0" w:val="single" w:color="#929292"/>
              <w:bottom w:sz="8.0" w:val="single" w:color="#B6B6B6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96"/>
            <w:tcBorders>
              <w:top w:sz="8.0" w:val="single" w:color="#929292"/>
              <w:bottom w:sz="8.0" w:val="single" w:color="#B6B6B6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00"/>
            <w:tcBorders>
              <w:top w:sz="8.0" w:val="single" w:color="#929292"/>
              <w:bottom w:sz="8.0" w:val="single" w:color="#B6B6B6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0"/>
            <w:tcBorders>
              <w:top w:sz="8.0" w:val="single" w:color="#929292"/>
              <w:bottom w:sz="8.0" w:val="single" w:color="#B6B6B6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6"/>
            <w:tcBorders>
              <w:top w:sz="8.0" w:val="single" w:color="#929292"/>
              <w:bottom w:sz="8.0" w:val="single" w:color="#B6B6B6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64"/>
            <w:tcBorders>
              <w:top w:sz="8.0" w:val="single" w:color="#929292"/>
              <w:bottom w:sz="8.0" w:val="single" w:color="#B6B6B6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6"/>
            <w:tcBorders>
              <w:top w:sz="8.0" w:val="single" w:color="#929292"/>
              <w:bottom w:sz="8.0" w:val="single" w:color="#B6B6B6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tabs>
          <w:tab w:pos="242" w:val="left"/>
        </w:tabs>
        <w:autoSpaceDE w:val="0"/>
        <w:widowControl/>
        <w:spacing w:line="192" w:lineRule="exact" w:before="22" w:after="0"/>
        <w:ind w:left="62" w:right="288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a. Excludes PSW related disbursements - $137 million (FY23 - $53 million) and includes disbursements towards guarantees called </w:t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>- $100 million (FY23 YTD - $50</w:t>
      </w:r>
      <w:r>
        <w:rPr>
          <w:rFonts w:ascii="Arial" w:hAnsi="Arial" w:eastAsia="Arial"/>
          <w:b w:val="0"/>
          <w:i/>
          <w:color w:val="000000"/>
          <w:sz w:val="16"/>
        </w:rPr>
        <w:t>million).</w:t>
      </w:r>
    </w:p>
    <w:p>
      <w:pPr>
        <w:autoSpaceDN w:val="0"/>
        <w:autoSpaceDE w:val="0"/>
        <w:widowControl/>
        <w:spacing w:line="222" w:lineRule="exact" w:before="232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As of June 30, 2024, 53% of IDA’s loans were on regular terms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(75 basis points SDR-equivalent service charge) </w:t>
      </w:r>
    </w:p>
    <w:p>
      <w:pPr>
        <w:autoSpaceDN w:val="0"/>
        <w:autoSpaceDE w:val="0"/>
        <w:widowControl/>
        <w:spacing w:line="240" w:lineRule="exact" w:before="24" w:after="0"/>
        <w:ind w:left="10" w:right="144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(Table 8). The increase in IDA’s revenue from loans in FY24 compared to FY23 was primarily due to the higher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average balance, and the increase in interest rates on non-concessional loans.</w:t>
      </w:r>
    </w:p>
    <w:p>
      <w:pPr>
        <w:autoSpaceDN w:val="0"/>
        <w:tabs>
          <w:tab w:pos="9094" w:val="left"/>
        </w:tabs>
        <w:autoSpaceDE w:val="0"/>
        <w:widowControl/>
        <w:spacing w:line="224" w:lineRule="exact" w:before="2310" w:after="0"/>
        <w:ind w:left="32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Management's Discussion and Analysis: 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19</w:t>
      </w:r>
    </w:p>
    <w:p>
      <w:pPr>
        <w:sectPr>
          <w:pgSz w:w="12240" w:h="15840"/>
          <w:pgMar w:top="360" w:right="1172" w:bottom="424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20"/>
        <w:gridCol w:w="4720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IV: Financial Results</w:t>
            </w:r>
          </w:p>
        </w:tc>
      </w:tr>
    </w:tbl>
    <w:p>
      <w:pPr>
        <w:autoSpaceDN w:val="0"/>
        <w:autoSpaceDE w:val="0"/>
        <w:widowControl/>
        <w:spacing w:line="178" w:lineRule="exact" w:before="408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Table 8: Revenue and Loan Balances by Product Category</w:t>
      </w:r>
    </w:p>
    <w:p>
      <w:pPr>
        <w:autoSpaceDN w:val="0"/>
        <w:autoSpaceDE w:val="0"/>
        <w:widowControl/>
        <w:spacing w:line="178" w:lineRule="exact" w:before="74" w:after="0"/>
        <w:ind w:left="1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p>
      <w:pPr>
        <w:autoSpaceDN w:val="0"/>
        <w:autoSpaceDE w:val="0"/>
        <w:widowControl/>
        <w:spacing w:line="202" w:lineRule="exact" w:before="100" w:after="16"/>
        <w:ind w:left="0" w:right="520" w:firstLine="0"/>
        <w:jc w:val="right"/>
      </w:pPr>
      <w:r>
        <w:rPr>
          <w:rFonts w:ascii="ArialMT" w:hAnsi="ArialMT" w:eastAsia="ArialMT"/>
          <w:b w:val="0"/>
          <w:i w:val="0"/>
          <w:color w:val="808080"/>
          <w:sz w:val="16"/>
        </w:rPr>
        <w:t xml:space="preserve">Interest revenue on loans </w:t>
      </w:r>
      <w:r>
        <w:rPr>
          <w:w w:val="103.99999618530273"/>
          <w:rFonts w:ascii="ArialMT" w:hAnsi="ArialMT" w:eastAsia="ArialMT"/>
          <w:b w:val="0"/>
          <w:i w:val="0"/>
          <w:color w:val="808080"/>
          <w:sz w:val="10"/>
        </w:rPr>
        <w:t>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88"/>
        <w:gridCol w:w="1888"/>
        <w:gridCol w:w="1888"/>
        <w:gridCol w:w="1888"/>
        <w:gridCol w:w="1888"/>
      </w:tblGrid>
      <w:tr>
        <w:trPr>
          <w:trHeight w:hRule="exact" w:val="224"/>
        </w:trPr>
        <w:tc>
          <w:tcPr>
            <w:tcW w:type="dxa" w:w="2430"/>
            <w:tcBorders>
              <w:top w:sz="8.0" w:val="single" w:color="#B6B6B6"/>
              <w:bottom w:sz="8.0" w:val="single" w:color="#B6B6B6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400"/>
            <w:tcBorders>
              <w:top w:sz="8.0" w:val="single" w:color="#B6B6B6"/>
              <w:bottom w:sz="8.0" w:val="single" w:color="#B6B6B6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0" w:after="0"/>
              <w:ind w:left="0" w:right="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Balance as of June 30,</w:t>
            </w:r>
          </w:p>
        </w:tc>
        <w:tc>
          <w:tcPr>
            <w:tcW w:type="dxa" w:w="680"/>
            <w:tcBorders>
              <w:top w:sz="8.0" w:val="single" w:color="#B6B6B6"/>
              <w:bottom w:sz="8.0" w:val="single" w:color="#B6B6B6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824"/>
            <w:gridSpan w:val="2"/>
            <w:tcBorders>
              <w:bottom w:sz="8.0" w:val="single" w:color="#B6B6B6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" w:after="0"/>
              <w:ind w:left="25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For the fiscal year ended June 30,</w:t>
            </w:r>
          </w:p>
        </w:tc>
      </w:tr>
      <w:tr>
        <w:trPr>
          <w:trHeight w:hRule="exact" w:val="226"/>
        </w:trPr>
        <w:tc>
          <w:tcPr>
            <w:tcW w:type="dxa" w:w="2430"/>
            <w:tcBorders>
              <w:top w:sz="8.0" w:val="single" w:color="#B6B6B6"/>
              <w:bottom w:sz="8.0" w:val="single" w:color="#B6B6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Category</w:t>
            </w:r>
          </w:p>
        </w:tc>
        <w:tc>
          <w:tcPr>
            <w:tcW w:type="dxa" w:w="3400"/>
            <w:tcBorders>
              <w:top w:sz="8.0" w:val="single" w:color="#B6B6B6"/>
              <w:bottom w:sz="8.0" w:val="single" w:color="#B6B6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10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2024</w:t>
            </w:r>
          </w:p>
        </w:tc>
        <w:tc>
          <w:tcPr>
            <w:tcW w:type="dxa" w:w="680"/>
            <w:tcBorders>
              <w:top w:sz="8.0" w:val="single" w:color="#B6B6B6"/>
              <w:bottom w:sz="8.0" w:val="single" w:color="#B6B6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8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2023</w:t>
            </w:r>
          </w:p>
        </w:tc>
        <w:tc>
          <w:tcPr>
            <w:tcW w:type="dxa" w:w="1820"/>
            <w:tcBorders>
              <w:top w:sz="8.0" w:val="single" w:color="#B6B6B6"/>
              <w:bottom w:sz="8.0" w:val="single" w:color="#B6B6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5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2024</w:t>
            </w:r>
          </w:p>
        </w:tc>
        <w:tc>
          <w:tcPr>
            <w:tcW w:type="dxa" w:w="1004"/>
            <w:tcBorders>
              <w:top w:sz="8.0" w:val="single" w:color="#B6B6B6"/>
              <w:bottom w:sz="8.0" w:val="single" w:color="#B6B6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6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2023</w:t>
            </w:r>
          </w:p>
        </w:tc>
      </w:tr>
    </w:tbl>
    <w:p>
      <w:pPr>
        <w:autoSpaceDN w:val="0"/>
        <w:autoSpaceDE w:val="0"/>
        <w:widowControl/>
        <w:spacing w:line="178" w:lineRule="exact" w:before="10" w:after="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Loans</w:t>
      </w:r>
    </w:p>
    <w:p>
      <w:pPr>
        <w:autoSpaceDN w:val="0"/>
        <w:autoSpaceDE w:val="0"/>
        <w:widowControl/>
        <w:spacing w:line="180" w:lineRule="exact" w:before="46" w:after="22"/>
        <w:ind w:left="15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Concessional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87"/>
        <w:gridCol w:w="787"/>
        <w:gridCol w:w="787"/>
        <w:gridCol w:w="787"/>
        <w:gridCol w:w="787"/>
        <w:gridCol w:w="787"/>
        <w:gridCol w:w="787"/>
        <w:gridCol w:w="787"/>
        <w:gridCol w:w="787"/>
        <w:gridCol w:w="787"/>
        <w:gridCol w:w="787"/>
        <w:gridCol w:w="787"/>
      </w:tblGrid>
      <w:tr>
        <w:trPr>
          <w:trHeight w:hRule="exact" w:val="214"/>
        </w:trPr>
        <w:tc>
          <w:tcPr>
            <w:tcW w:type="dxa" w:w="325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Regular</w:t>
            </w:r>
          </w:p>
        </w:tc>
        <w:tc>
          <w:tcPr>
            <w:tcW w:type="dxa" w:w="7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19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106,972 </w:t>
            </w:r>
          </w:p>
        </w:tc>
        <w:tc>
          <w:tcPr>
            <w:tcW w:type="dxa" w:w="5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106,720 </w:t>
            </w:r>
          </w:p>
        </w:tc>
        <w:tc>
          <w:tcPr>
            <w:tcW w:type="dxa" w:w="67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3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4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824 </w:t>
            </w:r>
          </w:p>
        </w:tc>
        <w:tc>
          <w:tcPr>
            <w:tcW w:type="dxa" w:w="85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92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806 </w:t>
            </w:r>
          </w:p>
        </w:tc>
      </w:tr>
      <w:tr>
        <w:trPr>
          <w:trHeight w:hRule="exact" w:val="220"/>
        </w:trPr>
        <w:tc>
          <w:tcPr>
            <w:tcW w:type="dxa" w:w="325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4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Blend</w:t>
            </w:r>
          </w:p>
        </w:tc>
        <w:tc>
          <w:tcPr>
            <w:tcW w:type="dxa" w:w="1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4" w:after="0"/>
              <w:ind w:left="0" w:right="1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74,162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4" w:after="0"/>
              <w:ind w:left="0" w:right="1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69,908 </w:t>
            </w:r>
          </w:p>
        </w:tc>
        <w:tc>
          <w:tcPr>
            <w:tcW w:type="dxa" w:w="13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4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1,183 </w:t>
            </w:r>
          </w:p>
        </w:tc>
        <w:tc>
          <w:tcPr>
            <w:tcW w:type="dxa" w:w="154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4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1,072 </w:t>
            </w:r>
          </w:p>
        </w:tc>
      </w:tr>
      <w:tr>
        <w:trPr>
          <w:trHeight w:hRule="exact" w:val="240"/>
        </w:trPr>
        <w:tc>
          <w:tcPr>
            <w:tcW w:type="dxa" w:w="325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8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Hard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b</w:t>
            </w:r>
          </w:p>
        </w:tc>
        <w:tc>
          <w:tcPr>
            <w:tcW w:type="dxa" w:w="1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1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1,240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1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1,280 </w:t>
            </w:r>
          </w:p>
        </w:tc>
        <w:tc>
          <w:tcPr>
            <w:tcW w:type="dxa" w:w="13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42 </w:t>
            </w:r>
          </w:p>
        </w:tc>
        <w:tc>
          <w:tcPr>
            <w:tcW w:type="dxa" w:w="154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44 </w:t>
            </w:r>
          </w:p>
        </w:tc>
      </w:tr>
      <w:tr>
        <w:trPr>
          <w:trHeight w:hRule="exact" w:val="240"/>
        </w:trPr>
        <w:tc>
          <w:tcPr>
            <w:tcW w:type="dxa" w:w="325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Concessional Shorter-Maturity Loans</w:t>
            </w:r>
          </w:p>
        </w:tc>
        <w:tc>
          <w:tcPr>
            <w:tcW w:type="dxa" w:w="1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5,287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3,014 </w:t>
            </w:r>
          </w:p>
        </w:tc>
        <w:tc>
          <w:tcPr>
            <w:tcW w:type="dxa" w:w="13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NA</w:t>
            </w:r>
          </w:p>
        </w:tc>
        <w:tc>
          <w:tcPr>
            <w:tcW w:type="dxa" w:w="154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NA</w:t>
            </w:r>
          </w:p>
        </w:tc>
      </w:tr>
      <w:tr>
        <w:trPr>
          <w:trHeight w:hRule="exact" w:val="220"/>
        </w:trPr>
        <w:tc>
          <w:tcPr>
            <w:tcW w:type="dxa" w:w="325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19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50-year</w:t>
            </w:r>
          </w:p>
        </w:tc>
        <w:tc>
          <w:tcPr>
            <w:tcW w:type="dxa" w:w="1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2,390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1,113 </w:t>
            </w:r>
          </w:p>
        </w:tc>
        <w:tc>
          <w:tcPr>
            <w:tcW w:type="dxa" w:w="13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NA</w:t>
            </w:r>
          </w:p>
        </w:tc>
        <w:tc>
          <w:tcPr>
            <w:tcW w:type="dxa" w:w="154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NA</w:t>
            </w:r>
          </w:p>
        </w:tc>
      </w:tr>
      <w:tr>
        <w:trPr>
          <w:trHeight w:hRule="exact" w:val="220"/>
        </w:trPr>
        <w:tc>
          <w:tcPr>
            <w:tcW w:type="dxa" w:w="325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8" w:after="0"/>
              <w:ind w:left="1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Non-concessional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c</w:t>
            </w:r>
          </w:p>
        </w:tc>
        <w:tc>
          <w:tcPr>
            <w:tcW w:type="dxa" w:w="1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1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12,111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1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9,497 </w:t>
            </w:r>
          </w:p>
        </w:tc>
        <w:tc>
          <w:tcPr>
            <w:tcW w:type="dxa" w:w="13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553 </w:t>
            </w:r>
          </w:p>
        </w:tc>
        <w:tc>
          <w:tcPr>
            <w:tcW w:type="dxa" w:w="154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322 </w:t>
            </w:r>
          </w:p>
        </w:tc>
      </w:tr>
      <w:tr>
        <w:trPr>
          <w:trHeight w:hRule="exact" w:val="254"/>
        </w:trPr>
        <w:tc>
          <w:tcPr>
            <w:tcW w:type="dxa" w:w="3250"/>
            <w:gridSpan w:val="2"/>
            <w:tcBorders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1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Others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d</w:t>
            </w:r>
          </w:p>
        </w:tc>
        <w:tc>
          <w:tcPr>
            <w:tcW w:type="dxa" w:w="1720"/>
            <w:gridSpan w:val="2"/>
            <w:tcBorders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1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386 </w:t>
            </w:r>
          </w:p>
        </w:tc>
        <w:tc>
          <w:tcPr>
            <w:tcW w:type="dxa" w:w="1500"/>
            <w:gridSpan w:val="2"/>
            <w:tcBorders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1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152 </w:t>
            </w:r>
          </w:p>
        </w:tc>
        <w:tc>
          <w:tcPr>
            <w:tcW w:type="dxa" w:w="1320"/>
            <w:gridSpan w:val="3"/>
            <w:tcBorders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18 </w:t>
            </w:r>
          </w:p>
        </w:tc>
        <w:tc>
          <w:tcPr>
            <w:tcW w:type="dxa" w:w="1544"/>
            <w:gridSpan w:val="3"/>
            <w:tcBorders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 </w:t>
            </w:r>
          </w:p>
        </w:tc>
      </w:tr>
      <w:tr>
        <w:trPr>
          <w:trHeight w:hRule="exact" w:val="206"/>
        </w:trPr>
        <w:tc>
          <w:tcPr>
            <w:tcW w:type="dxa" w:w="3250"/>
            <w:gridSpan w:val="2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738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192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82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202,548 </w:t>
            </w:r>
          </w:p>
        </w:tc>
        <w:tc>
          <w:tcPr>
            <w:tcW w:type="dxa" w:w="518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82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191,684 </w:t>
            </w:r>
          </w:p>
        </w:tc>
        <w:tc>
          <w:tcPr>
            <w:tcW w:type="dxa" w:w="608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282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12"/>
            <w:gridSpan w:val="2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2,620 </w:t>
            </w:r>
          </w:p>
        </w:tc>
        <w:tc>
          <w:tcPr>
            <w:tcW w:type="dxa" w:w="788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282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56"/>
            <w:gridSpan w:val="2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32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2,250 </w:t>
            </w:r>
          </w:p>
        </w:tc>
      </w:tr>
      <w:tr>
        <w:trPr>
          <w:trHeight w:hRule="exact" w:val="430"/>
        </w:trPr>
        <w:tc>
          <w:tcPr>
            <w:tcW w:type="dxa" w:w="290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a.</w:t>
            </w:r>
          </w:p>
        </w:tc>
        <w:tc>
          <w:tcPr>
            <w:tcW w:type="dxa" w:w="9044"/>
            <w:gridSpan w:val="11"/>
            <w:tcBorders>
              <w:top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38" w:after="0"/>
              <w:ind w:left="13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Excludes interest rate swap income or expense from loan related derivatives - $19 million of income in FY24 ($6 million of </w:t>
            </w:r>
          </w:p>
        </w:tc>
      </w:tr>
    </w:tbl>
    <w:p>
      <w:pPr>
        <w:autoSpaceDN w:val="0"/>
        <w:autoSpaceDE w:val="0"/>
        <w:widowControl/>
        <w:spacing w:line="178" w:lineRule="exact" w:before="2" w:after="18"/>
        <w:ind w:left="42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income in FY23).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4720"/>
        <w:gridCol w:w="4720"/>
      </w:tblGrid>
      <w:tr>
        <w:trPr>
          <w:trHeight w:hRule="exact" w:val="416"/>
        </w:trPr>
        <w:tc>
          <w:tcPr>
            <w:tcW w:type="dxa" w:w="2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b. </w:t>
            </w: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c.</w:t>
            </w:r>
          </w:p>
        </w:tc>
        <w:tc>
          <w:tcPr>
            <w:tcW w:type="dxa" w:w="90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" w:after="0"/>
              <w:ind w:left="13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Effective FY18, Hard-term loans are no longer offered.</w:t>
            </w:r>
          </w:p>
          <w:p>
            <w:pPr>
              <w:autoSpaceDN w:val="0"/>
              <w:autoSpaceDE w:val="0"/>
              <w:widowControl/>
              <w:spacing w:line="180" w:lineRule="exact" w:before="3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In addition, $26 million of commitment charges were earned in FY24 on undisbursed balances of non-concessional loans </w:t>
            </w:r>
          </w:p>
        </w:tc>
      </w:tr>
    </w:tbl>
    <w:p>
      <w:pPr>
        <w:autoSpaceDN w:val="0"/>
        <w:autoSpaceDE w:val="0"/>
        <w:widowControl/>
        <w:spacing w:line="180" w:lineRule="exact" w:before="6" w:after="12"/>
        <w:ind w:left="42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($27 million in FY23).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4720"/>
        <w:gridCol w:w="4720"/>
      </w:tblGrid>
      <w:tr>
        <w:trPr>
          <w:trHeight w:hRule="exact" w:val="252"/>
        </w:trPr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d.</w:t>
            </w:r>
          </w:p>
        </w:tc>
        <w:tc>
          <w:tcPr>
            <w:tcW w:type="dxa" w:w="6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13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Represents loans under the PSW and others.</w:t>
            </w:r>
          </w:p>
        </w:tc>
      </w:tr>
    </w:tbl>
    <w:p>
      <w:pPr>
        <w:autoSpaceDN w:val="0"/>
        <w:autoSpaceDE w:val="0"/>
        <w:widowControl/>
        <w:spacing w:line="222" w:lineRule="exact" w:before="144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Provision for losses on loans and other exposures</w:t>
      </w:r>
    </w:p>
    <w:p>
      <w:pPr>
        <w:autoSpaceDN w:val="0"/>
        <w:autoSpaceDE w:val="0"/>
        <w:widowControl/>
        <w:spacing w:line="240" w:lineRule="exact" w:before="122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FY24, IDA recorded a provision expense for losses on loans and other exposures of $275 million compared to 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provision expense of $688 million in FY23 (see Notes to the Financial Statements for the year ended June 30, 2024,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Note D – Loans and Other Exposures – Table D5). The decrease in provision expense was primarily due to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lower loss given default, a reduction in the expected default frequency, and the lower increase in loan and other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exposures in FY24 compared to FY23. The assumptions are reassessed quarterly. For adjusted net income purposes,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provision for losses on loans and other exposures excludes the provision for debt relief under HIPC/MDRI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provision for grant advances, since these are funded by contributions from members.</w:t>
      </w:r>
    </w:p>
    <w:p>
      <w:pPr>
        <w:autoSpaceDN w:val="0"/>
        <w:autoSpaceDE w:val="0"/>
        <w:widowControl/>
        <w:spacing w:line="242" w:lineRule="exact" w:before="132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Results from Investing Activities</w:t>
      </w:r>
    </w:p>
    <w:p>
      <w:pPr>
        <w:autoSpaceDN w:val="0"/>
        <w:autoSpaceDE w:val="0"/>
        <w:widowControl/>
        <w:spacing w:line="222" w:lineRule="exact" w:before="14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Investment Portfolio</w:t>
      </w:r>
    </w:p>
    <w:p>
      <w:pPr>
        <w:autoSpaceDN w:val="0"/>
        <w:autoSpaceDE w:val="0"/>
        <w:widowControl/>
        <w:spacing w:line="240" w:lineRule="exact" w:before="122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IDA’s net investment portfolio increased to $33.6 billion as of June 30, 2024, from $30.7 billion as of June 30,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2023. The  increase was primarily due to net cash inflows from new issuances of debt during the year. See Notes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Financial Statements for the year ended June 30, 2024, Note C - Investments. </w:t>
      </w:r>
    </w:p>
    <w:p>
      <w:pPr>
        <w:autoSpaceDN w:val="0"/>
        <w:autoSpaceDE w:val="0"/>
        <w:widowControl/>
        <w:spacing w:line="222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Investment interest revenue, net of derivatives</w:t>
      </w:r>
    </w:p>
    <w:p>
      <w:pPr>
        <w:autoSpaceDN w:val="0"/>
        <w:autoSpaceDE w:val="0"/>
        <w:widowControl/>
        <w:spacing w:line="222" w:lineRule="exact" w:before="140" w:after="0"/>
        <w:ind w:left="0" w:right="0" w:firstLine="0"/>
        <w:jc w:val="center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During FY24, IDA’s net interest revenue from investments was $1,317 million, an increase of $264 million </w:t>
      </w:r>
    </w:p>
    <w:p>
      <w:pPr>
        <w:autoSpaceDN w:val="0"/>
        <w:autoSpaceDE w:val="0"/>
        <w:widowControl/>
        <w:spacing w:line="260" w:lineRule="exact" w:before="8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compared with FY23. The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increase in interest revenue was mainly driven by the higher average interest rates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FY24 compared to FY23. </w:t>
      </w:r>
    </w:p>
    <w:p>
      <w:pPr>
        <w:autoSpaceDN w:val="0"/>
        <w:tabs>
          <w:tab w:pos="662" w:val="left"/>
        </w:tabs>
        <w:autoSpaceDE w:val="0"/>
        <w:widowControl/>
        <w:spacing w:line="224" w:lineRule="exact" w:before="3392" w:after="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Management's Discussion and Analysis:  June 30, 2024</w:t>
      </w:r>
    </w:p>
    <w:p>
      <w:pPr>
        <w:sectPr>
          <w:pgSz w:w="12240" w:h="15840"/>
          <w:pgMar w:top="360" w:right="1370" w:bottom="424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.999999999999886" w:type="dxa"/>
      </w:tblPr>
      <w:tblGrid>
        <w:gridCol w:w="727"/>
        <w:gridCol w:w="727"/>
        <w:gridCol w:w="727"/>
        <w:gridCol w:w="727"/>
        <w:gridCol w:w="727"/>
        <w:gridCol w:w="727"/>
        <w:gridCol w:w="727"/>
        <w:gridCol w:w="727"/>
        <w:gridCol w:w="727"/>
        <w:gridCol w:w="727"/>
        <w:gridCol w:w="727"/>
        <w:gridCol w:w="727"/>
        <w:gridCol w:w="727"/>
      </w:tblGrid>
      <w:tr>
        <w:trPr>
          <w:trHeight w:hRule="exact" w:val="284"/>
        </w:trPr>
        <w:tc>
          <w:tcPr>
            <w:tcW w:type="dxa" w:w="3564"/>
            <w:gridSpan w:val="6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804"/>
            <w:gridSpan w:val="7"/>
            <w:tcBorders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4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IV: Financial Results</w:t>
            </w:r>
          </w:p>
        </w:tc>
      </w:tr>
      <w:tr>
        <w:trPr>
          <w:trHeight w:hRule="exact" w:val="1016"/>
        </w:trPr>
        <w:tc>
          <w:tcPr>
            <w:tcW w:type="dxa" w:w="3564"/>
            <w:gridSpan w:val="6"/>
            <w:vMerge w:val="restart"/>
            <w:tcBorders>
              <w:top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328" w:after="0"/>
              <w:ind w:left="4" w:right="864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Figure 5: Net Investment Portfolio </w:t>
            </w: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In billions of U.S. dollars</w:t>
            </w:r>
          </w:p>
          <w:p>
            <w:pPr>
              <w:autoSpaceDN w:val="0"/>
              <w:autoSpaceDE w:val="0"/>
              <w:widowControl/>
              <w:spacing w:line="178" w:lineRule="exact" w:before="240" w:after="0"/>
              <w:ind w:left="2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50</w:t>
            </w:r>
          </w:p>
        </w:tc>
        <w:tc>
          <w:tcPr>
            <w:tcW w:type="dxa" w:w="5804"/>
            <w:gridSpan w:val="7"/>
            <w:tcBorders>
              <w:top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328" w:after="0"/>
              <w:ind w:left="148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Figure 6: Investment interest revenue, net of derivatives </w:t>
            </w: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In millions of U.S. dollars</w:t>
            </w:r>
          </w:p>
        </w:tc>
      </w:tr>
      <w:tr>
        <w:trPr>
          <w:trHeight w:hRule="exact" w:val="240"/>
        </w:trPr>
        <w:tc>
          <w:tcPr>
            <w:tcW w:type="dxa" w:w="4362"/>
            <w:gridSpan w:val="6"/>
            <w:vMerge/>
            <w:tcBorders>
              <w:top w:sz="4.0" w:val="single" w:color="#000000"/>
            </w:tcBorders>
          </w:tcPr>
          <w:p/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0" w:after="0"/>
              <w:ind w:left="19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33.6</w:t>
            </w:r>
          </w:p>
        </w:tc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6" w:after="0"/>
              <w:ind w:left="0" w:right="1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1,200</w:t>
            </w:r>
          </w:p>
        </w:tc>
        <w:tc>
          <w:tcPr>
            <w:tcW w:type="dxa" w:w="3604"/>
            <w:gridSpan w:val="5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84400" cy="8382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4400" cy="838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358"/>
        </w:trPr>
        <w:tc>
          <w:tcPr>
            <w:tcW w:type="dxa" w:w="60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7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35.6</w:t>
            </w:r>
          </w:p>
        </w:tc>
        <w:tc>
          <w:tcPr>
            <w:tcW w:type="dxa" w:w="51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37.9</w:t>
            </w:r>
          </w:p>
        </w:tc>
        <w:tc>
          <w:tcPr>
            <w:tcW w:type="dxa" w:w="94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18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39.6</w:t>
            </w:r>
          </w:p>
        </w:tc>
        <w:tc>
          <w:tcPr>
            <w:tcW w:type="dxa" w:w="7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30.7</w:t>
            </w:r>
          </w:p>
        </w:tc>
        <w:tc>
          <w:tcPr>
            <w:tcW w:type="dxa" w:w="727"/>
            <w:vMerge/>
            <w:tcBorders/>
          </w:tcPr>
          <w:p/>
        </w:tc>
        <w:tc>
          <w:tcPr>
            <w:tcW w:type="dxa" w:w="727"/>
            <w:vMerge/>
            <w:tcBorders/>
          </w:tcPr>
          <w:p/>
        </w:tc>
        <w:tc>
          <w:tcPr>
            <w:tcW w:type="dxa" w:w="3635"/>
            <w:gridSpan w:val="5"/>
            <w:vMerge/>
            <w:tcBorders/>
          </w:tcPr>
          <w:p/>
        </w:tc>
      </w:tr>
      <w:tr>
        <w:trPr>
          <w:trHeight w:hRule="exact" w:val="82"/>
        </w:trPr>
        <w:tc>
          <w:tcPr>
            <w:tcW w:type="dxa" w:w="727"/>
            <w:vMerge/>
            <w:tcBorders/>
          </w:tcPr>
          <w:p/>
        </w:tc>
        <w:tc>
          <w:tcPr>
            <w:tcW w:type="dxa" w:w="727"/>
            <w:vMerge/>
            <w:tcBorders/>
          </w:tcPr>
          <w:p/>
        </w:tc>
        <w:tc>
          <w:tcPr>
            <w:tcW w:type="dxa" w:w="727"/>
            <w:vMerge/>
            <w:tcBorders/>
          </w:tcPr>
          <w:p/>
        </w:tc>
        <w:tc>
          <w:tcPr>
            <w:tcW w:type="dxa" w:w="1454"/>
            <w:gridSpan w:val="2"/>
            <w:vMerge/>
            <w:tcBorders/>
          </w:tcPr>
          <w:p/>
        </w:tc>
        <w:tc>
          <w:tcPr>
            <w:tcW w:type="dxa" w:w="727"/>
            <w:vMerge/>
            <w:tcBorders/>
          </w:tcPr>
          <w:p/>
        </w:tc>
        <w:tc>
          <w:tcPr>
            <w:tcW w:type="dxa" w:w="727"/>
            <w:vMerge/>
            <w:tcBorders/>
          </w:tcPr>
          <w:p/>
        </w:tc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1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900</w:t>
            </w:r>
          </w:p>
        </w:tc>
        <w:tc>
          <w:tcPr>
            <w:tcW w:type="dxa" w:w="3635"/>
            <w:gridSpan w:val="5"/>
            <w:vMerge/>
            <w:tcBorders/>
          </w:tcPr>
          <w:p/>
        </w:tc>
      </w:tr>
      <w:tr>
        <w:trPr>
          <w:trHeight w:hRule="exact" w:val="180"/>
        </w:trPr>
        <w:tc>
          <w:tcPr>
            <w:tcW w:type="dxa" w:w="3564"/>
            <w:gridSpan w:val="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0" w:after="0"/>
              <w:ind w:left="144" w:right="31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727"/>
            <w:vMerge/>
            <w:tcBorders/>
          </w:tcPr>
          <w:p/>
        </w:tc>
        <w:tc>
          <w:tcPr>
            <w:tcW w:type="dxa" w:w="727"/>
            <w:vMerge/>
            <w:tcBorders/>
          </w:tcPr>
          <w:p/>
        </w:tc>
        <w:tc>
          <w:tcPr>
            <w:tcW w:type="dxa" w:w="3635"/>
            <w:gridSpan w:val="5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4362"/>
            <w:gridSpan w:val="6"/>
            <w:vMerge/>
            <w:tcBorders/>
          </w:tcPr>
          <w:p/>
        </w:tc>
        <w:tc>
          <w:tcPr>
            <w:tcW w:type="dxa" w:w="727"/>
            <w:vMerge/>
            <w:tcBorders/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0" w:after="0"/>
              <w:ind w:left="0" w:right="1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600</w:t>
            </w:r>
          </w:p>
        </w:tc>
        <w:tc>
          <w:tcPr>
            <w:tcW w:type="dxa" w:w="3635"/>
            <w:gridSpan w:val="5"/>
            <w:vMerge/>
            <w:tcBorders/>
          </w:tcPr>
          <w:p/>
        </w:tc>
      </w:tr>
      <w:tr>
        <w:trPr>
          <w:trHeight w:hRule="exact" w:val="360"/>
        </w:trPr>
        <w:tc>
          <w:tcPr>
            <w:tcW w:type="dxa" w:w="4362"/>
            <w:gridSpan w:val="6"/>
            <w:vMerge/>
            <w:tcBorders/>
          </w:tcPr>
          <w:p/>
        </w:tc>
        <w:tc>
          <w:tcPr>
            <w:tcW w:type="dxa" w:w="727"/>
            <w:vMerge/>
            <w:tcBorders/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80" w:after="0"/>
              <w:ind w:left="0" w:right="1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300</w:t>
            </w:r>
          </w:p>
        </w:tc>
        <w:tc>
          <w:tcPr>
            <w:tcW w:type="dxa" w:w="3635"/>
            <w:gridSpan w:val="5"/>
            <w:vMerge/>
            <w:tcBorders/>
          </w:tcPr>
          <w:p/>
        </w:tc>
      </w:tr>
      <w:tr>
        <w:trPr>
          <w:trHeight w:hRule="exact" w:val="220"/>
        </w:trPr>
        <w:tc>
          <w:tcPr>
            <w:tcW w:type="dxa" w:w="4362"/>
            <w:gridSpan w:val="6"/>
            <w:vMerge/>
            <w:tcBorders/>
          </w:tcPr>
          <w:p/>
        </w:tc>
        <w:tc>
          <w:tcPr>
            <w:tcW w:type="dxa" w:w="5804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37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0</w:t>
            </w:r>
          </w:p>
        </w:tc>
      </w:tr>
      <w:tr>
        <w:trPr>
          <w:trHeight w:hRule="exact" w:val="264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1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 20</w:t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 21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 22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 23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8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 24</w:t>
            </w:r>
          </w:p>
        </w:tc>
        <w:tc>
          <w:tcPr>
            <w:tcW w:type="dxa" w:w="1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15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FY20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FY21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FY22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FY23</w:t>
            </w:r>
          </w:p>
        </w:tc>
        <w:tc>
          <w:tcPr>
            <w:tcW w:type="dxa" w:w="7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FY24</w:t>
            </w:r>
          </w:p>
        </w:tc>
      </w:tr>
    </w:tbl>
    <w:p>
      <w:pPr>
        <w:autoSpaceDN w:val="0"/>
        <w:autoSpaceDE w:val="0"/>
        <w:widowControl/>
        <w:spacing w:line="244" w:lineRule="exact" w:before="322" w:after="0"/>
        <w:ind w:left="16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Unrealized mark-to-market gains (losses) on investments-trading portfolio</w:t>
      </w:r>
    </w:p>
    <w:p>
      <w:pPr>
        <w:autoSpaceDN w:val="0"/>
        <w:autoSpaceDE w:val="0"/>
        <w:widowControl/>
        <w:spacing w:line="240" w:lineRule="exact" w:before="130" w:after="0"/>
        <w:ind w:left="16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During FY24, IDA’s investments-trading portfolio, excluding IDA's share of returns from PEBP and PCRF, had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unrealized mark-to-market gains of $192 million, compared to $112 million of unrealized mark-to-market losses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FY23. The unrealized mark-to-market gains in FY24 were mainly driven by the decrease in yields on EUR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denominated bonds in FY24 . </w:t>
      </w:r>
    </w:p>
    <w:p>
      <w:pPr>
        <w:autoSpaceDN w:val="0"/>
        <w:autoSpaceDE w:val="0"/>
        <w:widowControl/>
        <w:spacing w:line="244" w:lineRule="exact" w:before="130" w:after="0"/>
        <w:ind w:left="16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 xml:space="preserve">Results from Borrowing Activities </w:t>
      </w:r>
    </w:p>
    <w:p>
      <w:pPr>
        <w:autoSpaceDN w:val="0"/>
        <w:autoSpaceDE w:val="0"/>
        <w:widowControl/>
        <w:spacing w:line="222" w:lineRule="exact" w:before="148" w:after="0"/>
        <w:ind w:left="16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Market Borrowings Carried at Fair Value: </w:t>
      </w:r>
    </w:p>
    <w:p>
      <w:pPr>
        <w:autoSpaceDN w:val="0"/>
        <w:autoSpaceDE w:val="0"/>
        <w:widowControl/>
        <w:spacing w:line="240" w:lineRule="exact" w:before="120" w:after="0"/>
        <w:ind w:left="16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of June 30, 2024, the value of the market borrowings carried at fair value was $28.5 billion, an increase of $8.9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billion compared to June 30, 2023 ($19.6 billion). The increase was mainly due to the net new issuances during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year. </w:t>
      </w:r>
    </w:p>
    <w:p>
      <w:pPr>
        <w:autoSpaceDN w:val="0"/>
        <w:autoSpaceDE w:val="0"/>
        <w:widowControl/>
        <w:spacing w:line="222" w:lineRule="exact" w:before="138" w:after="0"/>
        <w:ind w:left="16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Borrowings Carried at Amortized Cost:</w:t>
      </w:r>
    </w:p>
    <w:p>
      <w:pPr>
        <w:autoSpaceDN w:val="0"/>
        <w:autoSpaceDE w:val="0"/>
        <w:widowControl/>
        <w:spacing w:line="240" w:lineRule="exact" w:before="120" w:after="0"/>
        <w:ind w:left="16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of June 30, 2024, the market borrowings recorded at amortized cost (fixed rate debt) were $11.5 billion, an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increase of $2.9 billion from June 30, 2023 ($8.6 billion). The increase was mainly due to the net new issuances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during the year. See Notes to the Financial Statements for the year ended June 30, 2024, Note E – Borrowings.</w:t>
      </w:r>
    </w:p>
    <w:p>
      <w:pPr>
        <w:autoSpaceDN w:val="0"/>
        <w:autoSpaceDE w:val="0"/>
        <w:widowControl/>
        <w:spacing w:line="240" w:lineRule="exact" w:before="120" w:after="0"/>
        <w:ind w:left="16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Concessional Partner loans from members recorded at amortized cost were $7.0 billion as of June 30, 2024,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relatively unchanged from June 30, 2023 ($7.2 billion).</w:t>
      </w:r>
    </w:p>
    <w:p>
      <w:pPr>
        <w:autoSpaceDN w:val="0"/>
        <w:autoSpaceDE w:val="0"/>
        <w:widowControl/>
        <w:spacing w:line="178" w:lineRule="exact" w:before="150" w:after="8"/>
        <w:ind w:left="1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Figure 7: Borrowing Portfolio                                                                Figure 8: Borrowing expenses, net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4.000000000000057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220"/>
        </w:trPr>
        <w:tc>
          <w:tcPr>
            <w:tcW w:type="dxa" w:w="4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2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In billions of U.S. dollars</w:t>
            </w:r>
          </w:p>
        </w:tc>
        <w:tc>
          <w:tcPr>
            <w:tcW w:type="dxa" w:w="454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26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In millions of U.S. dollars</w:t>
            </w:r>
          </w:p>
        </w:tc>
      </w:tr>
      <w:tr>
        <w:trPr>
          <w:trHeight w:hRule="exact" w:val="460"/>
        </w:trPr>
        <w:tc>
          <w:tcPr>
            <w:tcW w:type="dxa" w:w="48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5.99999999999994" w:type="dxa"/>
            </w:tblPr>
            <w:tblGrid>
              <w:gridCol w:w="4800"/>
            </w:tblGrid>
            <w:tr>
              <w:trPr>
                <w:trHeight w:hRule="exact" w:val="2656"/>
              </w:trPr>
              <w:tc>
                <w:tcPr>
                  <w:tcW w:type="dxa" w:w="4476"/>
                  <w:tcBorders>
                    <w:start w:sz="24.051239013671875" w:val="single" w:color="#FFFFFF"/>
                    <w:top w:sz="24.051239013671875" w:val="single" w:color="#FFFFFF"/>
                    <w:end w:sz="24.051239013671875" w:val="single" w:color="#FFFFFF"/>
                    <w:bottom w:sz="24.051239013671875" w:val="single" w:color="#FFFFFF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0" w:lineRule="exact" w:before="286" w:after="0"/>
                    <w:ind w:left="780" w:right="432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595959"/>
                      <w:sz w:val="16"/>
                    </w:rPr>
                    <w:t xml:space="preserve">Market borrowings at fair value </w:t>
                  </w:r>
                  <w:r>
                    <w:br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595959"/>
                      <w:sz w:val="16"/>
                    </w:rPr>
                    <w:t xml:space="preserve">Market borrowings at amortized cost </w:t>
                  </w:r>
                  <w:r>
                    <w:br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595959"/>
                      <w:sz w:val="16"/>
                    </w:rPr>
                    <w:t>Concessional partner loans at amortized cost</w:t>
                  </w:r>
                </w:p>
                <w:p>
                  <w:pPr>
                    <w:autoSpaceDN w:val="0"/>
                    <w:autoSpaceDE w:val="0"/>
                    <w:widowControl/>
                    <w:spacing w:line="178" w:lineRule="exact" w:before="168" w:after="46"/>
                    <w:ind w:left="152" w:right="0" w:firstLine="0"/>
                    <w:jc w:val="left"/>
                  </w:pPr>
                  <w:r>
                    <w:rPr>
                      <w:rFonts w:ascii="ArialMT" w:hAnsi="ArialMT" w:eastAsia="ArialMT"/>
                      <w:b w:val="0"/>
                      <w:i w:val="0"/>
                      <w:color w:val="595959"/>
                      <w:sz w:val="16"/>
                    </w:rPr>
                    <w:t>40</w:t>
                  </w: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54.00000000000006" w:type="dxa"/>
                  </w:tblPr>
                  <w:tblGrid>
                    <w:gridCol w:w="746"/>
                    <w:gridCol w:w="746"/>
                    <w:gridCol w:w="746"/>
                    <w:gridCol w:w="746"/>
                    <w:gridCol w:w="746"/>
                    <w:gridCol w:w="746"/>
                  </w:tblGrid>
                  <w:tr>
                    <w:trPr>
                      <w:trHeight w:hRule="exact" w:val="270"/>
                    </w:trPr>
                    <w:tc>
                      <w:tcPr>
                        <w:tcW w:type="dxa" w:w="508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80" w:lineRule="exact" w:before="46" w:after="0"/>
                          <w:ind w:left="98" w:right="0" w:firstLine="0"/>
                          <w:jc w:val="left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595959"/>
                            <w:sz w:val="16"/>
                          </w:rPr>
                          <w:t>30</w:t>
                        </w:r>
                      </w:p>
                    </w:tc>
                    <w:tc>
                      <w:tcPr>
                        <w:tcW w:type="dxa" w:w="712"/>
                        <w:vMerge w:val="restart"/>
                        <w:tcBorders/>
                        <w:shd w:fill="ffffff"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/>
                    </w:tc>
                    <w:tc>
                      <w:tcPr>
                        <w:tcW w:type="dxa" w:w="740"/>
                        <w:vMerge w:val="restart"/>
                        <w:tcBorders/>
                        <w:shd w:fill="ffffff"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56" w:lineRule="exact" w:before="0" w:after="0"/>
                          <w:ind w:left="0" w:right="0"/>
                        </w:pPr>
                      </w:p>
                      <w:tbl>
                        <w:tblPr>
                          <w:tblW w:type="auto" w:w="0"/>
                          <w:tblLayout w:type="fixed"/>
                          <w:tblLook w:firstColumn="1" w:firstRow="1" w:lastColumn="0" w:lastRow="0" w:noHBand="0" w:noVBand="1" w:val="04A0"/>
                          <w:tblInd w:w="220.0" w:type="dxa"/>
                        </w:tblPr>
                        <w:tblGrid>
                          <w:gridCol w:w="740"/>
                        </w:tblGrid>
                        <w:tr>
                          <w:trPr>
                            <w:trHeight w:hRule="exact" w:val="332"/>
                          </w:trPr>
                          <w:tc>
                            <w:tcPr>
                              <w:tcW w:type="dxa" w:w="360"/>
                              <w:tcBorders/>
                              <w:shd w:fill="484948"/>
                              <w:tcMar>
                                <w:start w:w="0" w:type="dxa"/>
                                <w:end w:w="0" w:type="dxa"/>
                              </w:tcMar>
                            </w:tcPr>
                            <w:p>
                              <w:pPr>
                                <w:autoSpaceDN w:val="0"/>
                                <w:autoSpaceDE w:val="0"/>
                                <w:widowControl/>
                                <w:spacing w:line="180" w:lineRule="exact" w:before="172" w:after="0"/>
                                <w:ind w:left="0" w:right="0" w:firstLine="0"/>
                                <w:jc w:val="center"/>
                              </w:pPr>
                              <w:r>
                                <w:rPr>
                                  <w:rFonts w:ascii="ArialMT" w:hAnsi="ArialMT" w:eastAsia="ArialMT"/>
                                  <w:b w:val="0"/>
                                  <w:i w:val="0"/>
                                  <w:color w:val="FFFFFF"/>
                                  <w:sz w:val="16"/>
                                </w:rPr>
                                <w:t>20.6</w:t>
                              </w:r>
                            </w:p>
                          </w:tc>
                        </w:tr>
                      </w:tbl>
                      <w:p>
                        <w:pPr>
                          <w:autoSpaceDN w:val="0"/>
                          <w:autoSpaceDE w:val="0"/>
                          <w:widowControl/>
                          <w:spacing w:line="14" w:lineRule="exact" w:before="0" w:after="0"/>
                          <w:ind w:left="0" w:right="0"/>
                        </w:pPr>
                      </w:p>
                    </w:tc>
                    <w:tc>
                      <w:tcPr>
                        <w:tcW w:type="dxa" w:w="720"/>
                        <w:vMerge w:val="restart"/>
                        <w:tcBorders/>
                        <w:shd w:fill="ffffff"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tbl>
                        <w:tblPr>
                          <w:tblW w:type="auto" w:w="0"/>
                          <w:tblLayout w:type="fixed"/>
                          <w:tblLook w:firstColumn="1" w:firstRow="1" w:lastColumn="0" w:lastRow="0" w:noHBand="0" w:noVBand="1" w:val="04A0"/>
                          <w:tblInd w:w="213.99999999999977" w:type="dxa"/>
                        </w:tblPr>
                        <w:tblGrid>
                          <w:gridCol w:w="720"/>
                        </w:tblGrid>
                        <w:tr>
                          <w:trPr>
                            <w:trHeight w:hRule="exact" w:val="438"/>
                          </w:trPr>
                          <w:tc>
                            <w:tcPr>
                              <w:tcW w:type="dxa" w:w="360"/>
                              <w:tcBorders/>
                              <w:shd w:fill="484948"/>
                              <w:tcMar>
                                <w:start w:w="0" w:type="dxa"/>
                                <w:end w:w="0" w:type="dxa"/>
                              </w:tcMar>
                            </w:tcPr>
                            <w:p>
                              <w:pPr>
                                <w:autoSpaceDN w:val="0"/>
                                <w:autoSpaceDE w:val="0"/>
                                <w:widowControl/>
                                <w:spacing w:line="180" w:lineRule="exact" w:before="226" w:after="0"/>
                                <w:ind w:left="0" w:right="0" w:firstLine="0"/>
                                <w:jc w:val="center"/>
                              </w:pPr>
                              <w:r>
                                <w:rPr>
                                  <w:rFonts w:ascii="ArialMT" w:hAnsi="ArialMT" w:eastAsia="ArialMT"/>
                                  <w:b w:val="0"/>
                                  <w:i w:val="0"/>
                                  <w:color w:val="FFFFFF"/>
                                  <w:sz w:val="16"/>
                                </w:rPr>
                                <w:t>21.9</w:t>
                              </w:r>
                            </w:p>
                          </w:tc>
                        </w:tr>
                      </w:tbl>
                      <w:p>
                        <w:pPr>
                          <w:autoSpaceDN w:val="0"/>
                          <w:autoSpaceDE w:val="0"/>
                          <w:widowControl/>
                          <w:spacing w:line="14" w:lineRule="exact" w:before="0" w:after="0"/>
                          <w:ind w:left="0" w:right="0"/>
                        </w:pPr>
                      </w:p>
                    </w:tc>
                    <w:tc>
                      <w:tcPr>
                        <w:tcW w:type="dxa" w:w="740"/>
                        <w:vMerge w:val="restart"/>
                        <w:tcBorders/>
                        <w:shd w:fill="ffffff"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78" w:lineRule="exact" w:before="182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FFFFFF"/>
                            <w:sz w:val="16"/>
                          </w:rPr>
                          <w:t>19.6</w:t>
                        </w:r>
                      </w:p>
                    </w:tc>
                    <w:tc>
                      <w:tcPr>
                        <w:tcW w:type="dxa" w:w="770"/>
                        <w:vMerge w:val="restart"/>
                        <w:tcBorders/>
                        <w:shd w:fill="ffffff"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80" w:lineRule="exact" w:before="76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FFFFFF"/>
                            <w:sz w:val="16"/>
                          </w:rPr>
                          <w:t>28.5</w:t>
                        </w:r>
                      </w:p>
                    </w:tc>
                  </w:tr>
                  <w:tr>
                    <w:trPr>
                      <w:trHeight w:hRule="exact" w:val="166"/>
                    </w:trPr>
                    <w:tc>
                      <w:tcPr>
                        <w:tcW w:type="dxa" w:w="508"/>
                        <w:vMerge w:val="restart"/>
                        <w:tcBorders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80" w:lineRule="exact" w:before="46" w:after="0"/>
                          <w:ind w:left="98" w:right="0" w:firstLine="0"/>
                          <w:jc w:val="left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595959"/>
                            <w:sz w:val="16"/>
                          </w:rPr>
                          <w:t>20</w:t>
                        </w:r>
                      </w:p>
                    </w:tc>
                    <w:tc>
                      <w:tcPr>
                        <w:tcW w:type="dxa" w:w="746"/>
                        <w:vMerge/>
                        <w:tcBorders/>
                      </w:tcPr>
                      <w:p/>
                    </w:tc>
                    <w:tc>
                      <w:tcPr>
                        <w:tcW w:type="dxa" w:w="746"/>
                        <w:vMerge/>
                        <w:tcBorders/>
                      </w:tcPr>
                      <w:p/>
                    </w:tc>
                    <w:tc>
                      <w:tcPr>
                        <w:tcW w:type="dxa" w:w="746"/>
                        <w:vMerge/>
                        <w:tcBorders/>
                      </w:tcPr>
                      <w:p/>
                    </w:tc>
                    <w:tc>
                      <w:tcPr>
                        <w:tcW w:type="dxa" w:w="746"/>
                        <w:vMerge/>
                        <w:tcBorders/>
                      </w:tcPr>
                      <w:p/>
                    </w:tc>
                    <w:tc>
                      <w:tcPr>
                        <w:tcW w:type="dxa" w:w="746"/>
                        <w:vMerge/>
                        <w:tcBorders/>
                      </w:tcPr>
                      <w:p/>
                    </w:tc>
                  </w:tr>
                  <w:tr>
                    <w:trPr>
                      <w:trHeight w:hRule="exact" w:val="74"/>
                    </w:trPr>
                    <w:tc>
                      <w:tcPr>
                        <w:tcW w:type="dxa" w:w="746"/>
                        <w:vMerge/>
                        <w:tcBorders/>
                      </w:tcPr>
                      <w:p/>
                    </w:tc>
                    <w:tc>
                      <w:tcPr>
                        <w:tcW w:type="dxa" w:w="746"/>
                        <w:vMerge/>
                        <w:tcBorders/>
                      </w:tcPr>
                      <w:p/>
                    </w:tc>
                    <w:tc>
                      <w:tcPr>
                        <w:tcW w:type="dxa" w:w="746"/>
                        <w:vMerge/>
                        <w:tcBorders/>
                      </w:tcPr>
                      <w:p/>
                    </w:tc>
                    <w:tc>
                      <w:tcPr>
                        <w:tcW w:type="dxa" w:w="746"/>
                        <w:vMerge/>
                        <w:tcBorders/>
                      </w:tcPr>
                      <w:p/>
                    </w:tc>
                    <w:tc>
                      <w:tcPr>
                        <w:tcW w:type="dxa" w:w="740"/>
                        <w:vMerge w:val="restart"/>
                        <w:tcBorders/>
                        <w:shd w:fill="ffffff"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/>
                    </w:tc>
                    <w:tc>
                      <w:tcPr>
                        <w:tcW w:type="dxa" w:w="746"/>
                        <w:vMerge/>
                        <w:tcBorders/>
                      </w:tcPr>
                      <w:p/>
                    </w:tc>
                  </w:tr>
                  <w:tr>
                    <w:trPr>
                      <w:trHeight w:hRule="exact" w:val="76"/>
                    </w:trPr>
                    <w:tc>
                      <w:tcPr>
                        <w:tcW w:type="dxa" w:w="508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/>
                    </w:tc>
                    <w:tc>
                      <w:tcPr>
                        <w:tcW w:type="dxa" w:w="712"/>
                        <w:tcBorders/>
                        <w:shd w:fill="ffffff"/>
                        <w:tcMar>
                          <w:start w:w="0" w:type="dxa"/>
                          <w:end w:w="0" w:type="dxa"/>
                        </w:tcMar>
                      </w:tcPr>
                      <w:p/>
                    </w:tc>
                    <w:tc>
                      <w:tcPr>
                        <w:tcW w:type="dxa" w:w="740"/>
                        <w:tcBorders/>
                        <w:shd w:fill="ffffff"/>
                        <w:tcMar>
                          <w:start w:w="0" w:type="dxa"/>
                          <w:end w:w="0" w:type="dxa"/>
                        </w:tcMar>
                      </w:tcPr>
                      <w:p/>
                    </w:tc>
                    <w:tc>
                      <w:tcPr>
                        <w:tcW w:type="dxa" w:w="720"/>
                        <w:vMerge w:val="restart"/>
                        <w:tcBorders/>
                        <w:shd w:fill="ffffff"/>
                        <w:tcMar>
                          <w:start w:w="0" w:type="dxa"/>
                          <w:end w:w="0" w:type="dxa"/>
                        </w:tcMar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80" w:lineRule="exact" w:before="70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595959"/>
                            <w:sz w:val="16"/>
                          </w:rPr>
                          <w:t>6.2</w:t>
                        </w:r>
                      </w:p>
                    </w:tc>
                    <w:tc>
                      <w:tcPr>
                        <w:tcW w:type="dxa" w:w="746"/>
                        <w:vMerge/>
                        <w:tcBorders/>
                      </w:tcPr>
                      <w:p/>
                    </w:tc>
                    <w:tc>
                      <w:tcPr>
                        <w:tcW w:type="dxa" w:w="770"/>
                        <w:tcBorders/>
                        <w:shd w:fill="ffffff"/>
                        <w:tcMar>
                          <w:start w:w="0" w:type="dxa"/>
                          <w:end w:w="0" w:type="dxa"/>
                        </w:tcMar>
                      </w:tcPr>
                      <w:p/>
                    </w:tc>
                  </w:tr>
                  <w:tr>
                    <w:trPr>
                      <w:trHeight w:hRule="exact" w:val="175"/>
                    </w:trPr>
                    <w:tc>
                      <w:tcPr>
                        <w:tcW w:type="dxa" w:w="508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80" w:lineRule="exact" w:before="0" w:after="0"/>
                          <w:ind w:left="98" w:right="0" w:firstLine="0"/>
                          <w:jc w:val="left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595959"/>
                            <w:sz w:val="16"/>
                          </w:rPr>
                          <w:t>10</w:t>
                        </w:r>
                      </w:p>
                    </w:tc>
                    <w:tc>
                      <w:tcPr>
                        <w:tcW w:type="dxa" w:w="712"/>
                        <w:tcBorders/>
                        <w:shd w:fill="ffffff"/>
                        <w:tcMar>
                          <w:start w:w="0" w:type="dxa"/>
                          <w:end w:w="0" w:type="dxa"/>
                        </w:tcMar>
                      </w:tcPr>
                      <w:tbl>
                        <w:tblPr>
                          <w:tblW w:type="auto" w:w="0"/>
                          <w:tblLayout w:type="fixed"/>
                          <w:tblLook w:firstColumn="1" w:firstRow="1" w:lastColumn="0" w:lastRow="0" w:noHBand="0" w:noVBand="1" w:val="04A0"/>
                          <w:tblInd w:w="197.99999999999983" w:type="dxa"/>
                        </w:tblPr>
                        <w:tblGrid>
                          <w:gridCol w:w="712"/>
                        </w:tblGrid>
                        <w:tr>
                          <w:trPr>
                            <w:trHeight w:hRule="exact" w:val="160"/>
                          </w:trPr>
                          <w:tc>
                            <w:tcPr>
                              <w:tcW w:type="dxa" w:w="362"/>
                              <w:tcBorders/>
                              <w:shd w:fill="484948"/>
                              <w:tcMar>
                                <w:start w:w="0" w:type="dxa"/>
                                <w:end w:w="0" w:type="dxa"/>
                              </w:tcMar>
                            </w:tcPr>
                            <w:p>
                              <w:pPr>
                                <w:autoSpaceDN w:val="0"/>
                                <w:autoSpaceDE w:val="0"/>
                                <w:widowControl/>
                                <w:spacing w:line="178" w:lineRule="exact" w:before="0" w:after="0"/>
                                <w:ind w:left="0" w:right="0" w:firstLine="0"/>
                                <w:jc w:val="center"/>
                              </w:pPr>
                              <w:r>
                                <w:rPr>
                                  <w:rFonts w:ascii="ArialMT" w:hAnsi="ArialMT" w:eastAsia="ArialMT"/>
                                  <w:b w:val="0"/>
                                  <w:i w:val="0"/>
                                  <w:color w:val="FFFFFF"/>
                                  <w:sz w:val="16"/>
                                </w:rPr>
                                <w:t>12.1</w:t>
                              </w:r>
                            </w:p>
                          </w:tc>
                        </w:tr>
                      </w:tbl>
                      <w:p>
                        <w:pPr>
                          <w:autoSpaceDN w:val="0"/>
                          <w:autoSpaceDE w:val="0"/>
                          <w:widowControl/>
                          <w:spacing w:line="14" w:lineRule="exact" w:before="0" w:after="0"/>
                          <w:ind w:left="0" w:right="0"/>
                        </w:pPr>
                      </w:p>
                    </w:tc>
                    <w:tc>
                      <w:tcPr>
                        <w:tcW w:type="dxa" w:w="740"/>
                        <w:tcBorders/>
                        <w:shd w:fill="ffffff"/>
                        <w:tcMar>
                          <w:start w:w="0" w:type="dxa"/>
                          <w:end w:w="0" w:type="dxa"/>
                        </w:tcMar>
                      </w:tcPr>
                      <w:p/>
                    </w:tc>
                    <w:tc>
                      <w:tcPr>
                        <w:tcW w:type="dxa" w:w="746"/>
                        <w:vMerge/>
                        <w:tcBorders/>
                      </w:tcPr>
                      <w:p/>
                    </w:tc>
                    <w:tc>
                      <w:tcPr>
                        <w:tcW w:type="dxa" w:w="740"/>
                        <w:tcBorders/>
                        <w:shd w:fill="ffffff"/>
                        <w:tcMar>
                          <w:start w:w="0" w:type="dxa"/>
                          <w:end w:w="0" w:type="dxa"/>
                        </w:tcMar>
                      </w:tcPr>
                      <w:tbl>
                        <w:tblPr>
                          <w:tblW w:type="auto" w:w="0"/>
                          <w:tblLayout w:type="fixed"/>
                          <w:tblLook w:firstColumn="1" w:firstRow="1" w:lastColumn="0" w:lastRow="0" w:noHBand="0" w:noVBand="1" w:val="04A0"/>
                          <w:tblInd w:w="226.00000000000023" w:type="dxa"/>
                        </w:tblPr>
                        <w:tblGrid>
                          <w:gridCol w:w="740"/>
                        </w:tblGrid>
                        <w:tr>
                          <w:trPr>
                            <w:trHeight w:hRule="exact" w:val="144"/>
                          </w:trPr>
                          <w:tc>
                            <w:tcPr>
                              <w:tcW w:type="dxa" w:w="360"/>
                              <w:tcBorders/>
                              <w:shd w:fill="919191"/>
                              <w:tcMar>
                                <w:start w:w="0" w:type="dxa"/>
                                <w:end w:w="0" w:type="dxa"/>
                              </w:tcMar>
                            </w:tcPr>
                            <w:p>
                              <w:pPr>
                                <w:autoSpaceDN w:val="0"/>
                                <w:autoSpaceDE w:val="0"/>
                                <w:widowControl/>
                                <w:spacing w:line="178" w:lineRule="exact" w:before="0" w:after="0"/>
                                <w:ind w:left="0" w:right="0" w:firstLine="0"/>
                                <w:jc w:val="center"/>
                              </w:pPr>
                              <w:r>
                                <w:rPr>
                                  <w:rFonts w:ascii="ArialMT" w:hAnsi="ArialMT" w:eastAsia="ArialMT"/>
                                  <w:b w:val="0"/>
                                  <w:i w:val="0"/>
                                  <w:color w:val="595959"/>
                                  <w:sz w:val="16"/>
                                </w:rPr>
                                <w:t>8.6</w:t>
                              </w:r>
                            </w:p>
                          </w:tc>
                        </w:tr>
                      </w:tbl>
                      <w:p>
                        <w:pPr>
                          <w:autoSpaceDN w:val="0"/>
                          <w:autoSpaceDE w:val="0"/>
                          <w:widowControl/>
                          <w:spacing w:line="14" w:lineRule="exact" w:before="0" w:after="0"/>
                          <w:ind w:left="0" w:right="0"/>
                        </w:pPr>
                      </w:p>
                    </w:tc>
                    <w:tc>
                      <w:tcPr>
                        <w:tcW w:type="dxa" w:w="770"/>
                        <w:tcBorders/>
                        <w:shd w:fill="ffffff"/>
                        <w:tcMar>
                          <w:start w:w="0" w:type="dxa"/>
                          <w:end w:w="0" w:type="dxa"/>
                        </w:tcMar>
                      </w:tcPr>
                      <w:tbl>
                        <w:tblPr>
                          <w:tblW w:type="auto" w:w="0"/>
                          <w:tblLayout w:type="fixed"/>
                          <w:tblLook w:firstColumn="1" w:firstRow="1" w:lastColumn="0" w:lastRow="0" w:noHBand="0" w:noVBand="1" w:val="04A0"/>
                          <w:tblInd w:w="220.0" w:type="dxa"/>
                        </w:tblPr>
                        <w:tblGrid>
                          <w:gridCol w:w="770"/>
                        </w:tblGrid>
                        <w:tr>
                          <w:trPr>
                            <w:trHeight w:hRule="exact" w:val="176"/>
                          </w:trPr>
                          <w:tc>
                            <w:tcPr>
                              <w:tcW w:type="dxa" w:w="360"/>
                              <w:tcBorders/>
                              <w:shd w:fill="919191"/>
                              <w:tcMar>
                                <w:start w:w="0" w:type="dxa"/>
                                <w:end w:w="0" w:type="dxa"/>
                              </w:tcMar>
                            </w:tcPr>
                            <w:p>
                              <w:pPr>
                                <w:autoSpaceDN w:val="0"/>
                                <w:autoSpaceDE w:val="0"/>
                                <w:widowControl/>
                                <w:spacing w:line="178" w:lineRule="exact" w:before="0" w:after="0"/>
                                <w:ind w:left="0" w:right="0" w:firstLine="0"/>
                                <w:jc w:val="center"/>
                              </w:pPr>
                              <w:r>
                                <w:rPr>
                                  <w:rFonts w:ascii="ArialMT" w:hAnsi="ArialMT" w:eastAsia="ArialMT"/>
                                  <w:b w:val="0"/>
                                  <w:i w:val="0"/>
                                  <w:color w:val="595959"/>
                                  <w:sz w:val="16"/>
                                </w:rPr>
                                <w:t>11.5</w:t>
                              </w:r>
                            </w:p>
                          </w:tc>
                        </w:tr>
                      </w:tbl>
                      <w:p>
                        <w:pPr>
                          <w:autoSpaceDN w:val="0"/>
                          <w:autoSpaceDE w:val="0"/>
                          <w:widowControl/>
                          <w:spacing w:line="14" w:lineRule="exact" w:before="0" w:after="0"/>
                          <w:ind w:left="0" w:right="0"/>
                        </w:pPr>
                      </w:p>
                    </w:tc>
                  </w:tr>
                  <w:tr>
                    <w:trPr>
                      <w:trHeight w:hRule="exact" w:val="171"/>
                    </w:trPr>
                    <w:tc>
                      <w:tcPr>
                        <w:tcW w:type="dxa" w:w="508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/>
                    </w:tc>
                    <w:tc>
                      <w:tcPr>
                        <w:tcW w:type="dxa" w:w="712"/>
                        <w:tcBorders/>
                        <w:shd w:fill="ffffff"/>
                        <w:tcMar>
                          <w:start w:w="0" w:type="dxa"/>
                          <w:end w:w="0" w:type="dxa"/>
                        </w:tcMar>
                      </w:tcPr>
                      <w:tbl>
                        <w:tblPr>
                          <w:tblW w:type="auto" w:w="0"/>
                          <w:tblLayout w:type="fixed"/>
                          <w:tblLook w:firstColumn="1" w:firstRow="1" w:lastColumn="0" w:lastRow="0" w:noHBand="0" w:noVBand="1" w:val="04A0"/>
                          <w:tblInd w:w="197.99999999999983" w:type="dxa"/>
                        </w:tblPr>
                        <w:tblGrid>
                          <w:gridCol w:w="712"/>
                        </w:tblGrid>
                        <w:tr>
                          <w:trPr>
                            <w:trHeight w:hRule="exact" w:val="156"/>
                          </w:trPr>
                          <w:tc>
                            <w:tcPr>
                              <w:tcW w:type="dxa" w:w="362"/>
                              <w:tcBorders/>
                              <w:shd w:fill="dadbda"/>
                              <w:tcMar>
                                <w:start w:w="0" w:type="dxa"/>
                                <w:end w:w="0" w:type="dxa"/>
                              </w:tcMar>
                            </w:tcPr>
                            <w:p>
                              <w:pPr>
                                <w:autoSpaceDN w:val="0"/>
                                <w:autoSpaceDE w:val="0"/>
                                <w:widowControl/>
                                <w:spacing w:line="180" w:lineRule="exact" w:before="0" w:after="0"/>
                                <w:ind w:left="0" w:right="0" w:firstLine="0"/>
                                <w:jc w:val="center"/>
                              </w:pPr>
                              <w:r>
                                <w:rPr>
                                  <w:rFonts w:ascii="ArialMT" w:hAnsi="ArialMT" w:eastAsia="ArialMT"/>
                                  <w:b w:val="0"/>
                                  <w:i w:val="0"/>
                                  <w:color w:val="595959"/>
                                  <w:sz w:val="16"/>
                                </w:rPr>
                                <w:t>7.6</w:t>
                              </w:r>
                            </w:p>
                          </w:tc>
                        </w:tr>
                      </w:tbl>
                      <w:p>
                        <w:pPr>
                          <w:autoSpaceDN w:val="0"/>
                          <w:autoSpaceDE w:val="0"/>
                          <w:widowControl/>
                          <w:spacing w:line="14" w:lineRule="exact" w:before="0" w:after="0"/>
                          <w:ind w:left="0" w:right="0"/>
                        </w:pPr>
                      </w:p>
                    </w:tc>
                    <w:tc>
                      <w:tcPr>
                        <w:tcW w:type="dxa" w:w="740"/>
                        <w:tcBorders/>
                        <w:shd w:fill="ffffff"/>
                        <w:tcMar>
                          <w:start w:w="0" w:type="dxa"/>
                          <w:end w:w="0" w:type="dxa"/>
                        </w:tcMar>
                      </w:tcPr>
                      <w:tbl>
                        <w:tblPr>
                          <w:tblW w:type="auto" w:w="0"/>
                          <w:tblLayout w:type="fixed"/>
                          <w:tblLook w:firstColumn="1" w:firstRow="1" w:lastColumn="0" w:lastRow="0" w:noHBand="0" w:noVBand="1" w:val="04A0"/>
                          <w:tblInd w:w="220.0" w:type="dxa"/>
                        </w:tblPr>
                        <w:tblGrid>
                          <w:gridCol w:w="740"/>
                        </w:tblGrid>
                        <w:tr>
                          <w:trPr>
                            <w:trHeight w:hRule="exact" w:val="156"/>
                          </w:trPr>
                          <w:tc>
                            <w:tcPr>
                              <w:tcW w:type="dxa" w:w="360"/>
                              <w:tcBorders/>
                              <w:shd w:fill="dadbda"/>
                              <w:tcMar>
                                <w:start w:w="0" w:type="dxa"/>
                                <w:end w:w="0" w:type="dxa"/>
                              </w:tcMar>
                            </w:tcPr>
                            <w:p>
                              <w:pPr>
                                <w:autoSpaceDN w:val="0"/>
                                <w:autoSpaceDE w:val="0"/>
                                <w:widowControl/>
                                <w:spacing w:line="180" w:lineRule="exact" w:before="0" w:after="0"/>
                                <w:ind w:left="0" w:right="0" w:firstLine="0"/>
                                <w:jc w:val="center"/>
                              </w:pPr>
                              <w:r>
                                <w:rPr>
                                  <w:rFonts w:ascii="ArialMT" w:hAnsi="ArialMT" w:eastAsia="ArialMT"/>
                                  <w:b w:val="0"/>
                                  <w:i w:val="0"/>
                                  <w:color w:val="595959"/>
                                  <w:sz w:val="16"/>
                                </w:rPr>
                                <w:t>7.7</w:t>
                              </w:r>
                            </w:p>
                          </w:tc>
                        </w:tr>
                      </w:tbl>
                      <w:p>
                        <w:pPr>
                          <w:autoSpaceDN w:val="0"/>
                          <w:autoSpaceDE w:val="0"/>
                          <w:widowControl/>
                          <w:spacing w:line="14" w:lineRule="exact" w:before="0" w:after="0"/>
                          <w:ind w:left="0" w:right="0"/>
                        </w:pPr>
                      </w:p>
                    </w:tc>
                    <w:tc>
                      <w:tcPr>
                        <w:tcW w:type="dxa" w:w="720"/>
                        <w:tcBorders/>
                        <w:shd w:fill="ffffff"/>
                        <w:tcMar>
                          <w:start w:w="0" w:type="dxa"/>
                          <w:end w:w="0" w:type="dxa"/>
                        </w:tcMar>
                      </w:tcPr>
                      <w:tbl>
                        <w:tblPr>
                          <w:tblW w:type="auto" w:w="0"/>
                          <w:tblLayout w:type="fixed"/>
                          <w:tblLook w:firstColumn="1" w:firstRow="1" w:lastColumn="0" w:lastRow="0" w:noHBand="0" w:noVBand="1" w:val="04A0"/>
                          <w:tblInd w:w="213.99999999999977" w:type="dxa"/>
                        </w:tblPr>
                        <w:tblGrid>
                          <w:gridCol w:w="720"/>
                        </w:tblGrid>
                        <w:tr>
                          <w:trPr>
                            <w:trHeight w:hRule="exact" w:val="160"/>
                          </w:trPr>
                          <w:tc>
                            <w:tcPr>
                              <w:tcW w:type="dxa" w:w="360"/>
                              <w:tcBorders/>
                              <w:shd w:fill="dadbda"/>
                              <w:tcMar>
                                <w:start w:w="0" w:type="dxa"/>
                                <w:end w:w="0" w:type="dxa"/>
                              </w:tcMar>
                            </w:tcPr>
                            <w:p>
                              <w:pPr>
                                <w:autoSpaceDN w:val="0"/>
                                <w:autoSpaceDE w:val="0"/>
                                <w:widowControl/>
                                <w:spacing w:line="180" w:lineRule="exact" w:before="0" w:after="0"/>
                                <w:ind w:left="0" w:right="0" w:firstLine="0"/>
                                <w:jc w:val="center"/>
                              </w:pPr>
                              <w:r>
                                <w:rPr>
                                  <w:rFonts w:ascii="ArialMT" w:hAnsi="ArialMT" w:eastAsia="ArialMT"/>
                                  <w:b w:val="0"/>
                                  <w:i w:val="0"/>
                                  <w:color w:val="595959"/>
                                  <w:sz w:val="16"/>
                                </w:rPr>
                                <w:t>7.0</w:t>
                              </w:r>
                            </w:p>
                          </w:tc>
                        </w:tr>
                      </w:tbl>
                      <w:p>
                        <w:pPr>
                          <w:autoSpaceDN w:val="0"/>
                          <w:autoSpaceDE w:val="0"/>
                          <w:widowControl/>
                          <w:spacing w:line="14" w:lineRule="exact" w:before="0" w:after="0"/>
                          <w:ind w:left="0" w:right="0"/>
                        </w:pPr>
                      </w:p>
                    </w:tc>
                    <w:tc>
                      <w:tcPr>
                        <w:tcW w:type="dxa" w:w="740"/>
                        <w:tcBorders/>
                        <w:shd w:fill="ffffff"/>
                        <w:tcMar>
                          <w:start w:w="0" w:type="dxa"/>
                          <w:end w:w="0" w:type="dxa"/>
                        </w:tcMar>
                      </w:tcPr>
                      <w:tbl>
                        <w:tblPr>
                          <w:tblW w:type="auto" w:w="0"/>
                          <w:tblLayout w:type="fixed"/>
                          <w:tblLook w:firstColumn="1" w:firstRow="1" w:lastColumn="0" w:lastRow="0" w:noHBand="0" w:noVBand="1" w:val="04A0"/>
                          <w:tblInd w:w="226.00000000000023" w:type="dxa"/>
                        </w:tblPr>
                        <w:tblGrid>
                          <w:gridCol w:w="740"/>
                        </w:tblGrid>
                        <w:tr>
                          <w:trPr>
                            <w:trHeight w:hRule="exact" w:val="156"/>
                          </w:trPr>
                          <w:tc>
                            <w:tcPr>
                              <w:tcW w:type="dxa" w:w="360"/>
                              <w:tcBorders/>
                              <w:shd w:fill="dadbda"/>
                              <w:tcMar>
                                <w:start w:w="0" w:type="dxa"/>
                                <w:end w:w="0" w:type="dxa"/>
                              </w:tcMar>
                            </w:tcPr>
                            <w:p>
                              <w:pPr>
                                <w:autoSpaceDN w:val="0"/>
                                <w:autoSpaceDE w:val="0"/>
                                <w:widowControl/>
                                <w:spacing w:line="180" w:lineRule="exact" w:before="0" w:after="0"/>
                                <w:ind w:left="0" w:right="0" w:firstLine="0"/>
                                <w:jc w:val="center"/>
                              </w:pPr>
                              <w:r>
                                <w:rPr>
                                  <w:rFonts w:ascii="ArialMT" w:hAnsi="ArialMT" w:eastAsia="ArialMT"/>
                                  <w:b w:val="0"/>
                                  <w:i w:val="0"/>
                                  <w:color w:val="595959"/>
                                  <w:sz w:val="16"/>
                                </w:rPr>
                                <w:t>7.2</w:t>
                              </w:r>
                            </w:p>
                          </w:tc>
                        </w:tr>
                      </w:tbl>
                      <w:p>
                        <w:pPr>
                          <w:autoSpaceDN w:val="0"/>
                          <w:autoSpaceDE w:val="0"/>
                          <w:widowControl/>
                          <w:spacing w:line="14" w:lineRule="exact" w:before="0" w:after="0"/>
                          <w:ind w:left="0" w:right="0"/>
                        </w:pPr>
                      </w:p>
                    </w:tc>
                    <w:tc>
                      <w:tcPr>
                        <w:tcW w:type="dxa" w:w="770"/>
                        <w:tcBorders/>
                        <w:shd w:fill="ffffff"/>
                        <w:tcMar>
                          <w:start w:w="0" w:type="dxa"/>
                          <w:end w:w="0" w:type="dxa"/>
                        </w:tcMar>
                      </w:tcPr>
                      <w:tbl>
                        <w:tblPr>
                          <w:tblW w:type="auto" w:w="0"/>
                          <w:tblLayout w:type="fixed"/>
                          <w:tblLook w:firstColumn="1" w:firstRow="1" w:lastColumn="0" w:lastRow="0" w:noHBand="0" w:noVBand="1" w:val="04A0"/>
                          <w:tblInd w:w="220.0" w:type="dxa"/>
                        </w:tblPr>
                        <w:tblGrid>
                          <w:gridCol w:w="770"/>
                        </w:tblGrid>
                        <w:tr>
                          <w:trPr>
                            <w:trHeight w:hRule="exact" w:val="160"/>
                          </w:trPr>
                          <w:tc>
                            <w:tcPr>
                              <w:tcW w:type="dxa" w:w="360"/>
                              <w:tcBorders/>
                              <w:shd w:fill="dadbda"/>
                              <w:tcMar>
                                <w:start w:w="0" w:type="dxa"/>
                                <w:end w:w="0" w:type="dxa"/>
                              </w:tcMar>
                            </w:tcPr>
                            <w:p>
                              <w:pPr>
                                <w:autoSpaceDN w:val="0"/>
                                <w:autoSpaceDE w:val="0"/>
                                <w:widowControl/>
                                <w:spacing w:line="180" w:lineRule="exact" w:before="0" w:after="0"/>
                                <w:ind w:left="0" w:right="0" w:firstLine="0"/>
                                <w:jc w:val="center"/>
                              </w:pPr>
                              <w:r>
                                <w:rPr>
                                  <w:rFonts w:ascii="ArialMT" w:hAnsi="ArialMT" w:eastAsia="ArialMT"/>
                                  <w:b w:val="0"/>
                                  <w:i w:val="0"/>
                                  <w:color w:val="595959"/>
                                  <w:sz w:val="16"/>
                                </w:rPr>
                                <w:t>7.0</w:t>
                              </w:r>
                            </w:p>
                          </w:tc>
                        </w:tr>
                      </w:tbl>
                      <w:p>
                        <w:pPr>
                          <w:autoSpaceDN w:val="0"/>
                          <w:autoSpaceDE w:val="0"/>
                          <w:widowControl/>
                          <w:spacing w:line="14" w:lineRule="exact" w:before="0" w:after="0"/>
                          <w:ind w:left="0" w:right="0"/>
                        </w:pPr>
                      </w:p>
                    </w:tc>
                  </w:tr>
                  <w:tr>
                    <w:trPr>
                      <w:trHeight w:hRule="exact" w:val="340"/>
                    </w:trPr>
                    <w:tc>
                      <w:tcPr>
                        <w:tcW w:type="dxa" w:w="508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78" w:lineRule="exact" w:before="0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595959"/>
                            <w:sz w:val="16"/>
                          </w:rPr>
                          <w:t>0</w:t>
                        </w:r>
                      </w:p>
                    </w:tc>
                    <w:tc>
                      <w:tcPr>
                        <w:tcW w:type="dxa" w:w="712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78" w:lineRule="exact" w:before="122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595959"/>
                            <w:sz w:val="16"/>
                          </w:rPr>
                          <w:t>Jun 20</w:t>
                        </w:r>
                      </w:p>
                    </w:tc>
                    <w:tc>
                      <w:tcPr>
                        <w:tcW w:type="dxa" w:w="7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78" w:lineRule="exact" w:before="122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595959"/>
                            <w:sz w:val="16"/>
                          </w:rPr>
                          <w:t>Jun 21</w:t>
                        </w:r>
                      </w:p>
                    </w:tc>
                    <w:tc>
                      <w:tcPr>
                        <w:tcW w:type="dxa" w:w="72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78" w:lineRule="exact" w:before="122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595959"/>
                            <w:sz w:val="16"/>
                          </w:rPr>
                          <w:t>Jun 22</w:t>
                        </w:r>
                      </w:p>
                    </w:tc>
                    <w:tc>
                      <w:tcPr>
                        <w:tcW w:type="dxa" w:w="74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78" w:lineRule="exact" w:before="122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595959"/>
                            <w:sz w:val="16"/>
                          </w:rPr>
                          <w:t>Jun 23</w:t>
                        </w:r>
                      </w:p>
                    </w:tc>
                    <w:tc>
                      <w:tcPr>
                        <w:tcW w:type="dxa" w:w="77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78" w:lineRule="exact" w:before="122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595959"/>
                            <w:sz w:val="16"/>
                          </w:rPr>
                          <w:t>Jun 24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0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18" w:after="0"/>
              <w:ind w:left="0" w:right="2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1,800</w:t>
            </w:r>
          </w:p>
        </w:tc>
        <w:tc>
          <w:tcPr>
            <w:tcW w:type="dxa" w:w="3450"/>
            <w:gridSpan w:val="5"/>
            <w:vMerge w:val="restart"/>
            <w:tcBorders>
              <w:bottom w:sz="6.0" w:val="single" w:color="#898A89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80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52600" cy="10033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600" cy="100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320"/>
        </w:trPr>
        <w:tc>
          <w:tcPr>
            <w:tcW w:type="dxa" w:w="1349"/>
            <w:vMerge/>
            <w:tcBorders/>
          </w:tcPr>
          <w:p/>
        </w:tc>
        <w:tc>
          <w:tcPr>
            <w:tcW w:type="dxa" w:w="10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8" w:after="0"/>
              <w:ind w:left="0" w:right="2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1,500</w:t>
            </w:r>
          </w:p>
        </w:tc>
        <w:tc>
          <w:tcPr>
            <w:tcW w:type="dxa" w:w="6745"/>
            <w:gridSpan w:val="5"/>
            <w:vMerge/>
            <w:tcBorders>
              <w:bottom w:sz="6.0" w:val="single" w:color="#898A89"/>
            </w:tcBorders>
          </w:tcPr>
          <w:p/>
        </w:tc>
      </w:tr>
      <w:tr>
        <w:trPr>
          <w:trHeight w:hRule="exact" w:val="320"/>
        </w:trPr>
        <w:tc>
          <w:tcPr>
            <w:tcW w:type="dxa" w:w="1349"/>
            <w:vMerge/>
            <w:tcBorders/>
          </w:tcPr>
          <w:p/>
        </w:tc>
        <w:tc>
          <w:tcPr>
            <w:tcW w:type="dxa" w:w="10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82" w:after="0"/>
              <w:ind w:left="0" w:right="2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1,200</w:t>
            </w:r>
          </w:p>
        </w:tc>
        <w:tc>
          <w:tcPr>
            <w:tcW w:type="dxa" w:w="6745"/>
            <w:gridSpan w:val="5"/>
            <w:vMerge/>
            <w:tcBorders>
              <w:bottom w:sz="6.0" w:val="single" w:color="#898A89"/>
            </w:tcBorders>
          </w:tcPr>
          <w:p/>
        </w:tc>
      </w:tr>
      <w:tr>
        <w:trPr>
          <w:trHeight w:hRule="exact" w:val="340"/>
        </w:trPr>
        <w:tc>
          <w:tcPr>
            <w:tcW w:type="dxa" w:w="1349"/>
            <w:vMerge/>
            <w:tcBorders/>
          </w:tcPr>
          <w:p/>
        </w:tc>
        <w:tc>
          <w:tcPr>
            <w:tcW w:type="dxa" w:w="10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92" w:after="0"/>
              <w:ind w:left="0" w:right="2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900</w:t>
            </w:r>
          </w:p>
        </w:tc>
        <w:tc>
          <w:tcPr>
            <w:tcW w:type="dxa" w:w="6745"/>
            <w:gridSpan w:val="5"/>
            <w:vMerge/>
            <w:tcBorders>
              <w:bottom w:sz="6.0" w:val="single" w:color="#898A89"/>
            </w:tcBorders>
          </w:tcPr>
          <w:p/>
        </w:tc>
      </w:tr>
      <w:tr>
        <w:trPr>
          <w:trHeight w:hRule="exact" w:val="320"/>
        </w:trPr>
        <w:tc>
          <w:tcPr>
            <w:tcW w:type="dxa" w:w="1349"/>
            <w:vMerge/>
            <w:tcBorders/>
          </w:tcPr>
          <w:p/>
        </w:tc>
        <w:tc>
          <w:tcPr>
            <w:tcW w:type="dxa" w:w="10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82" w:after="0"/>
              <w:ind w:left="0" w:right="2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600</w:t>
            </w:r>
          </w:p>
        </w:tc>
        <w:tc>
          <w:tcPr>
            <w:tcW w:type="dxa" w:w="6745"/>
            <w:gridSpan w:val="5"/>
            <w:vMerge/>
            <w:tcBorders>
              <w:bottom w:sz="6.0" w:val="single" w:color="#898A89"/>
            </w:tcBorders>
          </w:tcPr>
          <w:p/>
        </w:tc>
      </w:tr>
      <w:tr>
        <w:trPr>
          <w:trHeight w:hRule="exact" w:val="320"/>
        </w:trPr>
        <w:tc>
          <w:tcPr>
            <w:tcW w:type="dxa" w:w="1349"/>
            <w:vMerge/>
            <w:tcBorders/>
          </w:tcPr>
          <w:p/>
        </w:tc>
        <w:tc>
          <w:tcPr>
            <w:tcW w:type="dxa" w:w="10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8" w:after="0"/>
              <w:ind w:left="0" w:right="2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300</w:t>
            </w:r>
          </w:p>
        </w:tc>
        <w:tc>
          <w:tcPr>
            <w:tcW w:type="dxa" w:w="6745"/>
            <w:gridSpan w:val="5"/>
            <w:vMerge/>
            <w:tcBorders>
              <w:bottom w:sz="6.0" w:val="single" w:color="#898A89"/>
            </w:tcBorders>
          </w:tcPr>
          <w:p/>
        </w:tc>
      </w:tr>
      <w:tr>
        <w:trPr>
          <w:trHeight w:hRule="exact" w:val="168"/>
        </w:trPr>
        <w:tc>
          <w:tcPr>
            <w:tcW w:type="dxa" w:w="1349"/>
            <w:vMerge/>
            <w:tcBorders/>
          </w:tcPr>
          <w:p/>
        </w:tc>
        <w:tc>
          <w:tcPr>
            <w:tcW w:type="dxa" w:w="1092"/>
            <w:tcBorders>
              <w:bottom w:sz="6.0" w:val="single" w:color="#898A89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745"/>
            <w:gridSpan w:val="5"/>
            <w:vMerge/>
            <w:tcBorders>
              <w:bottom w:sz="6.0" w:val="single" w:color="#898A89"/>
            </w:tcBorders>
          </w:tcPr>
          <w:p/>
        </w:tc>
      </w:tr>
      <w:tr>
        <w:trPr>
          <w:trHeight w:hRule="exact" w:val="1692"/>
        </w:trPr>
        <w:tc>
          <w:tcPr>
            <w:tcW w:type="dxa" w:w="1349"/>
            <w:vMerge/>
            <w:tcBorders/>
          </w:tcPr>
          <w:p/>
        </w:tc>
        <w:tc>
          <w:tcPr>
            <w:tcW w:type="dxa" w:w="1092"/>
            <w:tcBorders>
              <w:top w:sz="6.0" w:val="single" w:color="#898A8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2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0</w:t>
            </w:r>
          </w:p>
        </w:tc>
        <w:tc>
          <w:tcPr>
            <w:tcW w:type="dxa" w:w="668"/>
            <w:tcBorders>
              <w:top w:sz="6.0" w:val="single" w:color="#898A8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FY20</w:t>
            </w:r>
          </w:p>
        </w:tc>
        <w:tc>
          <w:tcPr>
            <w:tcW w:type="dxa" w:w="680"/>
            <w:tcBorders>
              <w:top w:sz="6.0" w:val="single" w:color="#898A8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FY21</w:t>
            </w:r>
          </w:p>
        </w:tc>
        <w:tc>
          <w:tcPr>
            <w:tcW w:type="dxa" w:w="700"/>
            <w:tcBorders>
              <w:top w:sz="6.0" w:val="single" w:color="#898A8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FY22</w:t>
            </w:r>
          </w:p>
        </w:tc>
        <w:tc>
          <w:tcPr>
            <w:tcW w:type="dxa" w:w="760"/>
            <w:tcBorders>
              <w:top w:sz="6.0" w:val="single" w:color="#898A8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FY23</w:t>
            </w:r>
          </w:p>
        </w:tc>
        <w:tc>
          <w:tcPr>
            <w:tcW w:type="dxa" w:w="642"/>
            <w:tcBorders>
              <w:top w:sz="6.0" w:val="single" w:color="#898A89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2" w:after="0"/>
              <w:ind w:left="8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FY24</w:t>
            </w:r>
          </w:p>
        </w:tc>
      </w:tr>
      <w:tr>
        <w:trPr>
          <w:trHeight w:hRule="exact" w:val="1390"/>
        </w:trPr>
        <w:tc>
          <w:tcPr>
            <w:tcW w:type="dxa" w:w="870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186" w:after="0"/>
              <w:ind w:left="0" w:right="7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IDA Management's Discussion and Analysis:  June 30, 2024</w:t>
            </w:r>
          </w:p>
        </w:tc>
        <w:tc>
          <w:tcPr>
            <w:tcW w:type="dxa" w:w="6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186" w:after="0"/>
              <w:ind w:left="0" w:right="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21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0" w:right="1370" w:bottom="424" w:left="14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7"/>
        <w:gridCol w:w="4717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IV: Financial Results</w:t>
            </w:r>
          </w:p>
        </w:tc>
      </w:tr>
    </w:tbl>
    <w:p>
      <w:pPr>
        <w:autoSpaceDN w:val="0"/>
        <w:autoSpaceDE w:val="0"/>
        <w:widowControl/>
        <w:spacing w:line="244" w:lineRule="exact" w:before="388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Transfers from Affiliated Organizations</w:t>
      </w:r>
    </w:p>
    <w:p>
      <w:pPr>
        <w:autoSpaceDN w:val="0"/>
        <w:autoSpaceDE w:val="0"/>
        <w:widowControl/>
        <w:spacing w:line="240" w:lineRule="exact" w:before="13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Since 1964, IBRD has made transfers to IDA out of its net income, upon approval by the Board of Governors. Under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 formula-based approach for IBRD's income support to IDA, the amount of income transfer recommended for IDA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is a function of IBRD's financial results. On October 13, 2023, IBRD’s Board of Governors approved a transfer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$291 million from FY23 allocable income to IDA which was received by IDA on October 24, 2023. The transfer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was recorded in the Transfers from affiliated organizations and others line in the Condensed Statements of Income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(Table 4).</w:t>
      </w:r>
    </w:p>
    <w:p>
      <w:pPr>
        <w:autoSpaceDN w:val="0"/>
        <w:autoSpaceDE w:val="0"/>
        <w:widowControl/>
        <w:spacing w:line="244" w:lineRule="exact" w:before="130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Net Non-Interest Expense</w:t>
      </w:r>
    </w:p>
    <w:p>
      <w:pPr>
        <w:autoSpaceDN w:val="0"/>
        <w:autoSpaceDE w:val="0"/>
        <w:widowControl/>
        <w:spacing w:line="240" w:lineRule="exact" w:before="130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IDA’s net non-interest expenses are primarily comprised of administrative expenses, net of revenue from externally-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funded activities. IBRD and IDA's administrative budget is a single resource envelope that funds the combined work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programs of both entities. The allocation of administrative expenses between IBRD and IDA is based on an agreed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cost and revenue sharing methodology, approved by their Boards. The allocation is primarily driven by the relative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level of activities relating to lending, knowledge services and other services between the two institutions.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administrative expenses shown in the table below include costs related to IDA executed trust funds and other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externally funded activities.</w:t>
      </w:r>
    </w:p>
    <w:p>
      <w:pPr>
        <w:autoSpaceDN w:val="0"/>
        <w:autoSpaceDE w:val="0"/>
        <w:widowControl/>
        <w:spacing w:line="240" w:lineRule="exact" w:before="120" w:after="0"/>
        <w:ind w:left="4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decrease in net non-interest expenses from FY23 to FY24, on a U.S. GAAP basis was primarily due to higher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revenue from externally funded activities. On an adjusted net income basis, net non-interest expense for FY24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increased primarily due to higher staff costs and higher travel expenses (Table 9). </w:t>
      </w:r>
    </w:p>
    <w:p>
      <w:pPr>
        <w:autoSpaceDN w:val="0"/>
        <w:tabs>
          <w:tab w:pos="656" w:val="left"/>
        </w:tabs>
        <w:autoSpaceDE w:val="0"/>
        <w:widowControl/>
        <w:spacing w:line="224" w:lineRule="exact" w:before="8536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Management's Discussion and Analysis:  June 30, 2024</w:t>
      </w:r>
    </w:p>
    <w:p>
      <w:pPr>
        <w:sectPr>
          <w:pgSz w:w="12240" w:h="15840"/>
          <w:pgMar w:top="360" w:right="1370" w:bottom="424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20"/>
        <w:gridCol w:w="4720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IV: Financial Results</w:t>
            </w:r>
          </w:p>
        </w:tc>
      </w:tr>
    </w:tbl>
    <w:p>
      <w:pPr>
        <w:autoSpaceDN w:val="0"/>
        <w:autoSpaceDE w:val="0"/>
        <w:widowControl/>
        <w:spacing w:line="178" w:lineRule="exact" w:before="408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Table 9: Net Non-Interest Expenses</w:t>
      </w:r>
    </w:p>
    <w:p>
      <w:pPr>
        <w:autoSpaceDN w:val="0"/>
        <w:autoSpaceDE w:val="0"/>
        <w:widowControl/>
        <w:spacing w:line="178" w:lineRule="exact" w:before="74" w:after="62"/>
        <w:ind w:left="1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360"/>
        <w:gridCol w:w="2360"/>
        <w:gridCol w:w="2360"/>
        <w:gridCol w:w="2360"/>
      </w:tblGrid>
      <w:tr>
        <w:trPr>
          <w:trHeight w:hRule="exact" w:val="266"/>
        </w:trPr>
        <w:tc>
          <w:tcPr>
            <w:tcW w:type="dxa" w:w="439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For the fiscal year ended June 30,</w:t>
            </w:r>
          </w:p>
        </w:tc>
        <w:tc>
          <w:tcPr>
            <w:tcW w:type="dxa" w:w="276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0" w:right="4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2024</w:t>
            </w:r>
          </w:p>
        </w:tc>
        <w:tc>
          <w:tcPr>
            <w:tcW w:type="dxa" w:w="116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0" w:right="3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2023</w:t>
            </w:r>
          </w:p>
        </w:tc>
        <w:tc>
          <w:tcPr>
            <w:tcW w:type="dxa" w:w="107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0" w:right="1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Variance</w:t>
            </w:r>
          </w:p>
        </w:tc>
      </w:tr>
    </w:tbl>
    <w:p>
      <w:pPr>
        <w:autoSpaceDN w:val="0"/>
        <w:autoSpaceDE w:val="0"/>
        <w:widowControl/>
        <w:spacing w:line="178" w:lineRule="exact" w:before="24" w:after="18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Administrative expenses: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190"/>
        </w:trPr>
        <w:tc>
          <w:tcPr>
            <w:tcW w:type="dxa" w:w="5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Staff costs</w:t>
            </w:r>
          </w:p>
        </w:tc>
        <w:tc>
          <w:tcPr>
            <w:tcW w:type="dxa" w:w="380"/>
            <w:vMerge w:val="restart"/>
            <w:tcBorders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9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1,314 </w:t>
            </w:r>
          </w:p>
        </w:tc>
        <w:tc>
          <w:tcPr>
            <w:tcW w:type="dxa" w:w="630"/>
            <w:vMerge w:val="restart"/>
            <w:tcBorders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1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9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1,228 </w:t>
            </w:r>
          </w:p>
        </w:tc>
        <w:tc>
          <w:tcPr>
            <w:tcW w:type="dxa" w:w="690"/>
            <w:vMerge w:val="restart"/>
            <w:tcBorders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3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86 </w:t>
            </w:r>
          </w:p>
        </w:tc>
      </w:tr>
      <w:tr>
        <w:trPr>
          <w:trHeight w:hRule="exact" w:val="220"/>
        </w:trPr>
        <w:tc>
          <w:tcPr>
            <w:tcW w:type="dxa" w:w="56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Travel</w:t>
            </w:r>
          </w:p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  <w:tc>
          <w:tcPr>
            <w:tcW w:type="dxa" w:w="6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180 </w:t>
            </w:r>
          </w:p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  <w:tc>
          <w:tcPr>
            <w:tcW w:type="dxa" w:w="6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165 </w:t>
            </w:r>
          </w:p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  <w:tc>
          <w:tcPr>
            <w:tcW w:type="dxa" w:w="63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15 </w:t>
            </w:r>
          </w:p>
        </w:tc>
      </w:tr>
      <w:tr>
        <w:trPr>
          <w:trHeight w:hRule="exact" w:val="44"/>
        </w:trPr>
        <w:tc>
          <w:tcPr>
            <w:tcW w:type="dxa" w:w="1349"/>
            <w:vMerge/>
            <w:tcBorders/>
          </w:tcPr>
          <w:p/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  <w:tc>
          <w:tcPr>
            <w:tcW w:type="dxa" w:w="69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578 </w:t>
            </w:r>
          </w:p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  <w:tc>
          <w:tcPr>
            <w:tcW w:type="dxa" w:w="69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588 </w:t>
            </w:r>
          </w:p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  <w:tc>
          <w:tcPr>
            <w:tcW w:type="dxa" w:w="63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(10) </w:t>
            </w:r>
          </w:p>
        </w:tc>
      </w:tr>
      <w:tr>
        <w:trPr>
          <w:trHeight w:hRule="exact" w:val="196"/>
        </w:trPr>
        <w:tc>
          <w:tcPr>
            <w:tcW w:type="dxa" w:w="5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Consultant and contractual services</w:t>
            </w:r>
          </w:p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  <w:tc>
          <w:tcPr>
            <w:tcW w:type="dxa" w:w="1349"/>
            <w:vMerge/>
            <w:tcBorders/>
          </w:tcPr>
          <w:p/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  <w:tc>
          <w:tcPr>
            <w:tcW w:type="dxa" w:w="1349"/>
            <w:vMerge/>
            <w:tcBorders/>
          </w:tcPr>
          <w:p/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  <w:tc>
          <w:tcPr>
            <w:tcW w:type="dxa" w:w="1349"/>
            <w:vMerge/>
            <w:tcBorders/>
          </w:tcPr>
          <w:p/>
        </w:tc>
      </w:tr>
      <w:tr>
        <w:trPr>
          <w:trHeight w:hRule="exact" w:val="220"/>
        </w:trPr>
        <w:tc>
          <w:tcPr>
            <w:tcW w:type="dxa" w:w="5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Pension and other post-retirement benefits</w:t>
            </w:r>
          </w:p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  <w:tc>
          <w:tcPr>
            <w:tcW w:type="dxa" w:w="69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98 </w:t>
            </w:r>
          </w:p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  <w:tc>
          <w:tcPr>
            <w:tcW w:type="dxa" w:w="69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163 </w:t>
            </w:r>
          </w:p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  <w:tc>
          <w:tcPr>
            <w:tcW w:type="dxa" w:w="63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(65) </w:t>
            </w:r>
          </w:p>
        </w:tc>
      </w:tr>
      <w:tr>
        <w:trPr>
          <w:trHeight w:hRule="exact" w:val="220"/>
        </w:trPr>
        <w:tc>
          <w:tcPr>
            <w:tcW w:type="dxa" w:w="5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Communications and technology</w:t>
            </w:r>
          </w:p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  <w:tc>
          <w:tcPr>
            <w:tcW w:type="dxa" w:w="69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107 </w:t>
            </w:r>
          </w:p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  <w:tc>
          <w:tcPr>
            <w:tcW w:type="dxa" w:w="69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100 </w:t>
            </w:r>
          </w:p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  <w:tc>
          <w:tcPr>
            <w:tcW w:type="dxa" w:w="63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 </w:t>
            </w:r>
          </w:p>
        </w:tc>
      </w:tr>
      <w:tr>
        <w:trPr>
          <w:trHeight w:hRule="exact" w:val="220"/>
        </w:trPr>
        <w:tc>
          <w:tcPr>
            <w:tcW w:type="dxa" w:w="56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Premises and equipment</w:t>
            </w:r>
          </w:p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  <w:tc>
          <w:tcPr>
            <w:tcW w:type="dxa" w:w="69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139 </w:t>
            </w:r>
          </w:p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  <w:tc>
          <w:tcPr>
            <w:tcW w:type="dxa" w:w="69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144 </w:t>
            </w:r>
          </w:p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  <w:tc>
          <w:tcPr>
            <w:tcW w:type="dxa" w:w="63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(5) </w:t>
            </w:r>
          </w:p>
        </w:tc>
      </w:tr>
      <w:tr>
        <w:trPr>
          <w:trHeight w:hRule="exact" w:val="44"/>
        </w:trPr>
        <w:tc>
          <w:tcPr>
            <w:tcW w:type="dxa" w:w="1349"/>
            <w:vMerge/>
            <w:tcBorders/>
          </w:tcPr>
          <w:p/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  <w:tc>
          <w:tcPr>
            <w:tcW w:type="dxa" w:w="690"/>
            <w:vMerge w:val="restart"/>
            <w:tcBorders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19 </w:t>
            </w:r>
          </w:p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  <w:tc>
          <w:tcPr>
            <w:tcW w:type="dxa" w:w="690"/>
            <w:vMerge w:val="restart"/>
            <w:tcBorders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22 </w:t>
            </w:r>
          </w:p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  <w:tc>
          <w:tcPr>
            <w:tcW w:type="dxa" w:w="630"/>
            <w:vMerge w:val="restart"/>
            <w:tcBorders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(3) </w:t>
            </w:r>
          </w:p>
        </w:tc>
      </w:tr>
      <w:tr>
        <w:trPr>
          <w:trHeight w:hRule="exact" w:val="226"/>
        </w:trPr>
        <w:tc>
          <w:tcPr>
            <w:tcW w:type="dxa" w:w="564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Other expenses</w:t>
            </w:r>
          </w:p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</w:tr>
      <w:tr>
        <w:trPr>
          <w:trHeight w:hRule="exact" w:val="190"/>
        </w:trPr>
        <w:tc>
          <w:tcPr>
            <w:tcW w:type="dxa" w:w="5640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39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Total administrative expenses </w:t>
            </w:r>
            <w:r>
              <w:rPr>
                <w:w w:val="103.99999618530273"/>
                <w:rFonts w:ascii="Arial" w:hAnsi="Arial" w:eastAsia="Arial"/>
                <w:b/>
                <w:i w:val="0"/>
                <w:color w:val="000000"/>
                <w:sz w:val="10"/>
              </w:rPr>
              <w:t>a</w:t>
            </w:r>
          </w:p>
        </w:tc>
        <w:tc>
          <w:tcPr>
            <w:tcW w:type="dxa" w:w="380"/>
            <w:vMerge w:val="restart"/>
            <w:tcBorders>
              <w:top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90"/>
            <w:tcBorders>
              <w:top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36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2,435 </w:t>
            </w:r>
          </w:p>
        </w:tc>
        <w:tc>
          <w:tcPr>
            <w:tcW w:type="dxa" w:w="630"/>
            <w:vMerge w:val="restart"/>
            <w:tcBorders>
              <w:top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18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90"/>
            <w:tcBorders>
              <w:top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36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2,410 </w:t>
            </w:r>
          </w:p>
        </w:tc>
        <w:tc>
          <w:tcPr>
            <w:tcW w:type="dxa" w:w="690"/>
            <w:vMerge w:val="restart"/>
            <w:tcBorders>
              <w:top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30"/>
            <w:tcBorders>
              <w:top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36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25 </w:t>
            </w:r>
          </w:p>
        </w:tc>
      </w:tr>
      <w:tr>
        <w:trPr>
          <w:trHeight w:hRule="exact" w:val="522"/>
        </w:trPr>
        <w:tc>
          <w:tcPr>
            <w:tcW w:type="dxa" w:w="5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2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Contributions to special programs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b</w:t>
            </w:r>
          </w:p>
        </w:tc>
        <w:tc>
          <w:tcPr>
            <w:tcW w:type="dxa" w:w="1349"/>
            <w:vMerge/>
            <w:tcBorders>
              <w:top w:sz="8.0" w:val="single" w:color="#929292"/>
            </w:tcBorders>
          </w:tcPr>
          <w:p/>
        </w:tc>
        <w:tc>
          <w:tcPr>
            <w:tcW w:type="dxa" w:w="6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76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20 </w:t>
            </w:r>
          </w:p>
        </w:tc>
        <w:tc>
          <w:tcPr>
            <w:tcW w:type="dxa" w:w="1349"/>
            <w:vMerge/>
            <w:tcBorders>
              <w:top w:sz="8.0" w:val="single" w:color="#929292"/>
            </w:tcBorders>
          </w:tcPr>
          <w:p/>
        </w:tc>
        <w:tc>
          <w:tcPr>
            <w:tcW w:type="dxa" w:w="6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76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20 </w:t>
            </w:r>
          </w:p>
        </w:tc>
        <w:tc>
          <w:tcPr>
            <w:tcW w:type="dxa" w:w="1349"/>
            <w:vMerge/>
            <w:tcBorders>
              <w:top w:sz="8.0" w:val="single" w:color="#929292"/>
            </w:tcBorders>
          </w:tcPr>
          <w:p/>
        </w:tc>
        <w:tc>
          <w:tcPr>
            <w:tcW w:type="dxa" w:w="6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76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</w:tr>
    </w:tbl>
    <w:p>
      <w:pPr>
        <w:autoSpaceDN w:val="0"/>
        <w:autoSpaceDE w:val="0"/>
        <w:widowControl/>
        <w:spacing w:line="178" w:lineRule="exact" w:before="212" w:after="2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Revenue from externally funded activities: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188"/>
        </w:trPr>
        <w:tc>
          <w:tcPr>
            <w:tcW w:type="dxa" w:w="5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0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Reimbursable advisory services</w:t>
            </w:r>
          </w:p>
        </w:tc>
        <w:tc>
          <w:tcPr>
            <w:tcW w:type="dxa" w:w="340"/>
            <w:vMerge w:val="restart"/>
            <w:tcBorders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73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8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(44) </w:t>
            </w:r>
          </w:p>
        </w:tc>
        <w:tc>
          <w:tcPr>
            <w:tcW w:type="dxa" w:w="630"/>
            <w:vMerge w:val="restart"/>
            <w:tcBorders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69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8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(47) </w:t>
            </w:r>
          </w:p>
        </w:tc>
        <w:tc>
          <w:tcPr>
            <w:tcW w:type="dxa" w:w="690"/>
            <w:vMerge w:val="restart"/>
            <w:tcBorders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63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8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 </w:t>
            </w:r>
          </w:p>
        </w:tc>
      </w:tr>
      <w:tr>
        <w:trPr>
          <w:trHeight w:hRule="exact" w:val="220"/>
        </w:trPr>
        <w:tc>
          <w:tcPr>
            <w:tcW w:type="dxa" w:w="56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Reimbursable revenue – Bank-executed activities for trust funds</w:t>
            </w:r>
          </w:p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  <w:tc>
          <w:tcPr>
            <w:tcW w:type="dxa" w:w="7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(705) </w:t>
            </w:r>
          </w:p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  <w:tc>
          <w:tcPr>
            <w:tcW w:type="dxa" w:w="6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(686) </w:t>
            </w:r>
          </w:p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  <w:tc>
          <w:tcPr>
            <w:tcW w:type="dxa" w:w="63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(19) </w:t>
            </w:r>
          </w:p>
        </w:tc>
      </w:tr>
      <w:tr>
        <w:trPr>
          <w:trHeight w:hRule="exact" w:val="44"/>
        </w:trPr>
        <w:tc>
          <w:tcPr>
            <w:tcW w:type="dxa" w:w="1349"/>
            <w:vMerge/>
            <w:tcBorders/>
          </w:tcPr>
          <w:p/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  <w:tc>
          <w:tcPr>
            <w:tcW w:type="dxa" w:w="73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(93) </w:t>
            </w:r>
          </w:p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  <w:tc>
          <w:tcPr>
            <w:tcW w:type="dxa" w:w="69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(57) </w:t>
            </w:r>
          </w:p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  <w:tc>
          <w:tcPr>
            <w:tcW w:type="dxa" w:w="63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(36) </w:t>
            </w:r>
          </w:p>
        </w:tc>
      </w:tr>
      <w:tr>
        <w:trPr>
          <w:trHeight w:hRule="exact" w:val="196"/>
        </w:trPr>
        <w:tc>
          <w:tcPr>
            <w:tcW w:type="dxa" w:w="5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Revenue – trust funds administration</w:t>
            </w:r>
          </w:p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  <w:tc>
          <w:tcPr>
            <w:tcW w:type="dxa" w:w="1349"/>
            <w:vMerge/>
            <w:tcBorders/>
          </w:tcPr>
          <w:p/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  <w:tc>
          <w:tcPr>
            <w:tcW w:type="dxa" w:w="1349"/>
            <w:vMerge/>
            <w:tcBorders/>
          </w:tcPr>
          <w:p/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  <w:tc>
          <w:tcPr>
            <w:tcW w:type="dxa" w:w="1349"/>
            <w:vMerge/>
            <w:tcBorders/>
          </w:tcPr>
          <w:p/>
        </w:tc>
      </w:tr>
      <w:tr>
        <w:trPr>
          <w:trHeight w:hRule="exact" w:val="220"/>
        </w:trPr>
        <w:tc>
          <w:tcPr>
            <w:tcW w:type="dxa" w:w="5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Restricted revenue</w:t>
            </w:r>
          </w:p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  <w:tc>
          <w:tcPr>
            <w:tcW w:type="dxa" w:w="73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(8) </w:t>
            </w:r>
          </w:p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  <w:tc>
          <w:tcPr>
            <w:tcW w:type="dxa" w:w="69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(3) </w:t>
            </w:r>
          </w:p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  <w:tc>
          <w:tcPr>
            <w:tcW w:type="dxa" w:w="63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(5) </w:t>
            </w:r>
          </w:p>
        </w:tc>
      </w:tr>
      <w:tr>
        <w:trPr>
          <w:trHeight w:hRule="exact" w:val="260"/>
        </w:trPr>
        <w:tc>
          <w:tcPr>
            <w:tcW w:type="dxa" w:w="564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8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Other revenue</w:t>
            </w:r>
          </w:p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  <w:tc>
          <w:tcPr>
            <w:tcW w:type="dxa" w:w="73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0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(181) </w:t>
            </w:r>
          </w:p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  <w:tc>
          <w:tcPr>
            <w:tcW w:type="dxa" w:w="69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0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(173) </w:t>
            </w:r>
          </w:p>
        </w:tc>
        <w:tc>
          <w:tcPr>
            <w:tcW w:type="dxa" w:w="1349"/>
            <w:vMerge/>
            <w:tcBorders>
              <w:bottom w:sz="8.0" w:val="single" w:color="#929292"/>
            </w:tcBorders>
          </w:tcPr>
          <w:p/>
        </w:tc>
        <w:tc>
          <w:tcPr>
            <w:tcW w:type="dxa" w:w="630"/>
            <w:tcBorders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0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(8) </w:t>
            </w:r>
          </w:p>
        </w:tc>
      </w:tr>
      <w:tr>
        <w:trPr>
          <w:trHeight w:hRule="exact" w:val="224"/>
        </w:trPr>
        <w:tc>
          <w:tcPr>
            <w:tcW w:type="dxa" w:w="564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39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Total revenue from externally funded activities</w:t>
            </w:r>
          </w:p>
        </w:tc>
        <w:tc>
          <w:tcPr>
            <w:tcW w:type="dxa" w:w="340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30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14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(1,031) </w:t>
            </w:r>
          </w:p>
        </w:tc>
        <w:tc>
          <w:tcPr>
            <w:tcW w:type="dxa" w:w="63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18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90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36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(966) </w:t>
            </w:r>
          </w:p>
        </w:tc>
        <w:tc>
          <w:tcPr>
            <w:tcW w:type="dxa" w:w="69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30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36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(65) </w:t>
            </w:r>
          </w:p>
        </w:tc>
      </w:tr>
      <w:tr>
        <w:trPr>
          <w:trHeight w:hRule="exact" w:val="206"/>
        </w:trPr>
        <w:tc>
          <w:tcPr>
            <w:tcW w:type="dxa" w:w="564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Total net non-interest expenses (Table 4) - GAAP Basis</w:t>
            </w:r>
          </w:p>
        </w:tc>
        <w:tc>
          <w:tcPr>
            <w:tcW w:type="dxa" w:w="340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30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36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1,424 </w:t>
            </w:r>
          </w:p>
        </w:tc>
        <w:tc>
          <w:tcPr>
            <w:tcW w:type="dxa" w:w="63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18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90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36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1,464 </w:t>
            </w:r>
          </w:p>
        </w:tc>
        <w:tc>
          <w:tcPr>
            <w:tcW w:type="dxa" w:w="69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30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36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(40) </w:t>
            </w:r>
          </w:p>
        </w:tc>
      </w:tr>
    </w:tbl>
    <w:p>
      <w:pPr>
        <w:autoSpaceDN w:val="0"/>
        <w:autoSpaceDE w:val="0"/>
        <w:widowControl/>
        <w:spacing w:line="178" w:lineRule="exact" w:before="276" w:after="12"/>
        <w:ind w:left="11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Adjustments to arrive at Net non-interest expenses - Adjusted Net Income basis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114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244"/>
        </w:trPr>
        <w:tc>
          <w:tcPr>
            <w:tcW w:type="dxa" w:w="5662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2" w:after="0"/>
              <w:ind w:left="29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Pension, RAMP and EFO adjustments (Table 10)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c</w:t>
            </w:r>
          </w:p>
        </w:tc>
        <w:tc>
          <w:tcPr>
            <w:tcW w:type="dxa" w:w="380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90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4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211 </w:t>
            </w:r>
          </w:p>
        </w:tc>
        <w:tc>
          <w:tcPr>
            <w:tcW w:type="dxa" w:w="6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90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4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121 </w:t>
            </w:r>
          </w:p>
        </w:tc>
        <w:tc>
          <w:tcPr>
            <w:tcW w:type="dxa" w:w="7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0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4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90 </w:t>
            </w:r>
          </w:p>
        </w:tc>
      </w:tr>
      <w:tr>
        <w:trPr>
          <w:trHeight w:hRule="exact" w:val="204"/>
        </w:trPr>
        <w:tc>
          <w:tcPr>
            <w:tcW w:type="dxa" w:w="5662"/>
            <w:tcBorders>
              <w:top w:sz="8.0" w:val="single" w:color="#000000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11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Net non-interest expenses - Adjusted Net Income basis </w:t>
            </w:r>
          </w:p>
        </w:tc>
        <w:tc>
          <w:tcPr>
            <w:tcW w:type="dxa" w:w="380"/>
            <w:tcBorders>
              <w:top w:sz="8.0" w:val="single" w:color="#000000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90"/>
            <w:tcBorders>
              <w:top w:sz="8.0" w:val="single" w:color="#000000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36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1,635 </w:t>
            </w:r>
          </w:p>
        </w:tc>
        <w:tc>
          <w:tcPr>
            <w:tcW w:type="dxa" w:w="630"/>
            <w:tcBorders>
              <w:top w:sz="8.0" w:val="single" w:color="#000000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18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90"/>
            <w:tcBorders>
              <w:top w:sz="8.0" w:val="single" w:color="#000000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36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1,585 </w:t>
            </w:r>
          </w:p>
        </w:tc>
        <w:tc>
          <w:tcPr>
            <w:tcW w:type="dxa" w:w="750"/>
            <w:tcBorders>
              <w:top w:sz="8.0" w:val="single" w:color="#000000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70"/>
            <w:tcBorders>
              <w:top w:sz="8.0" w:val="single" w:color="#000000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36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50 </w:t>
            </w:r>
          </w:p>
        </w:tc>
      </w:tr>
    </w:tbl>
    <w:p>
      <w:pPr>
        <w:autoSpaceDN w:val="0"/>
        <w:autoSpaceDE w:val="0"/>
        <w:widowControl/>
        <w:spacing w:line="178" w:lineRule="exact" w:before="26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a. Includes expenses related to Bank-executed activities for trust funds of $705 million for FY24 and $686 million for FY23.</w:t>
      </w:r>
    </w:p>
    <w:p>
      <w:pPr>
        <w:autoSpaceDN w:val="0"/>
        <w:autoSpaceDE w:val="0"/>
        <w:widowControl/>
        <w:spacing w:line="180" w:lineRule="exact" w:before="46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b. Included in Non-interest expenses – Other in the Statements of Income. </w:t>
      </w:r>
    </w:p>
    <w:p>
      <w:pPr>
        <w:autoSpaceDN w:val="0"/>
        <w:autoSpaceDE w:val="0"/>
        <w:widowControl/>
        <w:spacing w:line="178" w:lineRule="exact" w:before="46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c. Adjustments are included in the Pension and other adjustments line in Table 4.</w:t>
      </w:r>
    </w:p>
    <w:p>
      <w:pPr>
        <w:autoSpaceDN w:val="0"/>
        <w:autoSpaceDE w:val="0"/>
        <w:widowControl/>
        <w:spacing w:line="240" w:lineRule="exact" w:before="192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IDA's goal is to have its net administrative expenses covered by its loan revenue (interest, service charges,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commitment fees, and guarantee fees). Thus, IDA monitors its net administrative expenses as a percentage of its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loan revenue, using a measure referred to as the budget anchor. In FY24, IDA’s budget anchor was 65.6%, improved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by 4.3%  compared to FY23, primarily due to a higher increase in loan revenue than the increase in administrative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expenses. See Table 10.</w:t>
      </w:r>
    </w:p>
    <w:p>
      <w:pPr>
        <w:autoSpaceDN w:val="0"/>
        <w:autoSpaceDE w:val="0"/>
        <w:widowControl/>
        <w:spacing w:line="178" w:lineRule="exact" w:before="150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Table 10: Budget Anchor</w:t>
      </w:r>
    </w:p>
    <w:p>
      <w:pPr>
        <w:autoSpaceDN w:val="0"/>
        <w:autoSpaceDE w:val="0"/>
        <w:widowControl/>
        <w:spacing w:line="178" w:lineRule="exact" w:before="74" w:after="62"/>
        <w:ind w:left="1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266"/>
        </w:trPr>
        <w:tc>
          <w:tcPr>
            <w:tcW w:type="dxa" w:w="5926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For the fiscal year ended June 30,</w:t>
            </w:r>
          </w:p>
        </w:tc>
        <w:tc>
          <w:tcPr>
            <w:tcW w:type="dxa" w:w="304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44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0" w:right="6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2024</w:t>
            </w:r>
          </w:p>
        </w:tc>
        <w:tc>
          <w:tcPr>
            <w:tcW w:type="dxa" w:w="596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44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2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2023</w:t>
            </w:r>
          </w:p>
        </w:tc>
        <w:tc>
          <w:tcPr>
            <w:tcW w:type="dxa" w:w="216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36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Variance</w:t>
            </w:r>
          </w:p>
        </w:tc>
      </w:tr>
      <w:tr>
        <w:trPr>
          <w:trHeight w:hRule="exact" w:val="206"/>
        </w:trPr>
        <w:tc>
          <w:tcPr>
            <w:tcW w:type="dxa" w:w="5926"/>
            <w:tcBorders>
              <w:top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 net Non-interest Expenses (Table 9)</w:t>
            </w:r>
          </w:p>
        </w:tc>
        <w:tc>
          <w:tcPr>
            <w:tcW w:type="dxa" w:w="304"/>
            <w:vMerge w:val="restart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44"/>
            <w:tcBorders>
              <w:top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1,424 </w:t>
            </w:r>
          </w:p>
        </w:tc>
        <w:tc>
          <w:tcPr>
            <w:tcW w:type="dxa" w:w="596"/>
            <w:vMerge w:val="restart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10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44"/>
            <w:tcBorders>
              <w:top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17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1,464 </w:t>
            </w:r>
          </w:p>
        </w:tc>
        <w:tc>
          <w:tcPr>
            <w:tcW w:type="dxa" w:w="216"/>
            <w:vMerge w:val="restart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36"/>
            <w:tcBorders>
              <w:top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(40) </w:t>
            </w:r>
          </w:p>
        </w:tc>
      </w:tr>
      <w:tr>
        <w:trPr>
          <w:trHeight w:hRule="exact" w:val="244"/>
        </w:trPr>
        <w:tc>
          <w:tcPr>
            <w:tcW w:type="dxa" w:w="5926"/>
            <w:tcBorders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Pension, RAMP and EFO adjustments (Table 9)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a</w:t>
            </w:r>
          </w:p>
        </w:tc>
        <w:tc>
          <w:tcPr>
            <w:tcW w:type="dxa" w:w="1349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644"/>
            <w:tcBorders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4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211 </w:t>
            </w:r>
          </w:p>
        </w:tc>
        <w:tc>
          <w:tcPr>
            <w:tcW w:type="dxa" w:w="1349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944"/>
            <w:tcBorders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121 </w:t>
            </w:r>
          </w:p>
        </w:tc>
        <w:tc>
          <w:tcPr>
            <w:tcW w:type="dxa" w:w="1349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736"/>
            <w:tcBorders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4" w:after="0"/>
              <w:ind w:left="0" w:right="3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90 </w:t>
            </w:r>
          </w:p>
        </w:tc>
      </w:tr>
      <w:tr>
        <w:trPr>
          <w:trHeight w:hRule="exact" w:val="204"/>
        </w:trPr>
        <w:tc>
          <w:tcPr>
            <w:tcW w:type="dxa" w:w="5926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Net administrative expenses for Budget Anchor</w:t>
            </w:r>
          </w:p>
        </w:tc>
        <w:tc>
          <w:tcPr>
            <w:tcW w:type="dxa" w:w="304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44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1,635 </w:t>
            </w:r>
          </w:p>
        </w:tc>
        <w:tc>
          <w:tcPr>
            <w:tcW w:type="dxa" w:w="596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10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44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17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1,585 </w:t>
            </w:r>
          </w:p>
        </w:tc>
        <w:tc>
          <w:tcPr>
            <w:tcW w:type="dxa" w:w="216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36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38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50 </w:t>
            </w:r>
          </w:p>
        </w:tc>
      </w:tr>
      <w:tr>
        <w:trPr>
          <w:trHeight w:hRule="exact" w:val="452"/>
        </w:trPr>
        <w:tc>
          <w:tcPr>
            <w:tcW w:type="dxa" w:w="5926"/>
            <w:tcBorders>
              <w:top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5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Interest Revenue from Loans, net of associated borrowing expenses</w:t>
            </w:r>
          </w:p>
        </w:tc>
        <w:tc>
          <w:tcPr>
            <w:tcW w:type="dxa" w:w="304"/>
            <w:vMerge w:val="restart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5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44"/>
            <w:tcBorders>
              <w:top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5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2,430 </w:t>
            </w:r>
          </w:p>
        </w:tc>
        <w:tc>
          <w:tcPr>
            <w:tcW w:type="dxa" w:w="596"/>
            <w:vMerge w:val="restart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52" w:after="0"/>
              <w:ind w:left="0" w:right="10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44"/>
            <w:tcBorders>
              <w:top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52" w:after="0"/>
              <w:ind w:left="17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2,106 </w:t>
            </w:r>
          </w:p>
        </w:tc>
        <w:tc>
          <w:tcPr>
            <w:tcW w:type="dxa" w:w="216"/>
            <w:vMerge w:val="restart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5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36"/>
            <w:tcBorders>
              <w:top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52" w:after="0"/>
              <w:ind w:left="0" w:right="3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324 </w:t>
            </w:r>
          </w:p>
        </w:tc>
      </w:tr>
      <w:tr>
        <w:trPr>
          <w:trHeight w:hRule="exact" w:val="220"/>
        </w:trPr>
        <w:tc>
          <w:tcPr>
            <w:tcW w:type="dxa" w:w="592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Commitment charges, Guarantee fees and others (Table 11)</w:t>
            </w:r>
          </w:p>
        </w:tc>
        <w:tc>
          <w:tcPr>
            <w:tcW w:type="dxa" w:w="1349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64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4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51 </w:t>
            </w:r>
          </w:p>
        </w:tc>
        <w:tc>
          <w:tcPr>
            <w:tcW w:type="dxa" w:w="1349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94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58 </w:t>
            </w:r>
          </w:p>
        </w:tc>
        <w:tc>
          <w:tcPr>
            <w:tcW w:type="dxa" w:w="1349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73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4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(7) </w:t>
            </w:r>
          </w:p>
        </w:tc>
      </w:tr>
      <w:tr>
        <w:trPr>
          <w:trHeight w:hRule="exact" w:val="248"/>
        </w:trPr>
        <w:tc>
          <w:tcPr>
            <w:tcW w:type="dxa" w:w="5926"/>
            <w:tcBorders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Gains on revenue-related forward currency contracts</w:t>
            </w:r>
          </w:p>
        </w:tc>
        <w:tc>
          <w:tcPr>
            <w:tcW w:type="dxa" w:w="1349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644"/>
            <w:tcBorders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 </w:t>
            </w:r>
          </w:p>
        </w:tc>
        <w:tc>
          <w:tcPr>
            <w:tcW w:type="dxa" w:w="1349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944"/>
            <w:tcBorders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102 </w:t>
            </w:r>
          </w:p>
        </w:tc>
        <w:tc>
          <w:tcPr>
            <w:tcW w:type="dxa" w:w="1349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736"/>
            <w:tcBorders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(89) </w:t>
            </w:r>
          </w:p>
        </w:tc>
      </w:tr>
      <w:tr>
        <w:trPr>
          <w:trHeight w:hRule="exact" w:val="206"/>
        </w:trPr>
        <w:tc>
          <w:tcPr>
            <w:tcW w:type="dxa" w:w="5926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Total revenue for Budget Anchor</w:t>
            </w:r>
          </w:p>
        </w:tc>
        <w:tc>
          <w:tcPr>
            <w:tcW w:type="dxa" w:w="304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44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2,494 </w:t>
            </w:r>
          </w:p>
        </w:tc>
        <w:tc>
          <w:tcPr>
            <w:tcW w:type="dxa" w:w="596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10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44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17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2,266 </w:t>
            </w:r>
          </w:p>
        </w:tc>
        <w:tc>
          <w:tcPr>
            <w:tcW w:type="dxa" w:w="216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36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38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228 </w:t>
            </w:r>
          </w:p>
        </w:tc>
      </w:tr>
      <w:tr>
        <w:trPr>
          <w:trHeight w:hRule="exact" w:val="694"/>
        </w:trPr>
        <w:tc>
          <w:tcPr>
            <w:tcW w:type="dxa" w:w="5926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50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Budget Anchor</w:t>
            </w:r>
          </w:p>
        </w:tc>
        <w:tc>
          <w:tcPr>
            <w:tcW w:type="dxa" w:w="304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44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5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 65.6 %</w:t>
            </w:r>
          </w:p>
        </w:tc>
        <w:tc>
          <w:tcPr>
            <w:tcW w:type="dxa" w:w="596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944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50" w:after="0"/>
              <w:ind w:left="11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 69.9 %</w:t>
            </w:r>
          </w:p>
        </w:tc>
        <w:tc>
          <w:tcPr>
            <w:tcW w:type="dxa" w:w="216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736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50" w:after="0"/>
              <w:ind w:left="0" w:right="82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 (4.3) %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30.0" w:type="dxa"/>
      </w:tblPr>
      <w:tblGrid>
        <w:gridCol w:w="4720"/>
        <w:gridCol w:w="4720"/>
      </w:tblGrid>
      <w:tr>
        <w:trPr>
          <w:trHeight w:hRule="exact" w:val="2416"/>
        </w:trPr>
        <w:tc>
          <w:tcPr>
            <w:tcW w:type="dxa" w:w="7220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182" w:after="0"/>
              <w:ind w:left="166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IDA Management's Discussion and Analysis:  June 30, 2024</w:t>
            </w:r>
          </w:p>
        </w:tc>
        <w:tc>
          <w:tcPr>
            <w:tcW w:type="dxa" w:w="516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182" w:after="0"/>
              <w:ind w:left="0" w:right="4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23</w:t>
            </w:r>
          </w:p>
        </w:tc>
      </w:tr>
    </w:tbl>
    <w:p>
      <w:pPr>
        <w:autoSpaceDN w:val="0"/>
        <w:autoSpaceDE w:val="0"/>
        <w:widowControl/>
        <w:spacing w:line="180" w:lineRule="exact" w:before="0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a. These adjustments are made to arrive at net administrative expenses used for adjusted net income purposes.</w:t>
      </w:r>
    </w:p>
    <w:p>
      <w:pPr>
        <w:sectPr>
          <w:pgSz w:w="12240" w:h="15840"/>
          <w:pgMar w:top="360" w:right="1370" w:bottom="424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20"/>
        <w:gridCol w:w="4720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IV: Financial Results</w:t>
            </w:r>
          </w:p>
        </w:tc>
      </w:tr>
    </w:tbl>
    <w:p>
      <w:pPr>
        <w:autoSpaceDN w:val="0"/>
        <w:autoSpaceDE w:val="0"/>
        <w:widowControl/>
        <w:spacing w:line="240" w:lineRule="exact" w:before="378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FY24, IDA’s net other revenue was $28 million compared to $55 million in FY23. The decrease was due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higher Project Preparation Advances (PPA) grant expenses, net of cancellations, and conversion of previously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approved PPA grants into loans. Converted PPA grants are included in loans outstanding provided to the borrower,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and correspondingly, prior grant expenses are reversed.</w:t>
      </w:r>
    </w:p>
    <w:p>
      <w:pPr>
        <w:autoSpaceDN w:val="0"/>
        <w:autoSpaceDE w:val="0"/>
        <w:widowControl/>
        <w:spacing w:line="178" w:lineRule="exact" w:before="150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Table 11: Other Revenue (Expenses), net</w:t>
      </w:r>
    </w:p>
    <w:p>
      <w:pPr>
        <w:autoSpaceDN w:val="0"/>
        <w:autoSpaceDE w:val="0"/>
        <w:widowControl/>
        <w:spacing w:line="178" w:lineRule="exact" w:before="74" w:after="66"/>
        <w:ind w:left="1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276"/>
        </w:trPr>
        <w:tc>
          <w:tcPr>
            <w:tcW w:type="dxa" w:w="5626"/>
            <w:tcBorders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For the fiscal year ended June 30,</w:t>
            </w:r>
          </w:p>
        </w:tc>
        <w:tc>
          <w:tcPr>
            <w:tcW w:type="dxa" w:w="444"/>
            <w:tcBorders>
              <w:bottom w:sz="8.0" w:val="single" w:color="#7F7F7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0" w:right="6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2024</w:t>
            </w:r>
          </w:p>
        </w:tc>
        <w:tc>
          <w:tcPr>
            <w:tcW w:type="dxa" w:w="620"/>
            <w:tcBorders>
              <w:bottom w:sz="8.0" w:val="single" w:color="#7F7F7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10"/>
            <w:tcBorders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0" w:right="6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2023</w:t>
            </w:r>
          </w:p>
        </w:tc>
        <w:tc>
          <w:tcPr>
            <w:tcW w:type="dxa" w:w="950"/>
            <w:tcBorders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Variance</w:t>
            </w:r>
          </w:p>
        </w:tc>
        <w:tc>
          <w:tcPr>
            <w:tcW w:type="dxa" w:w="400"/>
            <w:tcBorders>
              <w:bottom w:sz="8.0" w:val="single" w:color="#7F7F7F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96"/>
        </w:trPr>
        <w:tc>
          <w:tcPr>
            <w:tcW w:type="dxa" w:w="5626"/>
            <w:tcBorders>
              <w:top w:sz="8.0" w:val="single" w:color="#7F7F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PPA grants and others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a</w:t>
            </w:r>
          </w:p>
        </w:tc>
        <w:tc>
          <w:tcPr>
            <w:tcW w:type="dxa" w:w="444"/>
            <w:vMerge w:val="restart"/>
            <w:tcBorders>
              <w:top w:sz="8.0" w:val="single" w:color="#7F7F7F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00"/>
            <w:tcBorders>
              <w:top w:sz="8.0" w:val="single" w:color="#7F7F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(23) </w:t>
            </w:r>
          </w:p>
        </w:tc>
        <w:tc>
          <w:tcPr>
            <w:tcW w:type="dxa" w:w="620"/>
            <w:vMerge w:val="restart"/>
            <w:tcBorders>
              <w:top w:sz="8.0" w:val="single" w:color="#7F7F7F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10"/>
            <w:tcBorders>
              <w:top w:sz="8.0" w:val="single" w:color="#7F7F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(3) </w:t>
            </w:r>
          </w:p>
        </w:tc>
        <w:tc>
          <w:tcPr>
            <w:tcW w:type="dxa" w:w="950"/>
            <w:vMerge w:val="restart"/>
            <w:tcBorders>
              <w:top w:sz="8.0" w:val="single" w:color="#7F7F7F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5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400"/>
            <w:tcBorders>
              <w:top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(20) </w:t>
            </w:r>
          </w:p>
        </w:tc>
      </w:tr>
      <w:tr>
        <w:trPr>
          <w:trHeight w:hRule="exact" w:val="240"/>
        </w:trPr>
        <w:tc>
          <w:tcPr>
            <w:tcW w:type="dxa" w:w="562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Guarantee fees and others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b</w:t>
            </w:r>
          </w:p>
        </w:tc>
        <w:tc>
          <w:tcPr>
            <w:tcW w:type="dxa" w:w="1349"/>
            <w:vMerge/>
            <w:tcBorders>
              <w:top w:sz="8.0" w:val="single" w:color="#7F7F7F"/>
              <w:bottom w:sz="8.0" w:val="single" w:color="#000000"/>
            </w:tcBorders>
          </w:tcPr>
          <w:p/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2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25 </w:t>
            </w:r>
          </w:p>
        </w:tc>
        <w:tc>
          <w:tcPr>
            <w:tcW w:type="dxa" w:w="1349"/>
            <w:vMerge/>
            <w:tcBorders>
              <w:top w:sz="8.0" w:val="single" w:color="#7F7F7F"/>
              <w:bottom w:sz="8.0" w:val="single" w:color="#000000"/>
            </w:tcBorders>
          </w:tcPr>
          <w:p/>
        </w:tc>
        <w:tc>
          <w:tcPr>
            <w:tcW w:type="dxa" w:w="6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2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31 </w:t>
            </w:r>
          </w:p>
        </w:tc>
        <w:tc>
          <w:tcPr>
            <w:tcW w:type="dxa" w:w="1349"/>
            <w:vMerge/>
            <w:tcBorders>
              <w:top w:sz="8.0" w:val="single" w:color="#7F7F7F"/>
              <w:bottom w:sz="8.0" w:val="single" w:color="#000000"/>
            </w:tcBorders>
          </w:tcPr>
          <w:p/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2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(6) </w:t>
            </w:r>
          </w:p>
        </w:tc>
      </w:tr>
      <w:tr>
        <w:trPr>
          <w:trHeight w:hRule="exact" w:val="284"/>
        </w:trPr>
        <w:tc>
          <w:tcPr>
            <w:tcW w:type="dxa" w:w="5626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Commitment charges</w:t>
            </w:r>
          </w:p>
        </w:tc>
        <w:tc>
          <w:tcPr>
            <w:tcW w:type="dxa" w:w="1349"/>
            <w:vMerge/>
            <w:tcBorders>
              <w:top w:sz="8.0" w:val="single" w:color="#7F7F7F"/>
              <w:bottom w:sz="8.0" w:val="single" w:color="#000000"/>
            </w:tcBorders>
          </w:tcPr>
          <w:p/>
        </w:tc>
        <w:tc>
          <w:tcPr>
            <w:tcW w:type="dxa" w:w="7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26 </w:t>
            </w:r>
          </w:p>
        </w:tc>
        <w:tc>
          <w:tcPr>
            <w:tcW w:type="dxa" w:w="1349"/>
            <w:vMerge/>
            <w:tcBorders>
              <w:top w:sz="8.0" w:val="single" w:color="#7F7F7F"/>
              <w:bottom w:sz="8.0" w:val="single" w:color="#000000"/>
            </w:tcBorders>
          </w:tcPr>
          <w:p/>
        </w:tc>
        <w:tc>
          <w:tcPr>
            <w:tcW w:type="dxa" w:w="610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27 </w:t>
            </w:r>
          </w:p>
        </w:tc>
        <w:tc>
          <w:tcPr>
            <w:tcW w:type="dxa" w:w="1349"/>
            <w:vMerge/>
            <w:tcBorders>
              <w:top w:sz="8.0" w:val="single" w:color="#7F7F7F"/>
              <w:bottom w:sz="8.0" w:val="single" w:color="#000000"/>
            </w:tcBorders>
          </w:tcPr>
          <w:p/>
        </w:tc>
        <w:tc>
          <w:tcPr>
            <w:tcW w:type="dxa" w:w="4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(1) </w:t>
            </w:r>
          </w:p>
        </w:tc>
      </w:tr>
      <w:tr>
        <w:trPr>
          <w:trHeight w:hRule="exact" w:val="220"/>
        </w:trPr>
        <w:tc>
          <w:tcPr>
            <w:tcW w:type="dxa" w:w="5626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Other Revenue (Expenses), net (Table 4)</w:t>
            </w:r>
          </w:p>
        </w:tc>
        <w:tc>
          <w:tcPr>
            <w:tcW w:type="dxa" w:w="4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6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28 </w:t>
            </w:r>
          </w:p>
        </w:tc>
        <w:tc>
          <w:tcPr>
            <w:tcW w:type="dxa" w:w="6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9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6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55 </w:t>
            </w:r>
          </w:p>
        </w:tc>
        <w:tc>
          <w:tcPr>
            <w:tcW w:type="dxa" w:w="9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52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4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(27) </w:t>
            </w:r>
          </w:p>
        </w:tc>
      </w:tr>
    </w:tbl>
    <w:p>
      <w:pPr>
        <w:autoSpaceDN w:val="0"/>
        <w:autoSpaceDE w:val="0"/>
        <w:widowControl/>
        <w:spacing w:line="178" w:lineRule="exact" w:before="26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a.  Included in Non-interest expenses – Other in the Statements of Income.</w:t>
      </w:r>
    </w:p>
    <w:p>
      <w:pPr>
        <w:autoSpaceDN w:val="0"/>
        <w:autoSpaceDE w:val="0"/>
        <w:widowControl/>
        <w:spacing w:line="178" w:lineRule="exact" w:before="6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b.  Included in Non-interest revenue – Other in the Statements of Income.</w:t>
      </w:r>
    </w:p>
    <w:p>
      <w:pPr>
        <w:autoSpaceDN w:val="0"/>
        <w:autoSpaceDE w:val="0"/>
        <w:widowControl/>
        <w:spacing w:line="244" w:lineRule="exact" w:before="202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Unrealized mark-to-market gains (losses) on non-trading portfolios, net</w:t>
      </w:r>
    </w:p>
    <w:p>
      <w:pPr>
        <w:autoSpaceDN w:val="0"/>
        <w:autoSpaceDE w:val="0"/>
        <w:widowControl/>
        <w:spacing w:line="240" w:lineRule="exact" w:before="13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During FY24, the non-trading portfolios had $405 million net unrealized mark-to-market gains ($134 million net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unrealized mark-to-market gains in FY23). The increase was mainly driven by higher unrealized mark-to-market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gains from the derivatives held for the Capital Value Protection Program (CVP), managed as part of Asset-Liability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Management (ALM), as a result of a higher increase in the interest rates for long tenors in FY24 compared to FY23.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also recorded $34 million of net unrealized mark-to-market gains on IDA's borrowing portfolio due to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decrease in relevant interest rates as of June 30, 2024, compared to June 30, 2023. The unrealized mark-to-market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gains on the borrowing-related derivatives exceeded the unrealized mark-to-market losses on the bonds.</w:t>
      </w:r>
    </w:p>
    <w:p>
      <w:pPr>
        <w:autoSpaceDN w:val="0"/>
        <w:autoSpaceDE w:val="0"/>
        <w:widowControl/>
        <w:spacing w:line="178" w:lineRule="exact" w:before="150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Table 12: Unrealized Mark-to-Market gains (losses) on non-trading portfolios, net</w:t>
      </w:r>
    </w:p>
    <w:p>
      <w:pPr>
        <w:autoSpaceDN w:val="0"/>
        <w:autoSpaceDE w:val="0"/>
        <w:widowControl/>
        <w:spacing w:line="178" w:lineRule="exact" w:before="74" w:after="74"/>
        <w:ind w:left="1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In millions of U.S. dollars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268"/>
        </w:trPr>
        <w:tc>
          <w:tcPr>
            <w:tcW w:type="dxa" w:w="4606"/>
            <w:tcBorders>
              <w:bottom w:sz="8.0" w:val="single" w:color="#B6B6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For the fiscal year ended June 30,</w:t>
            </w:r>
          </w:p>
        </w:tc>
        <w:tc>
          <w:tcPr>
            <w:tcW w:type="dxa" w:w="584"/>
            <w:tcBorders>
              <w:bottom w:sz="8.0" w:val="single" w:color="#B6B6B6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30"/>
            <w:tcBorders>
              <w:bottom w:sz="8.0" w:val="single" w:color="#B6B6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0" w:right="6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2024</w:t>
            </w:r>
          </w:p>
        </w:tc>
        <w:tc>
          <w:tcPr>
            <w:tcW w:type="dxa" w:w="850"/>
            <w:tcBorders>
              <w:bottom w:sz="8.0" w:val="single" w:color="#B6B6B6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96"/>
            <w:tcBorders>
              <w:bottom w:sz="8.0" w:val="single" w:color="#B6B6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0" w:right="17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 xml:space="preserve">2023 </w:t>
            </w:r>
          </w:p>
        </w:tc>
        <w:tc>
          <w:tcPr>
            <w:tcW w:type="dxa" w:w="444"/>
            <w:tcBorders>
              <w:bottom w:sz="8.0" w:val="single" w:color="#B6B6B6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70"/>
            <w:tcBorders>
              <w:bottom w:sz="8.0" w:val="single" w:color="#B6B6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0" w:right="6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Variance</w:t>
            </w:r>
          </w:p>
        </w:tc>
      </w:tr>
      <w:tr>
        <w:trPr>
          <w:trHeight w:hRule="exact" w:val="238"/>
        </w:trPr>
        <w:tc>
          <w:tcPr>
            <w:tcW w:type="dxa" w:w="4606"/>
            <w:tcBorders>
              <w:top w:sz="8.0" w:val="single" w:color="#B6B6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Asset-liability management (ALM)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a</w:t>
            </w:r>
          </w:p>
        </w:tc>
        <w:tc>
          <w:tcPr>
            <w:tcW w:type="dxa" w:w="584"/>
            <w:vMerge w:val="restart"/>
            <w:tcBorders>
              <w:top w:sz="8.0" w:val="single" w:color="#B6B6B6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30"/>
            <w:tcBorders>
              <w:top w:sz="8.0" w:val="single" w:color="#B6B6B6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393 </w:t>
            </w:r>
          </w:p>
        </w:tc>
        <w:tc>
          <w:tcPr>
            <w:tcW w:type="dxa" w:w="850"/>
            <w:vMerge w:val="restart"/>
            <w:tcBorders>
              <w:top w:sz="8.0" w:val="single" w:color="#B6B6B6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96"/>
            <w:tcBorders>
              <w:top w:sz="8.0" w:val="single" w:color="#B6B6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0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143 </w:t>
            </w:r>
          </w:p>
        </w:tc>
        <w:tc>
          <w:tcPr>
            <w:tcW w:type="dxa" w:w="444"/>
            <w:vMerge w:val="restart"/>
            <w:tcBorders>
              <w:top w:sz="8.0" w:val="single" w:color="#B6B6B6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70"/>
            <w:tcBorders>
              <w:top w:sz="8.0" w:val="single" w:color="#B6B6B6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250 </w:t>
            </w:r>
          </w:p>
        </w:tc>
      </w:tr>
      <w:tr>
        <w:trPr>
          <w:trHeight w:hRule="exact" w:val="240"/>
        </w:trPr>
        <w:tc>
          <w:tcPr>
            <w:tcW w:type="dxa" w:w="46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Investment portfolio</w:t>
            </w:r>
          </w:p>
        </w:tc>
        <w:tc>
          <w:tcPr>
            <w:tcW w:type="dxa" w:w="1349"/>
            <w:vMerge/>
            <w:tcBorders>
              <w:top w:sz="8.0" w:val="single" w:color="#B6B6B6"/>
              <w:bottom w:sz="8.0" w:val="single" w:color="#000000"/>
            </w:tcBorders>
          </w:tcPr>
          <w:p/>
        </w:tc>
        <w:tc>
          <w:tcPr>
            <w:tcW w:type="dxa" w:w="8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 </w:t>
            </w:r>
          </w:p>
        </w:tc>
        <w:tc>
          <w:tcPr>
            <w:tcW w:type="dxa" w:w="1349"/>
            <w:vMerge/>
            <w:tcBorders>
              <w:top w:sz="8.0" w:val="single" w:color="#B6B6B6"/>
              <w:bottom w:sz="8.0" w:val="single" w:color="#000000"/>
            </w:tcBorders>
          </w:tcPr>
          <w:p/>
        </w:tc>
        <w:tc>
          <w:tcPr>
            <w:tcW w:type="dxa" w:w="10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2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(5) </w:t>
            </w:r>
          </w:p>
        </w:tc>
        <w:tc>
          <w:tcPr>
            <w:tcW w:type="dxa" w:w="1349"/>
            <w:vMerge/>
            <w:tcBorders>
              <w:top w:sz="8.0" w:val="single" w:color="#B6B6B6"/>
              <w:bottom w:sz="8.0" w:val="single" w:color="#000000"/>
            </w:tcBorders>
          </w:tcPr>
          <w:p/>
        </w:tc>
        <w:tc>
          <w:tcPr>
            <w:tcW w:type="dxa" w:w="9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 </w:t>
            </w:r>
          </w:p>
        </w:tc>
      </w:tr>
      <w:tr>
        <w:trPr>
          <w:trHeight w:hRule="exact" w:val="240"/>
        </w:trPr>
        <w:tc>
          <w:tcPr>
            <w:tcW w:type="dxa" w:w="46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Borrowing portfolio</w:t>
            </w:r>
          </w:p>
        </w:tc>
        <w:tc>
          <w:tcPr>
            <w:tcW w:type="dxa" w:w="1349"/>
            <w:vMerge/>
            <w:tcBorders>
              <w:top w:sz="8.0" w:val="single" w:color="#B6B6B6"/>
              <w:bottom w:sz="8.0" w:val="single" w:color="#000000"/>
            </w:tcBorders>
          </w:tcPr>
          <w:p/>
        </w:tc>
        <w:tc>
          <w:tcPr>
            <w:tcW w:type="dxa" w:w="8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 </w:t>
            </w:r>
          </w:p>
        </w:tc>
        <w:tc>
          <w:tcPr>
            <w:tcW w:type="dxa" w:w="1349"/>
            <w:vMerge/>
            <w:tcBorders>
              <w:top w:sz="8.0" w:val="single" w:color="#B6B6B6"/>
              <w:bottom w:sz="8.0" w:val="single" w:color="#000000"/>
            </w:tcBorders>
          </w:tcPr>
          <w:p/>
        </w:tc>
        <w:tc>
          <w:tcPr>
            <w:tcW w:type="dxa" w:w="10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3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349"/>
            <w:vMerge/>
            <w:tcBorders>
              <w:top w:sz="8.0" w:val="single" w:color="#B6B6B6"/>
              <w:bottom w:sz="8.0" w:val="single" w:color="#000000"/>
            </w:tcBorders>
          </w:tcPr>
          <w:p/>
        </w:tc>
        <w:tc>
          <w:tcPr>
            <w:tcW w:type="dxa" w:w="9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 </w:t>
            </w:r>
          </w:p>
        </w:tc>
      </w:tr>
      <w:tr>
        <w:trPr>
          <w:trHeight w:hRule="exact" w:val="220"/>
        </w:trPr>
        <w:tc>
          <w:tcPr>
            <w:tcW w:type="dxa" w:w="46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Loan-related derivatives</w:t>
            </w:r>
          </w:p>
        </w:tc>
        <w:tc>
          <w:tcPr>
            <w:tcW w:type="dxa" w:w="1349"/>
            <w:vMerge/>
            <w:tcBorders>
              <w:top w:sz="8.0" w:val="single" w:color="#B6B6B6"/>
              <w:bottom w:sz="8.0" w:val="single" w:color="#000000"/>
            </w:tcBorders>
          </w:tcPr>
          <w:p/>
        </w:tc>
        <w:tc>
          <w:tcPr>
            <w:tcW w:type="dxa" w:w="8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(2) </w:t>
            </w:r>
          </w:p>
        </w:tc>
        <w:tc>
          <w:tcPr>
            <w:tcW w:type="dxa" w:w="1349"/>
            <w:vMerge/>
            <w:tcBorders>
              <w:top w:sz="8.0" w:val="single" w:color="#B6B6B6"/>
              <w:bottom w:sz="8.0" w:val="single" w:color="#000000"/>
            </w:tcBorders>
          </w:tcPr>
          <w:p/>
        </w:tc>
        <w:tc>
          <w:tcPr>
            <w:tcW w:type="dxa" w:w="10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3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33 </w:t>
            </w:r>
          </w:p>
        </w:tc>
        <w:tc>
          <w:tcPr>
            <w:tcW w:type="dxa" w:w="1349"/>
            <w:vMerge/>
            <w:tcBorders>
              <w:top w:sz="8.0" w:val="single" w:color="#B6B6B6"/>
              <w:bottom w:sz="8.0" w:val="single" w:color="#000000"/>
            </w:tcBorders>
          </w:tcPr>
          <w:p/>
        </w:tc>
        <w:tc>
          <w:tcPr>
            <w:tcW w:type="dxa" w:w="9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(35) </w:t>
            </w:r>
          </w:p>
        </w:tc>
      </w:tr>
      <w:tr>
        <w:trPr>
          <w:trHeight w:hRule="exact" w:val="262"/>
        </w:trPr>
        <w:tc>
          <w:tcPr>
            <w:tcW w:type="dxa" w:w="460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Other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b</w:t>
            </w:r>
          </w:p>
        </w:tc>
        <w:tc>
          <w:tcPr>
            <w:tcW w:type="dxa" w:w="1349"/>
            <w:vMerge/>
            <w:tcBorders>
              <w:top w:sz="8.0" w:val="single" w:color="#B6B6B6"/>
              <w:bottom w:sz="8.0" w:val="single" w:color="#000000"/>
            </w:tcBorders>
          </w:tcPr>
          <w:p/>
        </w:tc>
        <w:tc>
          <w:tcPr>
            <w:tcW w:type="dxa" w:w="8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(24) </w:t>
            </w:r>
          </w:p>
        </w:tc>
        <w:tc>
          <w:tcPr>
            <w:tcW w:type="dxa" w:w="1349"/>
            <w:vMerge/>
            <w:tcBorders>
              <w:top w:sz="8.0" w:val="single" w:color="#B6B6B6"/>
              <w:bottom w:sz="8.0" w:val="single" w:color="#000000"/>
            </w:tcBorders>
          </w:tcPr>
          <w:p/>
        </w:tc>
        <w:tc>
          <w:tcPr>
            <w:tcW w:type="dxa" w:w="109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2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(37) </w:t>
            </w:r>
          </w:p>
        </w:tc>
        <w:tc>
          <w:tcPr>
            <w:tcW w:type="dxa" w:w="1349"/>
            <w:vMerge/>
            <w:tcBorders>
              <w:top w:sz="8.0" w:val="single" w:color="#B6B6B6"/>
              <w:bottom w:sz="8.0" w:val="single" w:color="#000000"/>
            </w:tcBorders>
          </w:tcPr>
          <w:p/>
        </w:tc>
        <w:tc>
          <w:tcPr>
            <w:tcW w:type="dxa" w:w="9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 </w:t>
            </w:r>
          </w:p>
        </w:tc>
      </w:tr>
      <w:tr>
        <w:trPr>
          <w:trHeight w:hRule="exact" w:val="220"/>
        </w:trPr>
        <w:tc>
          <w:tcPr>
            <w:tcW w:type="dxa" w:w="460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1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58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6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405 </w:t>
            </w:r>
          </w:p>
        </w:tc>
        <w:tc>
          <w:tcPr>
            <w:tcW w:type="dxa" w:w="8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02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134 </w:t>
            </w:r>
          </w:p>
        </w:tc>
        <w:tc>
          <w:tcPr>
            <w:tcW w:type="dxa" w:w="4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6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271 </w:t>
            </w:r>
          </w:p>
        </w:tc>
      </w:tr>
    </w:tbl>
    <w:p>
      <w:pPr>
        <w:autoSpaceDN w:val="0"/>
        <w:autoSpaceDE w:val="0"/>
        <w:widowControl/>
        <w:spacing w:line="192" w:lineRule="exact" w:before="282" w:after="0"/>
        <w:ind w:left="62" w:right="2304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a. Includes unrealized mark-to-market gains (losses) on the CVP portfolio and other ALM portfolios. </w:t>
      </w:r>
      <w:r>
        <w:rPr>
          <w:rFonts w:ascii="Arial" w:hAnsi="Arial" w:eastAsia="Arial"/>
          <w:b w:val="0"/>
          <w:i/>
          <w:color w:val="000000"/>
          <w:sz w:val="16"/>
        </w:rPr>
        <w:t>b. Represents unrealized mark-to-market gains (losses) on PSW associated instruments.</w:t>
      </w:r>
    </w:p>
    <w:p>
      <w:pPr>
        <w:autoSpaceDN w:val="0"/>
        <w:autoSpaceDE w:val="0"/>
        <w:widowControl/>
        <w:spacing w:line="222" w:lineRule="exact" w:before="20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Non-functional currency translation adjustment gains (losses), net</w:t>
      </w:r>
    </w:p>
    <w:p>
      <w:pPr>
        <w:autoSpaceDN w:val="0"/>
        <w:autoSpaceDE w:val="0"/>
        <w:widowControl/>
        <w:spacing w:line="240" w:lineRule="exact" w:before="122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Non-functional currency translation adjustment gains or losses represent unrealized exchange rate gains or losses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resulting from the hedging of exchange rate risk related to future donor contributions, borrowings, and all other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assets and liabilities held on IDA’s Balance Sheet, that are denominated in currencies other than the SDR and its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component currencies. The translation adjustment losses in FY24 and gains in FY23 were primarily driven by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hedging of exchange rate risk related to future donor contributions. Certain members pledge their future equity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contributions in non-SDR currencies. These future cash flows are economically hedged using currency forwards.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economic offset is inherent in the future contribution inflows. The payable portion of the currency forward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contracts are denominated in non-functional currencies. The depreciation or appreciation of these currencies against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U.S. dollar results in exchange rate gains or losses which are recorded in the income statements. Accordingly,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translation adjustment losses on non-functional currencies were $21 million in FY24, compared to translation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adjustment gains of $192 million in FY23. The translation adjustment losses in FY24  were primarily driven by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appreciation of certain non-functional currencies against the U.S. dollar when compared to FY23. The translation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adjustment gains in FY23 were primarily driven by the depreciation of certain non-functional currencies against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U.S. dollar.</w:t>
      </w:r>
    </w:p>
    <w:p>
      <w:pPr>
        <w:autoSpaceDN w:val="0"/>
        <w:tabs>
          <w:tab w:pos="662" w:val="left"/>
        </w:tabs>
        <w:autoSpaceDE w:val="0"/>
        <w:widowControl/>
        <w:spacing w:line="224" w:lineRule="exact" w:before="708" w:after="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Management's Discussion and Analysis:  June 30, 2024</w:t>
      </w:r>
    </w:p>
    <w:p>
      <w:pPr>
        <w:sectPr>
          <w:pgSz w:w="12240" w:h="15840"/>
          <w:pgMar w:top="360" w:right="1370" w:bottom="424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20"/>
        <w:gridCol w:w="4720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V: Development Activities, Products and Programs</w:t>
            </w:r>
          </w:p>
        </w:tc>
      </w:tr>
    </w:tbl>
    <w:p>
      <w:pPr>
        <w:autoSpaceDN w:val="0"/>
        <w:autoSpaceDE w:val="0"/>
        <w:widowControl/>
        <w:spacing w:line="314" w:lineRule="exact" w:before="438" w:after="0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Section V: Development Activities, Products and Programs</w:t>
      </w:r>
    </w:p>
    <w:p>
      <w:pPr>
        <w:autoSpaceDN w:val="0"/>
        <w:autoSpaceDE w:val="0"/>
        <w:widowControl/>
        <w:spacing w:line="268" w:lineRule="exact" w:before="246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Lending Framework</w:t>
      </w:r>
    </w:p>
    <w:p>
      <w:pPr>
        <w:autoSpaceDN w:val="0"/>
        <w:autoSpaceDE w:val="0"/>
        <w:widowControl/>
        <w:spacing w:line="240" w:lineRule="exact" w:before="124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provides financing to lower-income countries primarily through loans, grants and guarantees. IDA has 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common framework which extends across all its development activities. The main elements of this framework are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financing principles, financing cycles and financing categories.</w:t>
      </w:r>
    </w:p>
    <w:p>
      <w:pPr>
        <w:autoSpaceDN w:val="0"/>
        <w:autoSpaceDE w:val="0"/>
        <w:widowControl/>
        <w:spacing w:line="244" w:lineRule="exact" w:before="130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Financing Principles</w:t>
      </w:r>
    </w:p>
    <w:p>
      <w:pPr>
        <w:autoSpaceDN w:val="0"/>
        <w:autoSpaceDE w:val="0"/>
        <w:widowControl/>
        <w:spacing w:line="240" w:lineRule="exact" w:before="13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IDA’s operations are required to conform to the general principles derived from its Articles of Agreement. These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financing principles are described in Box 1. Within the scope permitted by the Articles of Agreement, application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these financing principles must be developed and adjusted in light of experience and changing conditions. </w:t>
      </w:r>
    </w:p>
    <w:p>
      <w:pPr>
        <w:autoSpaceDN w:val="0"/>
        <w:autoSpaceDE w:val="0"/>
        <w:widowControl/>
        <w:spacing w:line="178" w:lineRule="exact" w:before="150" w:after="92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Box 1: Financing Principles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9440"/>
      </w:tblGrid>
      <w:tr>
        <w:trPr>
          <w:trHeight w:hRule="exact" w:val="4604"/>
        </w:trPr>
        <w:tc>
          <w:tcPr>
            <w:tcW w:type="dxa" w:w="936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02" w:val="left"/>
              </w:tabs>
              <w:autoSpaceDE w:val="0"/>
              <w:widowControl/>
              <w:spacing w:line="192" w:lineRule="exact" w:before="28" w:after="0"/>
              <w:ind w:left="4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(i)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IDA may provide financing for its development operations in the form of loans, grants, and guarantees directly to its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members, public or private entities and regional or public international organizations.</w:t>
            </w:r>
          </w:p>
          <w:p>
            <w:pPr>
              <w:autoSpaceDN w:val="0"/>
              <w:tabs>
                <w:tab w:pos="402" w:val="left"/>
              </w:tabs>
              <w:autoSpaceDE w:val="0"/>
              <w:widowControl/>
              <w:spacing w:line="192" w:lineRule="exact" w:before="120" w:after="0"/>
              <w:ind w:left="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(ii)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IDA’s financing of its development operations is designed to promote economic development, increase productivity, and thus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raise standards of living in its member countries. Investment projects financed by IDA are required to meet IDA’s standards for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technical, economic, financial, institutional, and environmental soundness. Specific provisions apply to development policy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financing, including the treatment of the macroeconomic framework, poverty and social impact, environment, forests, and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other natural resources.</w:t>
            </w:r>
          </w:p>
          <w:p>
            <w:pPr>
              <w:autoSpaceDN w:val="0"/>
              <w:tabs>
                <w:tab w:pos="402" w:val="left"/>
              </w:tabs>
              <w:autoSpaceDE w:val="0"/>
              <w:widowControl/>
              <w:spacing w:line="192" w:lineRule="exact" w:before="120" w:after="0"/>
              <w:ind w:left="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(iii)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Decisions to approve financing are based upon, among other things, studies by IDA of a member country’s economic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structure, including assessments of its resources and ability to generate sufficient foreign exchange to meet debt-service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obligations.</w:t>
            </w:r>
          </w:p>
          <w:p>
            <w:pPr>
              <w:autoSpaceDN w:val="0"/>
              <w:tabs>
                <w:tab w:pos="402" w:val="left"/>
              </w:tabs>
              <w:autoSpaceDE w:val="0"/>
              <w:widowControl/>
              <w:spacing w:line="192" w:lineRule="exact" w:before="120" w:after="0"/>
              <w:ind w:left="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(iv)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IDA must be satisfied that in the prevailing market conditions (taking into account the member’s overall external financing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requirements); the recipient would be unable to obtain financing under conditions which, in the opinion of IDA, are reasonable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for the recipient. This would include loans made by private sources or IBRD.</w:t>
            </w:r>
          </w:p>
          <w:p>
            <w:pPr>
              <w:autoSpaceDN w:val="0"/>
              <w:tabs>
                <w:tab w:pos="402" w:val="left"/>
              </w:tabs>
              <w:autoSpaceDE w:val="0"/>
              <w:widowControl/>
              <w:spacing w:line="192" w:lineRule="exact" w:before="120" w:after="0"/>
              <w:ind w:left="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(v)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The use of funds by recipients is supervised. IDA makes arrangements intended to ensure that funds provided are used only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for authorized purposes and, where relevant, with due attention to considerations of cost-effectiveness. This policy is enforced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primarily by requiring recipients (a) to submit documentation establishing, to IDA’s satisfaction, that the expenditures financed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with the proceeds of loans or grants are made in conformity with the applicable financing agreements, and (b) to maximize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competition in the procurement of goods and services by using, wherever possible, international competitive bidding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procedures or, when it is not appropriate, other procedures that ensure maximum economy and efficiency. In addition, IDA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considers the use of recipient country procurement, financial management and environmental and social safeguard systems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in selected operations once these systems and capacity have been assessed by IDA as acceptable. </w:t>
            </w:r>
          </w:p>
        </w:tc>
      </w:tr>
    </w:tbl>
    <w:p>
      <w:pPr>
        <w:autoSpaceDN w:val="0"/>
        <w:autoSpaceDE w:val="0"/>
        <w:widowControl/>
        <w:spacing w:line="244" w:lineRule="exact" w:before="164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Financing Cycles</w:t>
      </w:r>
    </w:p>
    <w:p>
      <w:pPr>
        <w:autoSpaceDN w:val="0"/>
        <w:autoSpaceDE w:val="0"/>
        <w:widowControl/>
        <w:spacing w:line="240" w:lineRule="exact" w:before="128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Financing cycles involve identifying and appraising a project and approving and disbursing the funds. In response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emergency situations, such as natural disasters and other crises, IDA is able to accelerate the preparation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approval cycle. In most cases, IDA’s Board approves each loan, grant, and guarantee after appraisal of a project by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staff. Under a Multiphase Programmatic Approach (MPA) approved by the Board in FY18, the Board may approve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 overall program framework, its financing envelope and the first appraised phase, and then authorize management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to appraise and commit financing for later program phases. Disbursements are subject to the fulfillment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conditions set out in the loan or grant agreement. As of June 30, 2024, $20.7 billion was committed under the MPA.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During implementation of IDA-supported operations, staff review progress, monitor compliance with IDA’s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policies, and assist in resolving any problems that may arise. An independent unit, the Independent Evaluations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Group, also assesses the extent to which operations have met their major objectives, and these evaluations are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reported directly to the Board. From July 1, 2023, new financing and guarantees provided by IDA are being assessed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against the objectives of the Paris Agreement and a country's pathway towards low greenhouse gas emissions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climate-resilient development. </w:t>
      </w:r>
    </w:p>
    <w:p>
      <w:pPr>
        <w:autoSpaceDN w:val="0"/>
        <w:autoSpaceDE w:val="0"/>
        <w:widowControl/>
        <w:spacing w:line="244" w:lineRule="exact" w:before="132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Financing Categories</w:t>
      </w:r>
    </w:p>
    <w:p>
      <w:pPr>
        <w:autoSpaceDN w:val="0"/>
        <w:autoSpaceDE w:val="0"/>
        <w:widowControl/>
        <w:spacing w:line="240" w:lineRule="exact" w:before="128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Most of IDA’s lending is of three types: investment project financing, development policy financing, and program-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for-results. Figure 9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shows the percentage of loans approved for investment lending, development policy operations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and program-for-results over the past five fiscal years.</w:t>
      </w:r>
    </w:p>
    <w:p>
      <w:pPr>
        <w:autoSpaceDN w:val="0"/>
        <w:tabs>
          <w:tab w:pos="9094" w:val="left"/>
        </w:tabs>
        <w:autoSpaceDE w:val="0"/>
        <w:widowControl/>
        <w:spacing w:line="224" w:lineRule="exact" w:before="384" w:after="0"/>
        <w:ind w:left="32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Management's Discussion and Analysis: 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25</w:t>
      </w:r>
    </w:p>
    <w:p>
      <w:pPr>
        <w:sectPr>
          <w:pgSz w:w="12240" w:h="15840"/>
          <w:pgMar w:top="360" w:right="1370" w:bottom="424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7"/>
        <w:gridCol w:w="4717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V: Development Activities, Products and Programs</w:t>
            </w:r>
          </w:p>
        </w:tc>
      </w:tr>
    </w:tbl>
    <w:p>
      <w:pPr>
        <w:autoSpaceDN w:val="0"/>
        <w:autoSpaceDE w:val="0"/>
        <w:widowControl/>
        <w:spacing w:line="178" w:lineRule="exact" w:before="408" w:after="0"/>
        <w:ind w:left="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Figure 9: Net Annual Commitments and Percentage Share of Financing Categories</w:t>
      </w:r>
    </w:p>
    <w:p>
      <w:pPr>
        <w:autoSpaceDN w:val="0"/>
        <w:autoSpaceDE w:val="0"/>
        <w:widowControl/>
        <w:spacing w:line="178" w:lineRule="exact" w:before="74" w:after="52"/>
        <w:ind w:left="4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billions of U.S. dollars, except rates in percentages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4.00000000000006" w:type="dxa"/>
      </w:tblPr>
      <w:tblGrid>
        <w:gridCol w:w="1179"/>
        <w:gridCol w:w="1179"/>
        <w:gridCol w:w="1179"/>
        <w:gridCol w:w="1179"/>
        <w:gridCol w:w="1179"/>
        <w:gridCol w:w="1179"/>
        <w:gridCol w:w="1179"/>
        <w:gridCol w:w="1179"/>
      </w:tblGrid>
      <w:tr>
        <w:trPr>
          <w:trHeight w:hRule="exact" w:val="246"/>
        </w:trPr>
        <w:tc>
          <w:tcPr>
            <w:tcW w:type="dxa" w:w="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2" w:after="0"/>
              <w:ind w:left="10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100%</w:t>
            </w:r>
          </w:p>
        </w:tc>
        <w:tc>
          <w:tcPr>
            <w:tcW w:type="dxa" w:w="9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0" w:right="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$30.4</w:t>
            </w:r>
          </w:p>
        </w:tc>
        <w:tc>
          <w:tcPr>
            <w:tcW w:type="dxa" w:w="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0" w:right="4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$36.0</w:t>
            </w:r>
          </w:p>
        </w:tc>
        <w:tc>
          <w:tcPr>
            <w:tcW w:type="dxa" w:w="9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0" w:right="5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$37.7</w:t>
            </w:r>
          </w:p>
        </w:tc>
        <w:tc>
          <w:tcPr>
            <w:tcW w:type="dxa" w:w="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0" w:right="4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$34.2</w:t>
            </w:r>
          </w:p>
        </w:tc>
        <w:tc>
          <w:tcPr>
            <w:tcW w:type="dxa" w:w="30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52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595959"/>
                <w:sz w:val="16"/>
              </w:rPr>
              <w:t>$31.2</w:t>
            </w:r>
          </w:p>
        </w:tc>
      </w:tr>
      <w:tr>
        <w:trPr>
          <w:trHeight w:hRule="exact" w:val="526"/>
        </w:trPr>
        <w:tc>
          <w:tcPr>
            <w:tcW w:type="dxa" w:w="1179"/>
            <w:vMerge/>
            <w:tcBorders/>
          </w:tcPr>
          <w:p/>
        </w:tc>
        <w:tc>
          <w:tcPr>
            <w:tcW w:type="dxa" w:w="6960"/>
            <w:gridSpan w:val="7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8.0000000000001" w:type="dxa"/>
            </w:tblPr>
            <w:tblGrid>
              <w:gridCol w:w="6960"/>
            </w:tblGrid>
            <w:tr>
              <w:trPr>
                <w:trHeight w:hRule="exact" w:val="568"/>
              </w:trPr>
              <w:tc>
                <w:tcPr>
                  <w:tcW w:type="dxa" w:w="4940"/>
                  <w:tcBorders>
                    <w:start w:sz="6.013314247131348" w:val="single" w:color="#898A89"/>
                    <w:bottom w:sz="6.013314247131348" w:val="single" w:color="#585958"/>
                  </w:tcBorders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255.99999999999994" w:type="dxa"/>
                  </w:tblPr>
                  <w:tblGrid>
                    <w:gridCol w:w="988"/>
                    <w:gridCol w:w="988"/>
                    <w:gridCol w:w="988"/>
                    <w:gridCol w:w="988"/>
                    <w:gridCol w:w="988"/>
                  </w:tblGrid>
                  <w:tr>
                    <w:trPr>
                      <w:trHeight w:hRule="exact" w:val="286"/>
                    </w:trPr>
                    <w:tc>
                      <w:tcPr>
                        <w:tcW w:type="dxa" w:w="4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80" w:lineRule="exact" w:before="0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FFFFFF"/>
                            <w:sz w:val="16"/>
                          </w:rPr>
                          <w:t>4%</w:t>
                        </w:r>
                      </w:p>
                    </w:tc>
                    <w:tc>
                      <w:tcPr>
                        <w:tcW w:type="dxa" w:w="984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tbl>
                        <w:tblPr>
                          <w:tblW w:type="auto" w:w="0"/>
                          <w:tblLayout w:type="fixed"/>
                          <w:tblLook w:firstColumn="1" w:firstRow="1" w:lastColumn="0" w:lastRow="0" w:noHBand="0" w:noVBand="1" w:val="04A0"/>
                          <w:tblInd w:w="504.00000000000034" w:type="dxa"/>
                        </w:tblPr>
                        <w:tblGrid>
                          <w:gridCol w:w="984"/>
                        </w:tblGrid>
                        <w:tr>
                          <w:trPr>
                            <w:trHeight w:hRule="exact" w:val="266"/>
                          </w:trPr>
                          <w:tc>
                            <w:tcPr>
                              <w:tcW w:type="dxa" w:w="480"/>
                              <w:tcBorders/>
                              <w:shd w:fill="6d6d6d"/>
                              <w:tcMar>
                                <w:start w:w="0" w:type="dxa"/>
                                <w:end w:w="0" w:type="dxa"/>
                              </w:tcMar>
                            </w:tcPr>
                            <w:p>
                              <w:pPr>
                                <w:autoSpaceDN w:val="0"/>
                                <w:autoSpaceDE w:val="0"/>
                                <w:widowControl/>
                                <w:spacing w:line="180" w:lineRule="exact" w:before="76" w:after="0"/>
                                <w:ind w:left="0" w:right="0" w:firstLine="0"/>
                                <w:jc w:val="center"/>
                              </w:pPr>
                              <w:r>
                                <w:rPr>
                                  <w:rFonts w:ascii="ArialMT" w:hAnsi="ArialMT" w:eastAsia="ArialMT"/>
                                  <w:b w:val="0"/>
                                  <w:i w:val="0"/>
                                  <w:color w:val="FFFFFF"/>
                                  <w:sz w:val="16"/>
                                </w:rPr>
                                <w:t>12%</w:t>
                              </w:r>
                            </w:p>
                          </w:tc>
                        </w:tr>
                      </w:tbl>
                      <w:p>
                        <w:pPr>
                          <w:autoSpaceDN w:val="0"/>
                          <w:autoSpaceDE w:val="0"/>
                          <w:widowControl/>
                          <w:spacing w:line="14" w:lineRule="exact" w:before="0" w:after="0"/>
                          <w:ind w:left="0" w:right="0"/>
                        </w:pPr>
                      </w:p>
                    </w:tc>
                    <w:tc>
                      <w:tcPr>
                        <w:tcW w:type="dxa" w:w="986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tbl>
                        <w:tblPr>
                          <w:tblW w:type="auto" w:w="0"/>
                          <w:tblLayout w:type="fixed"/>
                          <w:tblLook w:firstColumn="1" w:firstRow="1" w:lastColumn="0" w:lastRow="0" w:noHBand="0" w:noVBand="1" w:val="04A0"/>
                          <w:tblInd w:w="505.99999999999966" w:type="dxa"/>
                        </w:tblPr>
                        <w:tblGrid>
                          <w:gridCol w:w="986"/>
                        </w:tblGrid>
                        <w:tr>
                          <w:trPr>
                            <w:trHeight w:hRule="exact" w:val="266"/>
                          </w:trPr>
                          <w:tc>
                            <w:tcPr>
                              <w:tcW w:type="dxa" w:w="480"/>
                              <w:tcBorders/>
                              <w:shd w:fill="6d6d6d"/>
                              <w:tcMar>
                                <w:start w:w="0" w:type="dxa"/>
                                <w:end w:w="0" w:type="dxa"/>
                              </w:tcMar>
                            </w:tcPr>
                            <w:p>
                              <w:pPr>
                                <w:autoSpaceDN w:val="0"/>
                                <w:autoSpaceDE w:val="0"/>
                                <w:widowControl/>
                                <w:spacing w:line="180" w:lineRule="exact" w:before="76" w:after="0"/>
                                <w:ind w:left="0" w:right="0" w:firstLine="0"/>
                                <w:jc w:val="center"/>
                              </w:pPr>
                              <w:r>
                                <w:rPr>
                                  <w:rFonts w:ascii="ArialMT" w:hAnsi="ArialMT" w:eastAsia="ArialMT"/>
                                  <w:b w:val="0"/>
                                  <w:i w:val="0"/>
                                  <w:color w:val="FFFFFF"/>
                                  <w:sz w:val="16"/>
                                </w:rPr>
                                <w:t>12%</w:t>
                              </w:r>
                            </w:p>
                          </w:tc>
                        </w:tr>
                      </w:tbl>
                      <w:p>
                        <w:pPr>
                          <w:autoSpaceDN w:val="0"/>
                          <w:autoSpaceDE w:val="0"/>
                          <w:widowControl/>
                          <w:spacing w:line="14" w:lineRule="exact" w:before="0" w:after="0"/>
                          <w:ind w:left="0" w:right="0"/>
                        </w:pPr>
                      </w:p>
                    </w:tc>
                    <w:tc>
                      <w:tcPr>
                        <w:tcW w:type="dxa" w:w="984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tbl>
                        <w:tblPr>
                          <w:tblW w:type="auto" w:w="0"/>
                          <w:tblLayout w:type="fixed"/>
                          <w:tblLook w:firstColumn="1" w:firstRow="1" w:lastColumn="0" w:lastRow="0" w:noHBand="0" w:noVBand="1" w:val="04A0"/>
                          <w:tblInd w:w="504.00000000000034" w:type="dxa"/>
                        </w:tblPr>
                        <w:tblGrid>
                          <w:gridCol w:w="984"/>
                        </w:tblGrid>
                        <w:tr>
                          <w:trPr>
                            <w:trHeight w:hRule="exact" w:val="288"/>
                          </w:trPr>
                          <w:tc>
                            <w:tcPr>
                              <w:tcW w:type="dxa" w:w="480"/>
                              <w:tcBorders/>
                              <w:shd w:fill="6d6d6d"/>
                              <w:tcMar>
                                <w:start w:w="0" w:type="dxa"/>
                                <w:end w:w="0" w:type="dxa"/>
                              </w:tcMar>
                            </w:tcPr>
                            <w:p>
                              <w:pPr>
                                <w:autoSpaceDN w:val="0"/>
                                <w:autoSpaceDE w:val="0"/>
                                <w:widowControl/>
                                <w:spacing w:line="180" w:lineRule="exact" w:before="128" w:after="0"/>
                                <w:ind w:left="0" w:right="0" w:firstLine="0"/>
                                <w:jc w:val="center"/>
                              </w:pPr>
                              <w:r>
                                <w:rPr>
                                  <w:rFonts w:ascii="ArialMT" w:hAnsi="ArialMT" w:eastAsia="ArialMT"/>
                                  <w:b w:val="0"/>
                                  <w:i w:val="0"/>
                                  <w:color w:val="FFFFFF"/>
                                  <w:sz w:val="16"/>
                                </w:rPr>
                                <w:t>19%</w:t>
                              </w:r>
                            </w:p>
                          </w:tc>
                        </w:tr>
                      </w:tbl>
                      <w:p>
                        <w:pPr>
                          <w:autoSpaceDN w:val="0"/>
                          <w:autoSpaceDE w:val="0"/>
                          <w:widowControl/>
                          <w:spacing w:line="14" w:lineRule="exact" w:before="0" w:after="0"/>
                          <w:ind w:left="0" w:right="0"/>
                        </w:pPr>
                      </w:p>
                    </w:tc>
                    <w:tc>
                      <w:tcPr>
                        <w:tcW w:type="dxa" w:w="986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tbl>
                        <w:tblPr>
                          <w:tblW w:type="auto" w:w="0"/>
                          <w:tblLayout w:type="fixed"/>
                          <w:tblLook w:firstColumn="1" w:firstRow="1" w:lastColumn="0" w:lastRow="0" w:noHBand="0" w:noVBand="1" w:val="04A0"/>
                          <w:tblInd w:w="503.9999999999998" w:type="dxa"/>
                        </w:tblPr>
                        <w:tblGrid>
                          <w:gridCol w:w="986"/>
                        </w:tblGrid>
                        <w:tr>
                          <w:trPr>
                            <w:trHeight w:hRule="exact" w:val="250"/>
                          </w:trPr>
                          <w:tc>
                            <w:tcPr>
                              <w:tcW w:type="dxa" w:w="482"/>
                              <w:tcBorders/>
                              <w:shd w:fill="6d6d6d"/>
                              <w:tcMar>
                                <w:start w:w="0" w:type="dxa"/>
                                <w:end w:w="0" w:type="dxa"/>
                              </w:tcMar>
                            </w:tcPr>
                            <w:p>
                              <w:pPr>
                                <w:autoSpaceDN w:val="0"/>
                                <w:autoSpaceDE w:val="0"/>
                                <w:widowControl/>
                                <w:spacing w:line="178" w:lineRule="exact" w:before="62" w:after="0"/>
                                <w:ind w:left="0" w:right="0" w:firstLine="0"/>
                                <w:jc w:val="center"/>
                              </w:pPr>
                              <w:r>
                                <w:rPr>
                                  <w:rFonts w:ascii="ArialMT" w:hAnsi="ArialMT" w:eastAsia="ArialMT"/>
                                  <w:b w:val="0"/>
                                  <w:i w:val="0"/>
                                  <w:color w:val="FFFFFF"/>
                                  <w:sz w:val="16"/>
                                </w:rPr>
                                <w:t>11%</w:t>
                              </w:r>
                            </w:p>
                          </w:tc>
                        </w:tr>
                      </w:tbl>
                      <w:p>
                        <w:pPr>
                          <w:autoSpaceDN w:val="0"/>
                          <w:autoSpaceDE w:val="0"/>
                          <w:widowControl/>
                          <w:spacing w:line="14" w:lineRule="exact" w:before="0" w:after="0"/>
                          <w:ind w:left="0" w:right="0"/>
                        </w:pPr>
                      </w:p>
                    </w:tc>
                  </w:tr>
                  <w:tr>
                    <w:trPr>
                      <w:trHeight w:hRule="exact" w:val="210"/>
                    </w:trPr>
                    <w:tc>
                      <w:tcPr>
                        <w:tcW w:type="dxa" w:w="480"/>
                        <w:tcBorders/>
                        <w:shd w:fill="bfbfbf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78" w:lineRule="exact" w:before="32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000000"/>
                            <w:sz w:val="16"/>
                          </w:rPr>
                          <w:t>24%</w:t>
                        </w:r>
                      </w:p>
                    </w:tc>
                    <w:tc>
                      <w:tcPr>
                        <w:tcW w:type="dxa" w:w="984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/>
                    </w:tc>
                    <w:tc>
                      <w:tcPr>
                        <w:tcW w:type="dxa" w:w="986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tbl>
                        <w:tblPr>
                          <w:tblW w:type="auto" w:w="0"/>
                          <w:tblLayout w:type="fixed"/>
                          <w:tblLook w:firstColumn="1" w:firstRow="1" w:lastColumn="0" w:lastRow="0" w:noHBand="0" w:noVBand="1" w:val="04A0"/>
                          <w:tblInd w:w="505.99999999999966" w:type="dxa"/>
                        </w:tblPr>
                        <w:tblGrid>
                          <w:gridCol w:w="986"/>
                        </w:tblGrid>
                        <w:tr>
                          <w:trPr>
                            <w:trHeight w:hRule="exact" w:val="190"/>
                          </w:trPr>
                          <w:tc>
                            <w:tcPr>
                              <w:tcW w:type="dxa" w:w="480"/>
                              <w:tcBorders/>
                              <w:shd w:fill="bfbfbf"/>
                              <w:tcMar>
                                <w:start w:w="0" w:type="dxa"/>
                                <w:end w:w="0" w:type="dxa"/>
                              </w:tcMar>
                            </w:tcPr>
                            <w:p>
                              <w:pPr>
                                <w:autoSpaceDN w:val="0"/>
                                <w:autoSpaceDE w:val="0"/>
                                <w:widowControl/>
                                <w:spacing w:line="178" w:lineRule="exact" w:before="32" w:after="0"/>
                                <w:ind w:left="0" w:right="0" w:firstLine="0"/>
                                <w:jc w:val="center"/>
                              </w:pPr>
                              <w:r>
                                <w:rPr>
                                  <w:rFonts w:ascii="ArialMT" w:hAnsi="ArialMT" w:eastAsia="ArialMT"/>
                                  <w:b w:val="0"/>
                                  <w:i w:val="0"/>
                                  <w:color w:val="000000"/>
                                  <w:sz w:val="16"/>
                                </w:rPr>
                                <w:t>9%</w:t>
                              </w:r>
                            </w:p>
                          </w:tc>
                        </w:tr>
                      </w:tbl>
                      <w:p>
                        <w:pPr>
                          <w:autoSpaceDN w:val="0"/>
                          <w:autoSpaceDE w:val="0"/>
                          <w:widowControl/>
                          <w:spacing w:line="14" w:lineRule="exact" w:before="0" w:after="0"/>
                          <w:ind w:left="0" w:right="0"/>
                        </w:pPr>
                      </w:p>
                    </w:tc>
                    <w:tc>
                      <w:tcPr>
                        <w:tcW w:type="dxa" w:w="984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/>
                    </w:tc>
                    <w:tc>
                      <w:tcPr>
                        <w:tcW w:type="dxa" w:w="986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/>
                    </w:tc>
                  </w:tr>
                  <w:tr>
                    <w:trPr>
                      <w:trHeight w:hRule="exact" w:val="166"/>
                    </w:trPr>
                    <w:tc>
                      <w:tcPr>
                        <w:tcW w:type="dxa" w:w="480"/>
                        <w:tcBorders/>
                        <w:shd w:fill="bfbfbf"/>
                        <w:tcMar>
                          <w:start w:w="0" w:type="dxa"/>
                          <w:end w:w="0" w:type="dxa"/>
                        </w:tcMar>
                      </w:tcPr>
                      <w:p/>
                    </w:tc>
                    <w:tc>
                      <w:tcPr>
                        <w:tcW w:type="dxa" w:w="984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tbl>
                        <w:tblPr>
                          <w:tblW w:type="auto" w:w="0"/>
                          <w:tblLayout w:type="fixed"/>
                          <w:tblLook w:firstColumn="1" w:firstRow="1" w:lastColumn="0" w:lastRow="0" w:noHBand="0" w:noVBand="1" w:val="04A0"/>
                          <w:tblInd w:w="504.00000000000034" w:type="dxa"/>
                        </w:tblPr>
                        <w:tblGrid>
                          <w:gridCol w:w="984"/>
                        </w:tblGrid>
                        <w:tr>
                          <w:trPr>
                            <w:trHeight w:hRule="exact" w:val="152"/>
                          </w:trPr>
                          <w:tc>
                            <w:tcPr>
                              <w:tcW w:type="dxa" w:w="480"/>
                              <w:tcBorders/>
                              <w:shd w:fill="bfbfbf"/>
                              <w:tcMar>
                                <w:start w:w="0" w:type="dxa"/>
                                <w:end w:w="0" w:type="dxa"/>
                              </w:tcMar>
                            </w:tcPr>
                            <w:p>
                              <w:pPr>
                                <w:autoSpaceDN w:val="0"/>
                                <w:autoSpaceDE w:val="0"/>
                                <w:widowControl/>
                                <w:spacing w:line="180" w:lineRule="exact" w:before="0" w:after="0"/>
                                <w:ind w:left="0" w:right="0" w:firstLine="0"/>
                                <w:jc w:val="center"/>
                              </w:pPr>
                              <w:r>
                                <w:rPr>
                                  <w:rFonts w:ascii="ArialMT" w:hAnsi="ArialMT" w:eastAsia="ArialMT"/>
                                  <w:b w:val="0"/>
                                  <w:i w:val="0"/>
                                  <w:color w:val="000000"/>
                                  <w:sz w:val="16"/>
                                </w:rPr>
                                <w:t>19%</w:t>
                              </w:r>
                            </w:p>
                          </w:tc>
                        </w:tr>
                      </w:tbl>
                      <w:p>
                        <w:pPr>
                          <w:autoSpaceDN w:val="0"/>
                          <w:autoSpaceDE w:val="0"/>
                          <w:widowControl/>
                          <w:spacing w:line="14" w:lineRule="exact" w:before="0" w:after="0"/>
                          <w:ind w:left="0" w:right="0"/>
                        </w:pPr>
                      </w:p>
                    </w:tc>
                    <w:tc>
                      <w:tcPr>
                        <w:tcW w:type="dxa" w:w="986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/>
                    </w:tc>
                    <w:tc>
                      <w:tcPr>
                        <w:tcW w:type="dxa" w:w="984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/>
                    </w:tc>
                    <w:tc>
                      <w:tcPr>
                        <w:tcW w:type="dxa" w:w="986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tbl>
                        <w:tblPr>
                          <w:tblW w:type="auto" w:w="0"/>
                          <w:tblLayout w:type="fixed"/>
                          <w:tblLook w:firstColumn="1" w:firstRow="1" w:lastColumn="0" w:lastRow="0" w:noHBand="0" w:noVBand="1" w:val="04A0"/>
                          <w:tblInd w:w="503.9999999999998" w:type="dxa"/>
                        </w:tblPr>
                        <w:tblGrid>
                          <w:gridCol w:w="986"/>
                        </w:tblGrid>
                        <w:tr>
                          <w:trPr>
                            <w:trHeight w:hRule="exact" w:val="154"/>
                          </w:trPr>
                          <w:tc>
                            <w:tcPr>
                              <w:tcW w:type="dxa" w:w="482"/>
                              <w:tcBorders/>
                              <w:shd w:fill="bfbfbf"/>
                              <w:tcMar>
                                <w:start w:w="0" w:type="dxa"/>
                                <w:end w:w="0" w:type="dxa"/>
                              </w:tcMar>
                            </w:tcPr>
                            <w:p>
                              <w:pPr>
                                <w:autoSpaceDN w:val="0"/>
                                <w:autoSpaceDE w:val="0"/>
                                <w:widowControl/>
                                <w:spacing w:line="180" w:lineRule="exact" w:before="0" w:after="0"/>
                                <w:ind w:left="0" w:right="0" w:firstLine="0"/>
                                <w:jc w:val="center"/>
                              </w:pPr>
                              <w:r>
                                <w:rPr>
                                  <w:rFonts w:ascii="ArialMT" w:hAnsi="ArialMT" w:eastAsia="ArialMT"/>
                                  <w:b w:val="0"/>
                                  <w:i w:val="0"/>
                                  <w:color w:val="000000"/>
                                  <w:sz w:val="16"/>
                                </w:rPr>
                                <w:t>20%</w:t>
                              </w:r>
                            </w:p>
                          </w:tc>
                        </w:tr>
                      </w:tbl>
                      <w:p>
                        <w:pPr>
                          <w:autoSpaceDN w:val="0"/>
                          <w:autoSpaceDE w:val="0"/>
                          <w:widowControl/>
                          <w:spacing w:line="14" w:lineRule="exact" w:before="0" w:after="0"/>
                          <w:ind w:left="0" w:right="0"/>
                        </w:pPr>
                      </w:p>
                    </w:tc>
                  </w:tr>
                  <w:tr>
                    <w:trPr>
                      <w:trHeight w:hRule="exact" w:val="226"/>
                    </w:trPr>
                    <w:tc>
                      <w:tcPr>
                        <w:tcW w:type="dxa" w:w="4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/>
                    </w:tc>
                    <w:tc>
                      <w:tcPr>
                        <w:tcW w:type="dxa" w:w="984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/>
                    </w:tc>
                    <w:tc>
                      <w:tcPr>
                        <w:tcW w:type="dxa" w:w="986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/>
                    </w:tc>
                    <w:tc>
                      <w:tcPr>
                        <w:tcW w:type="dxa" w:w="984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tbl>
                        <w:tblPr>
                          <w:tblW w:type="auto" w:w="0"/>
                          <w:tblLayout w:type="fixed"/>
                          <w:tblLook w:firstColumn="1" w:firstRow="1" w:lastColumn="0" w:lastRow="0" w:noHBand="0" w:noVBand="1" w:val="04A0"/>
                          <w:tblInd w:w="504.00000000000034" w:type="dxa"/>
                        </w:tblPr>
                        <w:tblGrid>
                          <w:gridCol w:w="984"/>
                        </w:tblGrid>
                        <w:tr>
                          <w:trPr>
                            <w:trHeight w:hRule="exact" w:val="236"/>
                          </w:trPr>
                          <w:tc>
                            <w:tcPr>
                              <w:tcW w:type="dxa" w:w="480"/>
                              <w:tcBorders/>
                              <w:shd w:fill="bfbfbf"/>
                              <w:tcMar>
                                <w:start w:w="0" w:type="dxa"/>
                                <w:end w:w="0" w:type="dxa"/>
                              </w:tcMar>
                            </w:tcPr>
                            <w:p>
                              <w:pPr>
                                <w:autoSpaceDN w:val="0"/>
                                <w:autoSpaceDE w:val="0"/>
                                <w:widowControl/>
                                <w:spacing w:line="178" w:lineRule="exact" w:before="0" w:after="0"/>
                                <w:ind w:left="0" w:right="0" w:firstLine="0"/>
                                <w:jc w:val="center"/>
                              </w:pPr>
                              <w:r>
                                <w:rPr>
                                  <w:rFonts w:ascii="ArialMT" w:hAnsi="ArialMT" w:eastAsia="ArialMT"/>
                                  <w:b w:val="0"/>
                                  <w:i w:val="0"/>
                                  <w:color w:val="000000"/>
                                  <w:sz w:val="16"/>
                                </w:rPr>
                                <w:t>19%</w:t>
                              </w:r>
                            </w:p>
                          </w:tc>
                        </w:tr>
                      </w:tbl>
                      <w:p>
                        <w:pPr>
                          <w:autoSpaceDN w:val="0"/>
                          <w:autoSpaceDE w:val="0"/>
                          <w:widowControl/>
                          <w:spacing w:line="14" w:lineRule="exact" w:before="0" w:after="0"/>
                          <w:ind w:left="0" w:right="0"/>
                        </w:pPr>
                      </w:p>
                    </w:tc>
                    <w:tc>
                      <w:tcPr>
                        <w:tcW w:type="dxa" w:w="986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/>
                    </w:tc>
                  </w:tr>
                  <w:tr>
                    <w:trPr>
                      <w:trHeight w:hRule="exact" w:val="854"/>
                    </w:trPr>
                    <w:tc>
                      <w:tcPr>
                        <w:tcW w:type="dxa" w:w="480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78" w:lineRule="exact" w:before="514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000000"/>
                            <w:sz w:val="16"/>
                          </w:rPr>
                          <w:t>72%</w:t>
                        </w:r>
                      </w:p>
                    </w:tc>
                    <w:tc>
                      <w:tcPr>
                        <w:tcW w:type="dxa" w:w="984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78" w:lineRule="exact" w:before="544" w:after="0"/>
                          <w:ind w:left="0" w:right="94" w:firstLine="0"/>
                          <w:jc w:val="right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000000"/>
                            <w:sz w:val="16"/>
                          </w:rPr>
                          <w:t>69%</w:t>
                        </w:r>
                      </w:p>
                    </w:tc>
                    <w:tc>
                      <w:tcPr>
                        <w:tcW w:type="dxa" w:w="986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80" w:lineRule="exact" w:before="438" w:after="0"/>
                          <w:ind w:left="0" w:right="90" w:firstLine="0"/>
                          <w:jc w:val="right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000000"/>
                            <w:sz w:val="16"/>
                          </w:rPr>
                          <w:t>79%</w:t>
                        </w:r>
                      </w:p>
                    </w:tc>
                    <w:tc>
                      <w:tcPr>
                        <w:tcW w:type="dxa" w:w="984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80" w:lineRule="exact" w:before="634" w:after="0"/>
                          <w:ind w:left="0" w:right="98" w:firstLine="0"/>
                          <w:jc w:val="right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000000"/>
                            <w:sz w:val="16"/>
                          </w:rPr>
                          <w:t>62%</w:t>
                        </w:r>
                      </w:p>
                    </w:tc>
                    <w:tc>
                      <w:tcPr>
                        <w:tcW w:type="dxa" w:w="986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78" w:lineRule="exact" w:before="544" w:after="0"/>
                          <w:ind w:left="0" w:right="92" w:firstLine="0"/>
                          <w:jc w:val="right"/>
                        </w:pPr>
                        <w:r>
                          <w:rPr>
                            <w:rFonts w:ascii="ArialMT" w:hAnsi="ArialMT" w:eastAsia="ArialMT"/>
                            <w:b w:val="0"/>
                            <w:i w:val="0"/>
                            <w:color w:val="000000"/>
                            <w:sz w:val="16"/>
                          </w:rPr>
                          <w:t>69%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166"/>
        </w:trPr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75%</w:t>
            </w:r>
          </w:p>
        </w:tc>
        <w:tc>
          <w:tcPr>
            <w:tcW w:type="dxa" w:w="8253"/>
            <w:gridSpan w:val="7"/>
            <w:vMerge/>
            <w:tcBorders/>
          </w:tcPr>
          <w:p/>
        </w:tc>
      </w:tr>
      <w:tr>
        <w:trPr>
          <w:trHeight w:hRule="exact" w:val="1642"/>
        </w:trPr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8" w:after="0"/>
              <w:ind w:left="0" w:right="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50%</w:t>
            </w:r>
          </w:p>
          <w:p>
            <w:pPr>
              <w:autoSpaceDN w:val="0"/>
              <w:autoSpaceDE w:val="0"/>
              <w:widowControl/>
              <w:spacing w:line="180" w:lineRule="exact" w:before="392" w:after="0"/>
              <w:ind w:left="0" w:right="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25%</w:t>
            </w:r>
          </w:p>
          <w:p>
            <w:pPr>
              <w:autoSpaceDN w:val="0"/>
              <w:autoSpaceDE w:val="0"/>
              <w:widowControl/>
              <w:spacing w:line="180" w:lineRule="exact" w:before="302" w:after="0"/>
              <w:ind w:left="0" w:right="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0%</w:t>
            </w:r>
          </w:p>
        </w:tc>
        <w:tc>
          <w:tcPr>
            <w:tcW w:type="dxa" w:w="8253"/>
            <w:gridSpan w:val="7"/>
            <w:vMerge/>
            <w:tcBorders/>
          </w:tcPr>
          <w:p/>
        </w:tc>
      </w:tr>
      <w:tr>
        <w:trPr>
          <w:trHeight w:hRule="exact" w:val="46"/>
        </w:trPr>
        <w:tc>
          <w:tcPr>
            <w:tcW w:type="dxa" w:w="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0%</w:t>
            </w:r>
          </w:p>
        </w:tc>
        <w:tc>
          <w:tcPr>
            <w:tcW w:type="dxa" w:w="8253"/>
            <w:gridSpan w:val="7"/>
            <w:vMerge/>
            <w:tcBorders/>
          </w:tcPr>
          <w:p/>
        </w:tc>
      </w:tr>
      <w:tr>
        <w:trPr>
          <w:trHeight w:hRule="exact" w:val="404"/>
        </w:trPr>
        <w:tc>
          <w:tcPr>
            <w:tcW w:type="dxa" w:w="1179"/>
            <w:vMerge/>
            <w:tcBorders/>
          </w:tcPr>
          <w:p/>
        </w:tc>
        <w:tc>
          <w:tcPr>
            <w:tcW w:type="dxa" w:w="9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0" w:right="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FY20</w:t>
            </w:r>
          </w:p>
        </w:tc>
        <w:tc>
          <w:tcPr>
            <w:tcW w:type="dxa" w:w="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0" w:right="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FY21</w:t>
            </w:r>
          </w:p>
        </w:tc>
        <w:tc>
          <w:tcPr>
            <w:tcW w:type="dxa" w:w="9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0" w:right="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FY22</w:t>
            </w:r>
          </w:p>
        </w:tc>
        <w:tc>
          <w:tcPr>
            <w:tcW w:type="dxa" w:w="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0" w:right="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FY23</w:t>
            </w:r>
          </w:p>
        </w:tc>
        <w:tc>
          <w:tcPr>
            <w:tcW w:type="dxa" w:w="30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5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FY24</w:t>
            </w:r>
          </w:p>
        </w:tc>
      </w:tr>
      <w:tr>
        <w:trPr>
          <w:trHeight w:hRule="exact" w:val="136"/>
        </w:trPr>
        <w:tc>
          <w:tcPr>
            <w:tcW w:type="dxa" w:w="540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1456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0" w:after="0"/>
              <w:ind w:left="5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4"/>
              </w:rPr>
              <w:t xml:space="preserve">Investment Project </w:t>
            </w:r>
          </w:p>
        </w:tc>
        <w:tc>
          <w:tcPr>
            <w:tcW w:type="dxa" w:w="197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4"/>
              </w:rPr>
              <w:t xml:space="preserve">Development Policy </w:t>
            </w:r>
          </w:p>
        </w:tc>
        <w:tc>
          <w:tcPr>
            <w:tcW w:type="dxa" w:w="3534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0" w:after="0"/>
              <w:ind w:left="2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4"/>
              </w:rPr>
              <w:t>Program-for-Results</w:t>
            </w:r>
          </w:p>
        </w:tc>
      </w:tr>
      <w:tr>
        <w:trPr>
          <w:trHeight w:hRule="exact" w:val="72"/>
        </w:trPr>
        <w:tc>
          <w:tcPr>
            <w:tcW w:type="dxa" w:w="540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2358"/>
            <w:gridSpan w:val="2"/>
            <w:vMerge/>
            <w:tcBorders/>
          </w:tcPr>
          <w:p/>
        </w:tc>
        <w:tc>
          <w:tcPr>
            <w:tcW w:type="dxa" w:w="3537"/>
            <w:gridSpan w:val="3"/>
            <w:vMerge/>
            <w:tcBorders/>
          </w:tcPr>
          <w:p/>
        </w:tc>
        <w:tc>
          <w:tcPr>
            <w:tcW w:type="dxa" w:w="2358"/>
            <w:gridSpan w:val="2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17"/>
        <w:gridCol w:w="4717"/>
      </w:tblGrid>
      <w:tr>
        <w:trPr>
          <w:trHeight w:hRule="exact" w:val="10046"/>
        </w:trPr>
        <w:tc>
          <w:tcPr>
            <w:tcW w:type="dxa" w:w="5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510" w:after="0"/>
              <w:ind w:left="0" w:right="0" w:firstLine="0"/>
              <w:jc w:val="left"/>
            </w:pPr>
            <w:r>
              <w:rPr>
                <w:rFonts w:ascii="TimesNewRoman" w:hAnsi="TimesNewRoman" w:eastAsia="TimesNewRoman"/>
                <w:b/>
                <w:i w:val="0"/>
                <w:color w:val="000000"/>
                <w:sz w:val="20"/>
              </w:rPr>
              <w:t>Invest</w:t>
            </w:r>
          </w:p>
          <w:p>
            <w:pPr>
              <w:autoSpaceDN w:val="0"/>
              <w:autoSpaceDE w:val="0"/>
              <w:widowControl/>
              <w:spacing w:line="240" w:lineRule="exact" w:before="124" w:after="0"/>
              <w:ind w:left="0" w:right="0" w:firstLine="0"/>
              <w:jc w:val="center"/>
            </w:pP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IPF pr </w:t>
            </w:r>
            <w:r>
              <w:br/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necessa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>net IPF</w:t>
            </w:r>
          </w:p>
          <w:p>
            <w:pPr>
              <w:autoSpaceDN w:val="0"/>
              <w:autoSpaceDE w:val="0"/>
              <w:widowControl/>
              <w:spacing w:line="220" w:lineRule="exact" w:before="136" w:after="0"/>
              <w:ind w:left="0" w:right="0" w:firstLine="0"/>
              <w:jc w:val="center"/>
            </w:pPr>
            <w:r>
              <w:rPr>
                <w:rFonts w:ascii="TimesNewRoman" w:hAnsi="TimesNewRoman" w:eastAsia="TimesNewRoman"/>
                <w:b/>
                <w:i w:val="0"/>
                <w:color w:val="000000"/>
                <w:sz w:val="20"/>
              </w:rPr>
              <w:t>Develo</w:t>
            </w:r>
          </w:p>
          <w:p>
            <w:pPr>
              <w:autoSpaceDN w:val="0"/>
              <w:autoSpaceDE w:val="0"/>
              <w:widowControl/>
              <w:spacing w:line="240" w:lineRule="exact" w:before="124" w:after="0"/>
              <w:ind w:left="0" w:right="0" w:firstLine="0"/>
              <w:jc w:val="left"/>
            </w:pP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DPF p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progra </w:t>
            </w:r>
            <w:r>
              <w:br/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manage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diversif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>commit</w:t>
            </w:r>
          </w:p>
          <w:p>
            <w:pPr>
              <w:autoSpaceDN w:val="0"/>
              <w:autoSpaceDE w:val="0"/>
              <w:widowControl/>
              <w:spacing w:line="220" w:lineRule="exact" w:before="136" w:after="0"/>
              <w:ind w:left="0" w:right="0" w:firstLine="0"/>
              <w:jc w:val="center"/>
            </w:pPr>
            <w:r>
              <w:rPr>
                <w:rFonts w:ascii="TimesNewRoman" w:hAnsi="TimesNewRoman" w:eastAsia="TimesNewRoman"/>
                <w:b/>
                <w:i w:val="0"/>
                <w:color w:val="000000"/>
                <w:sz w:val="20"/>
              </w:rPr>
              <w:t>Progra</w:t>
            </w:r>
          </w:p>
          <w:p>
            <w:pPr>
              <w:autoSpaceDN w:val="0"/>
              <w:autoSpaceDE w:val="0"/>
              <w:widowControl/>
              <w:spacing w:line="240" w:lineRule="exact" w:before="124" w:after="0"/>
              <w:ind w:left="0" w:right="0" w:firstLine="0"/>
              <w:jc w:val="left"/>
            </w:pP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PforR </w:t>
            </w:r>
            <w:r>
              <w:br/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results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verified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totaled </w:t>
            </w:r>
          </w:p>
          <w:p>
            <w:pPr>
              <w:autoSpaceDN w:val="0"/>
              <w:autoSpaceDE w:val="0"/>
              <w:widowControl/>
              <w:spacing w:line="268" w:lineRule="exact" w:before="13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Finan</w:t>
            </w:r>
          </w:p>
          <w:p>
            <w:pPr>
              <w:autoSpaceDN w:val="0"/>
              <w:autoSpaceDE w:val="0"/>
              <w:widowControl/>
              <w:spacing w:line="244" w:lineRule="exact" w:before="134" w:after="0"/>
              <w:ind w:left="0" w:right="0" w:firstLine="0"/>
              <w:jc w:val="center"/>
            </w:pPr>
            <w:r>
              <w:rPr>
                <w:rFonts w:ascii="TimesNewRoman" w:hAnsi="TimesNewRoman" w:eastAsia="TimesNewRoman"/>
                <w:b/>
                <w:i w:val="0"/>
                <w:color w:val="000000"/>
                <w:sz w:val="22"/>
              </w:rPr>
              <w:t>Comm</w:t>
            </w:r>
          </w:p>
          <w:p>
            <w:pPr>
              <w:autoSpaceDN w:val="0"/>
              <w:autoSpaceDE w:val="0"/>
              <w:widowControl/>
              <w:spacing w:line="240" w:lineRule="exact" w:before="130" w:after="0"/>
              <w:ind w:left="0" w:right="0" w:firstLine="0"/>
              <w:jc w:val="left"/>
            </w:pP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The cu </w:t>
            </w:r>
            <w:r>
              <w:br/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respons </w:t>
            </w:r>
            <w:r>
              <w:br/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Lendin </w:t>
            </w:r>
            <w:r>
              <w:br/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sterling </w:t>
            </w:r>
            <w:r>
              <w:br/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>Table 13</w:t>
            </w:r>
            <w:r>
              <w:rPr>
                <w:rFonts w:ascii="TimesNewRoman" w:hAnsi="TimesNewRoman" w:eastAsia="TimesNewRoman"/>
                <w:b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224" w:lineRule="exact" w:before="3036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70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510" w:after="0"/>
              <w:ind w:left="0" w:right="0" w:firstLine="0"/>
              <w:jc w:val="left"/>
            </w:pPr>
            <w:r>
              <w:rPr>
                <w:rFonts w:ascii="TimesNewRoman" w:hAnsi="TimesNewRoman" w:eastAsia="TimesNewRoman"/>
                <w:b/>
                <w:i w:val="0"/>
                <w:color w:val="000000"/>
                <w:sz w:val="20"/>
              </w:rPr>
              <w:t>Investment Project Financing (IPF)</w:t>
            </w:r>
          </w:p>
          <w:p>
            <w:pPr>
              <w:autoSpaceDN w:val="0"/>
              <w:autoSpaceDE w:val="0"/>
              <w:widowControl/>
              <w:spacing w:line="240" w:lineRule="exact" w:before="124" w:after="0"/>
              <w:ind w:left="0" w:right="0" w:firstLine="0"/>
              <w:jc w:val="both"/>
            </w:pP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IPF pr ovides financing for a wide range of activities aimed at creating the physical and social infrastructure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necessa ry to reduce poverty and create sustainable development. IPF generally disburses over 5 to 10 years. FY24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net IPF commitments  totaled $21.6 billion, compared with $21.3 billion in FY23. </w:t>
            </w:r>
          </w:p>
          <w:p>
            <w:pPr>
              <w:autoSpaceDN w:val="0"/>
              <w:autoSpaceDE w:val="0"/>
              <w:widowControl/>
              <w:spacing w:line="220" w:lineRule="exact" w:before="136" w:after="0"/>
              <w:ind w:left="0" w:right="0" w:firstLine="0"/>
              <w:jc w:val="left"/>
            </w:pPr>
            <w:r>
              <w:rPr>
                <w:rFonts w:ascii="TimesNewRoman" w:hAnsi="TimesNewRoman" w:eastAsia="TimesNewRoman"/>
                <w:b/>
                <w:i w:val="0"/>
                <w:color w:val="000000"/>
                <w:sz w:val="20"/>
              </w:rPr>
              <w:t>Development Policy Financing (DPF)</w:t>
            </w:r>
          </w:p>
          <w:p>
            <w:pPr>
              <w:autoSpaceDN w:val="0"/>
              <w:autoSpaceDE w:val="0"/>
              <w:widowControl/>
              <w:spacing w:line="240" w:lineRule="exact" w:before="124" w:after="0"/>
              <w:ind w:left="0" w:right="0" w:firstLine="0"/>
              <w:jc w:val="both"/>
            </w:pP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DPF p rovides fast-disbursing financing to support borrowers in achieving sustainable development through a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progra m of policy and institutional actions. Examples of DPF projects include strengthening public financial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manage ment, improving the investment climate, addressing bottlenecks to improve service delivery, and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diversif ying the economy. DPF supports such reforms through non-earmarked general budget financing. FY24 net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>commitments under DPF totaled $6.2 billion, compared with $6.5 billion in FY23.</w:t>
            </w:r>
          </w:p>
          <w:p>
            <w:pPr>
              <w:autoSpaceDN w:val="0"/>
              <w:autoSpaceDE w:val="0"/>
              <w:widowControl/>
              <w:spacing w:line="220" w:lineRule="exact" w:before="136" w:after="0"/>
              <w:ind w:left="0" w:right="0" w:firstLine="0"/>
              <w:jc w:val="left"/>
            </w:pPr>
            <w:r>
              <w:rPr>
                <w:rFonts w:ascii="TimesNewRoman" w:hAnsi="TimesNewRoman" w:eastAsia="TimesNewRoman"/>
                <w:b/>
                <w:i w:val="0"/>
                <w:color w:val="000000"/>
                <w:sz w:val="20"/>
              </w:rPr>
              <w:t>Program-for-Results (PforR)</w:t>
            </w:r>
          </w:p>
          <w:p>
            <w:pPr>
              <w:autoSpaceDN w:val="0"/>
              <w:autoSpaceDE w:val="0"/>
              <w:widowControl/>
              <w:spacing w:line="240" w:lineRule="exact" w:before="124" w:after="0"/>
              <w:ind w:left="0" w:right="0" w:firstLine="0"/>
              <w:jc w:val="both"/>
            </w:pP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PforR helps countries improve the design and implementation of their development programs and achieve specific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results by strengthening institutions and building capacity. PforR disburses when agreed results are achieved and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verified . Results are identified and agreed upon during the preparation stage. FY24 net commitments under PforR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>totaled $3.5 billion, compared with $6.4 billion in FY23.</w:t>
            </w:r>
          </w:p>
          <w:p>
            <w:pPr>
              <w:autoSpaceDN w:val="0"/>
              <w:autoSpaceDE w:val="0"/>
              <w:widowControl/>
              <w:spacing w:line="268" w:lineRule="exact" w:before="136" w:after="0"/>
              <w:ind w:left="5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4"/>
              </w:rPr>
              <w:t>cial Terms</w:t>
            </w:r>
          </w:p>
          <w:p>
            <w:pPr>
              <w:autoSpaceDN w:val="0"/>
              <w:autoSpaceDE w:val="0"/>
              <w:widowControl/>
              <w:spacing w:line="244" w:lineRule="exact" w:before="134" w:after="0"/>
              <w:ind w:left="50" w:right="0" w:firstLine="0"/>
              <w:jc w:val="left"/>
            </w:pPr>
            <w:r>
              <w:rPr>
                <w:rFonts w:ascii="TimesNewRoman" w:hAnsi="TimesNewRoman" w:eastAsia="TimesNewRoman"/>
                <w:b/>
                <w:i w:val="0"/>
                <w:color w:val="000000"/>
                <w:sz w:val="22"/>
              </w:rPr>
              <w:t>itment Currency</w:t>
            </w:r>
          </w:p>
          <w:p>
            <w:pPr>
              <w:autoSpaceDN w:val="0"/>
              <w:autoSpaceDE w:val="0"/>
              <w:widowControl/>
              <w:spacing w:line="240" w:lineRule="exact" w:before="130" w:after="0"/>
              <w:ind w:left="0" w:right="0" w:firstLine="0"/>
              <w:jc w:val="right"/>
            </w:pP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The cu rrency of commitment for IDA grants and concessional loans is predominantly the SDR. However, in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respons e to client needs to reduce currency exposure and simplify debt management, IDA offers a Single Currency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Lendin g option that allows IDA financing recipients to denominate new IDA loans in U.S. dollar, euro, pound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sterling  or Japanese yen. For cumulative loans approved under the Single Currency program as of June 30, 2024, see </w:t>
            </w: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>3</w:t>
            </w:r>
            <w:r>
              <w:rPr>
                <w:rFonts w:ascii="TimesNewRoman" w:hAnsi="TimesNewRoman" w:eastAsia="TimesNewRoman"/>
                <w:b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224" w:lineRule="exact" w:before="3036" w:after="0"/>
              <w:ind w:left="6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IDA Management's Discussion and Analysis:  June 30, 2024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0" w:right="1370" w:bottom="424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20"/>
        <w:gridCol w:w="4720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V: Development Activities, Products and Programs</w:t>
            </w:r>
          </w:p>
        </w:tc>
      </w:tr>
    </w:tbl>
    <w:p>
      <w:pPr>
        <w:autoSpaceDN w:val="0"/>
        <w:autoSpaceDE w:val="0"/>
        <w:widowControl/>
        <w:spacing w:line="178" w:lineRule="exact" w:before="408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Table 13: Cumulative Loans approved under Single Currency program</w:t>
      </w:r>
    </w:p>
    <w:p>
      <w:pPr>
        <w:autoSpaceDN w:val="0"/>
        <w:autoSpaceDE w:val="0"/>
        <w:widowControl/>
        <w:spacing w:line="178" w:lineRule="exact" w:before="74" w:after="70"/>
        <w:ind w:left="1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billions of U.S. dollar equivalent value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3147"/>
        <w:gridCol w:w="3147"/>
        <w:gridCol w:w="3147"/>
      </w:tblGrid>
      <w:tr>
        <w:trPr>
          <w:trHeight w:hRule="exact" w:val="272"/>
        </w:trPr>
        <w:tc>
          <w:tcPr>
            <w:tcW w:type="dxa" w:w="4314"/>
            <w:tcBorders>
              <w:bottom w:sz="4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As of June 30,</w:t>
            </w:r>
          </w:p>
        </w:tc>
        <w:tc>
          <w:tcPr>
            <w:tcW w:type="dxa" w:w="370"/>
            <w:tcBorders>
              <w:bottom w:sz="4.0" w:val="single" w:color="#7F7F7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0"/>
            <w:tcBorders>
              <w:bottom w:sz="4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0" w:right="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2024</w:t>
            </w:r>
          </w:p>
        </w:tc>
      </w:tr>
      <w:tr>
        <w:trPr>
          <w:trHeight w:hRule="exact" w:val="236"/>
        </w:trPr>
        <w:tc>
          <w:tcPr>
            <w:tcW w:type="dxa" w:w="4314"/>
            <w:tcBorders>
              <w:top w:sz="4.0" w:val="single" w:color="#7F7F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Euro</w:t>
            </w:r>
          </w:p>
        </w:tc>
        <w:tc>
          <w:tcPr>
            <w:tcW w:type="dxa" w:w="370"/>
            <w:tcBorders>
              <w:top w:sz="4.0" w:val="single" w:color="#7F7F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50"/>
            <w:tcBorders>
              <w:top w:sz="4.0" w:val="single" w:color="#7F7F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44.8 </w:t>
            </w:r>
          </w:p>
        </w:tc>
      </w:tr>
      <w:tr>
        <w:trPr>
          <w:trHeight w:hRule="exact" w:val="242"/>
        </w:trPr>
        <w:tc>
          <w:tcPr>
            <w:tcW w:type="dxa" w:w="431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U.S. dollar</w:t>
            </w:r>
          </w:p>
        </w:tc>
        <w:tc>
          <w:tcPr>
            <w:tcW w:type="dxa" w:w="370"/>
            <w:vMerge w:val="restart"/>
            <w:tcBorders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1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5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41.3 </w:t>
            </w:r>
          </w:p>
        </w:tc>
      </w:tr>
      <w:tr>
        <w:trPr>
          <w:trHeight w:hRule="exact" w:val="240"/>
        </w:trPr>
        <w:tc>
          <w:tcPr>
            <w:tcW w:type="dxa" w:w="431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Japanese Yen</w:t>
            </w:r>
          </w:p>
        </w:tc>
        <w:tc>
          <w:tcPr>
            <w:tcW w:type="dxa" w:w="3147"/>
            <w:vMerge/>
            <w:tcBorders>
              <w:bottom w:sz="8.0" w:val="single" w:color="#929292"/>
            </w:tcBorders>
          </w:tcPr>
          <w:p/>
        </w:tc>
        <w:tc>
          <w:tcPr>
            <w:tcW w:type="dxa" w:w="65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2.1 </w:t>
            </w:r>
          </w:p>
        </w:tc>
      </w:tr>
      <w:tr>
        <w:trPr>
          <w:trHeight w:hRule="exact" w:val="242"/>
        </w:trPr>
        <w:tc>
          <w:tcPr>
            <w:tcW w:type="dxa" w:w="4314"/>
            <w:tcBorders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Pound Sterling</w:t>
            </w:r>
          </w:p>
        </w:tc>
        <w:tc>
          <w:tcPr>
            <w:tcW w:type="dxa" w:w="3147"/>
            <w:vMerge/>
            <w:tcBorders>
              <w:bottom w:sz="8.0" w:val="single" w:color="#929292"/>
            </w:tcBorders>
          </w:tcPr>
          <w:p/>
        </w:tc>
        <w:tc>
          <w:tcPr>
            <w:tcW w:type="dxa" w:w="650"/>
            <w:tcBorders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0.2 </w:t>
            </w:r>
          </w:p>
        </w:tc>
      </w:tr>
      <w:tr>
        <w:trPr>
          <w:trHeight w:hRule="exact" w:val="220"/>
        </w:trPr>
        <w:tc>
          <w:tcPr>
            <w:tcW w:type="dxa" w:w="4314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370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50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3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88.4 </w:t>
            </w:r>
          </w:p>
        </w:tc>
      </w:tr>
      <w:tr>
        <w:trPr>
          <w:trHeight w:hRule="exact" w:val="256"/>
        </w:trPr>
        <w:tc>
          <w:tcPr>
            <w:tcW w:type="dxa" w:w="4314"/>
            <w:tcBorders>
              <w:top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Of the above, loans outstanding at the end of the year</w:t>
            </w:r>
          </w:p>
        </w:tc>
        <w:tc>
          <w:tcPr>
            <w:tcW w:type="dxa" w:w="370"/>
            <w:tcBorders>
              <w:top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50"/>
            <w:tcBorders>
              <w:top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0" w:right="2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40.0 </w:t>
            </w:r>
          </w:p>
        </w:tc>
      </w:tr>
      <w:tr>
        <w:trPr>
          <w:trHeight w:hRule="exact" w:val="304"/>
        </w:trPr>
        <w:tc>
          <w:tcPr>
            <w:tcW w:type="dxa" w:w="4314"/>
            <w:tcBorders>
              <w:bottom w:sz="4.0" w:val="single" w:color="#7F7F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 Loans Outstanding at the end of the year</w:t>
            </w:r>
          </w:p>
        </w:tc>
        <w:tc>
          <w:tcPr>
            <w:tcW w:type="dxa" w:w="370"/>
            <w:tcBorders>
              <w:bottom w:sz="4.0" w:val="single" w:color="#7F7F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50"/>
            <w:tcBorders>
              <w:bottom w:sz="4.0" w:val="single" w:color="#7F7F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202.5 </w:t>
            </w:r>
          </w:p>
        </w:tc>
      </w:tr>
    </w:tbl>
    <w:p>
      <w:pPr>
        <w:autoSpaceDN w:val="0"/>
        <w:autoSpaceDE w:val="0"/>
        <w:widowControl/>
        <w:spacing w:line="178" w:lineRule="exact" w:before="192" w:after="92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Table 14: Summary of Financial Terms for IDA Lending Products, effective June 30, 2024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888"/>
        <w:gridCol w:w="1888"/>
        <w:gridCol w:w="1888"/>
        <w:gridCol w:w="1888"/>
        <w:gridCol w:w="1888"/>
      </w:tblGrid>
      <w:tr>
        <w:trPr>
          <w:trHeight w:hRule="exact" w:val="420"/>
        </w:trPr>
        <w:tc>
          <w:tcPr>
            <w:tcW w:type="dxa" w:w="2250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Instrument type </w:t>
            </w:r>
            <w:r>
              <w:rPr>
                <w:w w:val="103.99999618530273"/>
                <w:rFonts w:ascii="Arial" w:hAnsi="Arial" w:eastAsia="Arial"/>
                <w:b/>
                <w:i w:val="0"/>
                <w:color w:val="000000"/>
                <w:sz w:val="10"/>
              </w:rPr>
              <w:t>a</w:t>
            </w:r>
          </w:p>
        </w:tc>
        <w:tc>
          <w:tcPr>
            <w:tcW w:type="dxa" w:w="1500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Currencies</w:t>
            </w:r>
          </w:p>
        </w:tc>
        <w:tc>
          <w:tcPr>
            <w:tcW w:type="dxa" w:w="1650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144" w:right="144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Maturity/Grace </w:t>
            </w: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Period</w:t>
            </w:r>
          </w:p>
        </w:tc>
        <w:tc>
          <w:tcPr>
            <w:tcW w:type="dxa" w:w="1890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Service Charges</w:t>
            </w:r>
          </w:p>
        </w:tc>
        <w:tc>
          <w:tcPr>
            <w:tcW w:type="dxa" w:w="2024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Interest rates</w:t>
            </w:r>
          </w:p>
        </w:tc>
      </w:tr>
      <w:tr>
        <w:trPr>
          <w:trHeight w:hRule="exact" w:val="240"/>
        </w:trPr>
        <w:tc>
          <w:tcPr>
            <w:tcW w:type="dxa" w:w="2250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Grant</w:t>
            </w:r>
          </w:p>
        </w:tc>
        <w:tc>
          <w:tcPr>
            <w:tcW w:type="dxa" w:w="1500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SDR</w:t>
            </w:r>
          </w:p>
        </w:tc>
        <w:tc>
          <w:tcPr>
            <w:tcW w:type="dxa" w:w="1650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Not applicable</w:t>
            </w:r>
          </w:p>
        </w:tc>
        <w:tc>
          <w:tcPr>
            <w:tcW w:type="dxa" w:w="1890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Not applicable</w:t>
            </w:r>
          </w:p>
        </w:tc>
        <w:tc>
          <w:tcPr>
            <w:tcW w:type="dxa" w:w="2024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Not applicable</w:t>
            </w:r>
          </w:p>
        </w:tc>
      </w:tr>
      <w:tr>
        <w:trPr>
          <w:trHeight w:hRule="exact" w:val="420"/>
        </w:trPr>
        <w:tc>
          <w:tcPr>
            <w:tcW w:type="dxa" w:w="2250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Regular-Term loan</w:t>
            </w:r>
          </w:p>
        </w:tc>
        <w:tc>
          <w:tcPr>
            <w:tcW w:type="dxa" w:w="1500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SDR, USD, EUR,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GBP, JPY</w:t>
            </w:r>
          </w:p>
        </w:tc>
        <w:tc>
          <w:tcPr>
            <w:tcW w:type="dxa" w:w="1650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38/6 years</w:t>
            </w:r>
          </w:p>
        </w:tc>
        <w:tc>
          <w:tcPr>
            <w:tcW w:type="dxa" w:w="1890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75bps SDR equivalent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service charge</w:t>
            </w:r>
          </w:p>
        </w:tc>
        <w:tc>
          <w:tcPr>
            <w:tcW w:type="dxa" w:w="2024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Not applicable</w:t>
            </w:r>
          </w:p>
        </w:tc>
      </w:tr>
      <w:tr>
        <w:trPr>
          <w:trHeight w:hRule="exact" w:val="420"/>
        </w:trPr>
        <w:tc>
          <w:tcPr>
            <w:tcW w:type="dxa" w:w="2250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Regular-Small Economy loan</w:t>
            </w:r>
          </w:p>
        </w:tc>
        <w:tc>
          <w:tcPr>
            <w:tcW w:type="dxa" w:w="1500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SDR, USD, EUR,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GBP, JPY</w:t>
            </w:r>
          </w:p>
        </w:tc>
        <w:tc>
          <w:tcPr>
            <w:tcW w:type="dxa" w:w="1650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40/10 years</w:t>
            </w:r>
          </w:p>
        </w:tc>
        <w:tc>
          <w:tcPr>
            <w:tcW w:type="dxa" w:w="1890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75bps SDR equivalent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service charge</w:t>
            </w:r>
          </w:p>
        </w:tc>
        <w:tc>
          <w:tcPr>
            <w:tcW w:type="dxa" w:w="2024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Not applicable</w:t>
            </w:r>
          </w:p>
        </w:tc>
      </w:tr>
      <w:tr>
        <w:trPr>
          <w:trHeight w:hRule="exact" w:val="420"/>
        </w:trPr>
        <w:tc>
          <w:tcPr>
            <w:tcW w:type="dxa" w:w="2250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Blend-Term loan</w:t>
            </w:r>
          </w:p>
        </w:tc>
        <w:tc>
          <w:tcPr>
            <w:tcW w:type="dxa" w:w="1500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SDR, USD, EUR,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GBP, JPY</w:t>
            </w:r>
          </w:p>
        </w:tc>
        <w:tc>
          <w:tcPr>
            <w:tcW w:type="dxa" w:w="1650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30/5 years</w:t>
            </w:r>
          </w:p>
        </w:tc>
        <w:tc>
          <w:tcPr>
            <w:tcW w:type="dxa" w:w="1890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75bps SDR equivalent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service charge</w:t>
            </w:r>
          </w:p>
        </w:tc>
        <w:tc>
          <w:tcPr>
            <w:tcW w:type="dxa" w:w="2024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144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1.25% SDR equivalent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interest rate</w:t>
            </w:r>
          </w:p>
        </w:tc>
      </w:tr>
      <w:tr>
        <w:trPr>
          <w:trHeight w:hRule="exact" w:val="420"/>
        </w:trPr>
        <w:tc>
          <w:tcPr>
            <w:tcW w:type="dxa" w:w="2250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50-year loan</w:t>
            </w:r>
          </w:p>
        </w:tc>
        <w:tc>
          <w:tcPr>
            <w:tcW w:type="dxa" w:w="1500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SDR, USD, EUR,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GBP, JPY</w:t>
            </w:r>
          </w:p>
        </w:tc>
        <w:tc>
          <w:tcPr>
            <w:tcW w:type="dxa" w:w="1650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50/10 years</w:t>
            </w:r>
          </w:p>
        </w:tc>
        <w:tc>
          <w:tcPr>
            <w:tcW w:type="dxa" w:w="1890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Zero interest and service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charge</w:t>
            </w:r>
          </w:p>
        </w:tc>
        <w:tc>
          <w:tcPr>
            <w:tcW w:type="dxa" w:w="2024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Zero interest and service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charge</w:t>
            </w:r>
          </w:p>
        </w:tc>
      </w:tr>
      <w:tr>
        <w:trPr>
          <w:trHeight w:hRule="exact" w:val="420"/>
        </w:trPr>
        <w:tc>
          <w:tcPr>
            <w:tcW w:type="dxa" w:w="2250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Shorter Maturity Loan (SML)</w:t>
            </w:r>
          </w:p>
        </w:tc>
        <w:tc>
          <w:tcPr>
            <w:tcW w:type="dxa" w:w="1500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SDR, USD, EUR,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GBP, JPY</w:t>
            </w:r>
          </w:p>
        </w:tc>
        <w:tc>
          <w:tcPr>
            <w:tcW w:type="dxa" w:w="1650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12/6 years</w:t>
            </w:r>
          </w:p>
        </w:tc>
        <w:tc>
          <w:tcPr>
            <w:tcW w:type="dxa" w:w="1890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Zero interest and service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charge</w:t>
            </w:r>
          </w:p>
        </w:tc>
        <w:tc>
          <w:tcPr>
            <w:tcW w:type="dxa" w:w="2024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Zero interest and service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charge</w:t>
            </w:r>
          </w:p>
        </w:tc>
      </w:tr>
      <w:tr>
        <w:trPr>
          <w:trHeight w:hRule="exact" w:val="780"/>
        </w:trPr>
        <w:tc>
          <w:tcPr>
            <w:tcW w:type="dxa" w:w="2250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288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Non-concessional loans -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Scale-up Window (SUW)</w:t>
            </w:r>
          </w:p>
        </w:tc>
        <w:tc>
          <w:tcPr>
            <w:tcW w:type="dxa" w:w="1500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USD, EUR, GBP,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JPY</w:t>
            </w:r>
          </w:p>
        </w:tc>
        <w:tc>
          <w:tcPr>
            <w:tcW w:type="dxa" w:w="1650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Up to 35 years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maximum; up to 20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years average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maturity</w:t>
            </w:r>
          </w:p>
        </w:tc>
        <w:tc>
          <w:tcPr>
            <w:tcW w:type="dxa" w:w="1890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25 bps one-time front-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end fee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25 bps commitment fee</w:t>
            </w:r>
          </w:p>
        </w:tc>
        <w:tc>
          <w:tcPr>
            <w:tcW w:type="dxa" w:w="2024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288" w:right="144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IBRD Flexible Loan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terms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b</w:t>
            </w:r>
          </w:p>
        </w:tc>
      </w:tr>
      <w:tr>
        <w:trPr>
          <w:trHeight w:hRule="exact" w:val="1454"/>
        </w:trPr>
        <w:tc>
          <w:tcPr>
            <w:tcW w:type="dxa" w:w="2250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42" w:right="14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Catastrophe Deferred Draw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Down Option (CAT DDO)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c</w:t>
            </w:r>
          </w:p>
        </w:tc>
        <w:tc>
          <w:tcPr>
            <w:tcW w:type="dxa" w:w="1500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SDR, USD, EUR,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GBP, JPY</w:t>
            </w:r>
          </w:p>
        </w:tc>
        <w:tc>
          <w:tcPr>
            <w:tcW w:type="dxa" w:w="5564"/>
            <w:gridSpan w:val="3"/>
            <w:tcBorders>
              <w:start w:sz="8.0" w:val="single" w:color="#7F7F7F"/>
              <w:top w:sz="8.0" w:val="single" w:color="#7F7F7F"/>
              <w:end w:sz="8.0" w:val="single" w:color="#7F7F7F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0" w:after="0"/>
              <w:ind w:left="42" w:right="0" w:firstLine="0"/>
              <w:jc w:val="both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Before Drawdown: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Front end fee and renewal fee are set at 0.5% and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0.25% respectively under SUW option, and at 0% under PBA or Undisbursed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balances option.</w:t>
            </w:r>
          </w:p>
          <w:p>
            <w:pPr>
              <w:autoSpaceDN w:val="0"/>
              <w:autoSpaceDE w:val="0"/>
              <w:widowControl/>
              <w:spacing w:line="192" w:lineRule="exact" w:before="60" w:after="0"/>
              <w:ind w:left="4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After Drawdown: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-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Under PBA or Undisbursed balances option - IDA concessional rates would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apply.</w:t>
            </w:r>
          </w:p>
          <w:p>
            <w:pPr>
              <w:autoSpaceDN w:val="0"/>
              <w:autoSpaceDE w:val="0"/>
              <w:widowControl/>
              <w:spacing w:line="178" w:lineRule="exact" w:before="14" w:after="0"/>
              <w:ind w:left="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- Under SUW option - non-concessional rates would apply.</w:t>
            </w:r>
          </w:p>
        </w:tc>
      </w:tr>
    </w:tbl>
    <w:p>
      <w:pPr>
        <w:autoSpaceDN w:val="0"/>
        <w:autoSpaceDE w:val="0"/>
        <w:widowControl/>
        <w:spacing w:line="192" w:lineRule="exact" w:before="2" w:after="0"/>
        <w:ind w:left="242" w:right="288" w:hanging="18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a. Prior to July 1, 2017, IDA offered Hard-Term loans to Blend Countries (excluding Small Island Economies). They had a single </w:t>
      </w:r>
      <w:r>
        <w:rPr>
          <w:rFonts w:ascii="Arial" w:hAnsi="Arial" w:eastAsia="Arial"/>
          <w:b w:val="0"/>
          <w:i/>
          <w:color w:val="000000"/>
          <w:sz w:val="16"/>
        </w:rPr>
        <w:t xml:space="preserve">currency option, and had terms equivalent to IBRD’s fixed spread loans, less 200 bps, a variable option was also available. </w:t>
      </w:r>
      <w:r>
        <w:rPr>
          <w:rFonts w:ascii="Arial" w:hAnsi="Arial" w:eastAsia="Arial"/>
          <w:b w:val="0"/>
          <w:i/>
          <w:color w:val="000000"/>
          <w:sz w:val="16"/>
        </w:rPr>
        <w:t>Hard-term loans are no longer offered.</w:t>
      </w:r>
    </w:p>
    <w:p>
      <w:pPr>
        <w:autoSpaceDN w:val="0"/>
        <w:autoSpaceDE w:val="0"/>
        <w:widowControl/>
        <w:spacing w:line="178" w:lineRule="exact" w:before="38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b. There is an implicit floor of zero on the overall interest rate in IDA’s non-concessional loans.</w:t>
      </w:r>
    </w:p>
    <w:p>
      <w:pPr>
        <w:autoSpaceDN w:val="0"/>
        <w:tabs>
          <w:tab w:pos="242" w:val="left"/>
        </w:tabs>
        <w:autoSpaceDE w:val="0"/>
        <w:widowControl/>
        <w:spacing w:line="192" w:lineRule="exact" w:before="48" w:after="0"/>
        <w:ind w:left="62" w:right="288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c. The volume of committed and undisbursed CAT DDOs financed by IDA is limited to 0.5 percent of the country’s GDP or USD </w:t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>250 million, whichever is lower. The CAT DDO may be renewed once, for a maximum of six years in total.</w:t>
      </w:r>
    </w:p>
    <w:p>
      <w:pPr>
        <w:autoSpaceDN w:val="0"/>
        <w:autoSpaceDE w:val="0"/>
        <w:widowControl/>
        <w:spacing w:line="244" w:lineRule="exact" w:before="182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Charges on Loans and Grants</w:t>
      </w:r>
    </w:p>
    <w:p>
      <w:pPr>
        <w:autoSpaceDN w:val="0"/>
        <w:autoSpaceDE w:val="0"/>
        <w:widowControl/>
        <w:spacing w:line="240" w:lineRule="exact" w:before="130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Service charges and interest income earned on IDA’s loans are reported as Interest revenue on loans, net in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Statements of Income. Commitment charges earned on loans and grants, if any, are reported as non-interest revenue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in the Statements of Income.</w:t>
      </w:r>
    </w:p>
    <w:p>
      <w:pPr>
        <w:autoSpaceDN w:val="0"/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Service Charge: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 A service charge is levied on the principal amount disbursed and outstanding on all Regular, Small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Economy, and Blend term loans, regardless of repayment terms, at 0.75% per annum.</w:t>
      </w:r>
    </w:p>
    <w:p>
      <w:pPr>
        <w:autoSpaceDN w:val="0"/>
        <w:autoSpaceDE w:val="0"/>
        <w:widowControl/>
        <w:spacing w:line="240" w:lineRule="exact" w:before="120" w:after="0"/>
        <w:ind w:left="10" w:right="22" w:firstLine="0"/>
        <w:jc w:val="both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Interest: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 Interest is charged on all loans subject to blend terms, hard-term loans, and non-concessional loans.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Further, loans offered under non-concessional terms are available at variable interest rates on IBRD terms. All other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rates are fixed, see Table 14.</w:t>
      </w:r>
    </w:p>
    <w:p>
      <w:pPr>
        <w:autoSpaceDN w:val="0"/>
        <w:autoSpaceDE w:val="0"/>
        <w:widowControl/>
        <w:spacing w:line="240" w:lineRule="exact" w:before="120" w:after="524"/>
        <w:ind w:left="10" w:right="20" w:firstLine="0"/>
        <w:jc w:val="both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 xml:space="preserve">Commitment Charge: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 commitment charge, which is payable on any undisbursed loan or grant amount, is set by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Board at the beginning of each fiscal year. Commitment charges are set at a level to ensure that net loan revenue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covers IDA's administrative expenses over the medium term. From FY09 to FY23, the commitment charge on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30.0" w:type="dxa"/>
      </w:tblPr>
      <w:tblGrid>
        <w:gridCol w:w="4720"/>
        <w:gridCol w:w="4720"/>
      </w:tblGrid>
      <w:tr>
        <w:trPr>
          <w:trHeight w:hRule="exact" w:val="264"/>
        </w:trPr>
        <w:tc>
          <w:tcPr>
            <w:tcW w:type="dxa" w:w="7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60" w:after="0"/>
              <w:ind w:left="166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IDA Management's Discussion and Analysis:  June 30, 2024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60" w:after="0"/>
              <w:ind w:left="0" w:right="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27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60" w:right="1370" w:bottom="424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20"/>
        <w:gridCol w:w="4720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V: Development Activities, Products and Programs</w:t>
            </w:r>
          </w:p>
        </w:tc>
      </w:tr>
    </w:tbl>
    <w:p>
      <w:pPr>
        <w:autoSpaceDN w:val="0"/>
        <w:autoSpaceDE w:val="0"/>
        <w:widowControl/>
        <w:spacing w:line="240" w:lineRule="exact" w:before="378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undisbursed concessional loans had been set at zero, and for grants it had been set at zero from FY03 to FY23. For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FY24, commitment charges on concessional loans remain at zero. The commitment charge on non-concessional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loans is aligned to IBRD terms, which is 0.25% per annum. </w:t>
      </w:r>
    </w:p>
    <w:p>
      <w:pPr>
        <w:autoSpaceDN w:val="0"/>
        <w:autoSpaceDE w:val="0"/>
        <w:widowControl/>
        <w:spacing w:line="244" w:lineRule="exact" w:before="130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Repayment Terms</w:t>
      </w:r>
    </w:p>
    <w:p>
      <w:pPr>
        <w:autoSpaceDN w:val="0"/>
        <w:autoSpaceDE w:val="0"/>
        <w:widowControl/>
        <w:spacing w:line="240" w:lineRule="exact" w:before="7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IDA’s lending terms recognize the variation in economic development of broad categories of IDA recipients. Since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1987, the legal agreements of regular, blend and hard-term loans include an accelerated repayment clause to double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principal repayments of the loan if the borrower’s GNI per capita exceeds a specific threshold and the borrower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is eligible for IBRD financing. Implementation is subject to negotiation with the borrower and approval by IDA’s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Board after considering a borrower’s economic development. The borrower can further negotiate either to (a)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shorten the loan’s maturity (principal option), (b) pay interest at a rate that would result in the same net present value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(interest option), or a combination of the two options. 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of June 30, 2024, $24.3 billion of qualifying loans outstanding from 15 borrowers that have graduated from IDA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since the introduction of the accelerated repayment clause have accelerated repayment terms. Of these 15 borrowers,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9 borrowers selected the principal option, 5 borrowers selected the interest option, and 1 borrower selected 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combination of the two options.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accelerated repayment clauses in all of these legal agreements also allow a borrower to subsequently request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pausing of those accelerated terms or cancellation if economic conditions in the borrower’s country have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deteriorated, in which case, the terms of repayment can revert to the original terms of the financing agreements. As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repayment accelerations, pausing of accelerations, and cancellation are contemplated in the original terms of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instruments, they do not constitute loan modifications.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has started offering climate resilient debt clauses (CRDCs) in some of its new and existing loans (with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minimum remaining maturity of five years), for certain borrowers</w:t>
      </w:r>
      <w:r>
        <w:rPr>
          <w:rFonts w:ascii="TimesNewRoman" w:hAnsi="TimesNewRoman" w:eastAsia="TimesNewRoman"/>
          <w:b w:val="0"/>
          <w:i w:val="0"/>
          <w:color w:val="000000"/>
          <w:sz w:val="13"/>
        </w:rPr>
        <w:t>4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. CRDCs allow eligible borrowing countries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defer payments of principal, interest, or charges for up to two years after a qualifying natural disaster. After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deferral period, the borrower will restart payments of the deferred amounts according to a modified amortization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schedule that maintains the  average weighted maturity of the loan, and does not extend the final maturity date of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loan.</w:t>
      </w:r>
    </w:p>
    <w:p>
      <w:pPr>
        <w:autoSpaceDN w:val="0"/>
        <w:autoSpaceDE w:val="0"/>
        <w:widowControl/>
        <w:spacing w:line="268" w:lineRule="exact" w:before="256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Loans, Grants and Guarantee Activity</w:t>
      </w:r>
    </w:p>
    <w:p>
      <w:pPr>
        <w:autoSpaceDN w:val="0"/>
        <w:autoSpaceDE w:val="0"/>
        <w:widowControl/>
        <w:spacing w:line="244" w:lineRule="exact" w:before="134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Commitments</w:t>
      </w:r>
    </w:p>
    <w:p>
      <w:pPr>
        <w:autoSpaceDN w:val="0"/>
        <w:autoSpaceDE w:val="0"/>
        <w:widowControl/>
        <w:spacing w:line="240" w:lineRule="exact" w:before="7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FY24 net loan commitments were $23.1 billion, a decrease of $3.9 billion or 14% over FY23 ($27.0 billion). There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were no new guarantee commitments in either FY24 or FY23 (Table 15). Also, see Section VI: Other Development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Activities and Programs.</w:t>
      </w:r>
    </w:p>
    <w:p>
      <w:pPr>
        <w:autoSpaceDN w:val="0"/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FY24 net commitments of grants were $8.1 billion, an increase of $0.8 billion compared to FY23 ($7.3 billion)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(Table 16). .</w:t>
      </w:r>
    </w:p>
    <w:p>
      <w:pPr>
        <w:autoSpaceDN w:val="0"/>
        <w:autoSpaceDE w:val="0"/>
        <w:widowControl/>
        <w:spacing w:line="178" w:lineRule="exact" w:before="150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Table 15: Net Commitments of Loans and Guarantees by Region</w:t>
      </w:r>
    </w:p>
    <w:p>
      <w:pPr>
        <w:autoSpaceDN w:val="0"/>
        <w:autoSpaceDE w:val="0"/>
        <w:widowControl/>
        <w:spacing w:line="178" w:lineRule="exact" w:before="74" w:after="70"/>
        <w:ind w:left="1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272"/>
        </w:trPr>
        <w:tc>
          <w:tcPr>
            <w:tcW w:type="dxa" w:w="450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For the fiscal year ended June 30,</w:t>
            </w:r>
          </w:p>
        </w:tc>
        <w:tc>
          <w:tcPr>
            <w:tcW w:type="dxa" w:w="27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0" w:right="6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2024</w:t>
            </w:r>
          </w:p>
        </w:tc>
        <w:tc>
          <w:tcPr>
            <w:tcW w:type="dxa" w:w="90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1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% of total</w:t>
            </w:r>
          </w:p>
        </w:tc>
        <w:tc>
          <w:tcPr>
            <w:tcW w:type="dxa" w:w="41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6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2023</w:t>
            </w:r>
          </w:p>
        </w:tc>
        <w:tc>
          <w:tcPr>
            <w:tcW w:type="dxa" w:w="90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17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% of total</w:t>
            </w:r>
          </w:p>
        </w:tc>
        <w:tc>
          <w:tcPr>
            <w:tcW w:type="dxa" w:w="344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Variance</w:t>
            </w:r>
          </w:p>
        </w:tc>
      </w:tr>
      <w:tr>
        <w:trPr>
          <w:trHeight w:hRule="exact" w:val="240"/>
        </w:trPr>
        <w:tc>
          <w:tcPr>
            <w:tcW w:type="dxa" w:w="4500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Eastern and Southern Africa</w:t>
            </w:r>
          </w:p>
        </w:tc>
        <w:tc>
          <w:tcPr>
            <w:tcW w:type="dxa" w:w="270"/>
            <w:vMerge w:val="restart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50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7,119 </w:t>
            </w:r>
          </w:p>
        </w:tc>
        <w:tc>
          <w:tcPr>
            <w:tcW w:type="dxa" w:w="900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31 %</w:t>
            </w:r>
          </w:p>
        </w:tc>
        <w:tc>
          <w:tcPr>
            <w:tcW w:type="dxa" w:w="410"/>
            <w:vMerge w:val="restart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7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56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9,661 </w:t>
            </w:r>
          </w:p>
        </w:tc>
        <w:tc>
          <w:tcPr>
            <w:tcW w:type="dxa" w:w="900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36 %</w:t>
            </w:r>
          </w:p>
        </w:tc>
        <w:tc>
          <w:tcPr>
            <w:tcW w:type="dxa" w:w="344"/>
            <w:vMerge w:val="restart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20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(2,542) </w:t>
            </w:r>
          </w:p>
        </w:tc>
      </w:tr>
      <w:tr>
        <w:trPr>
          <w:trHeight w:hRule="exact" w:val="240"/>
        </w:trPr>
        <w:tc>
          <w:tcPr>
            <w:tcW w:type="dxa" w:w="4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Western and Central Africa</w:t>
            </w:r>
          </w:p>
        </w:tc>
        <w:tc>
          <w:tcPr>
            <w:tcW w:type="dxa" w:w="1049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6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7,777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34 %</w:t>
            </w:r>
          </w:p>
        </w:tc>
        <w:tc>
          <w:tcPr>
            <w:tcW w:type="dxa" w:w="1049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9,790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36 %</w:t>
            </w:r>
          </w:p>
        </w:tc>
        <w:tc>
          <w:tcPr>
            <w:tcW w:type="dxa" w:w="1049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(2,013) </w:t>
            </w:r>
          </w:p>
        </w:tc>
      </w:tr>
      <w:tr>
        <w:trPr>
          <w:trHeight w:hRule="exact" w:val="240"/>
        </w:trPr>
        <w:tc>
          <w:tcPr>
            <w:tcW w:type="dxa" w:w="4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East Asia and Pacific</w:t>
            </w:r>
          </w:p>
        </w:tc>
        <w:tc>
          <w:tcPr>
            <w:tcW w:type="dxa" w:w="1049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6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1,056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5 %</w:t>
            </w:r>
          </w:p>
        </w:tc>
        <w:tc>
          <w:tcPr>
            <w:tcW w:type="dxa" w:w="1049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826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3 %</w:t>
            </w:r>
          </w:p>
        </w:tc>
        <w:tc>
          <w:tcPr>
            <w:tcW w:type="dxa" w:w="1049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230 </w:t>
            </w:r>
          </w:p>
        </w:tc>
      </w:tr>
      <w:tr>
        <w:trPr>
          <w:trHeight w:hRule="exact" w:val="240"/>
        </w:trPr>
        <w:tc>
          <w:tcPr>
            <w:tcW w:type="dxa" w:w="4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Europe and Central Asia</w:t>
            </w:r>
          </w:p>
        </w:tc>
        <w:tc>
          <w:tcPr>
            <w:tcW w:type="dxa" w:w="1049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6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989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4 %</w:t>
            </w:r>
          </w:p>
        </w:tc>
        <w:tc>
          <w:tcPr>
            <w:tcW w:type="dxa" w:w="1049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898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4 %</w:t>
            </w:r>
          </w:p>
        </w:tc>
        <w:tc>
          <w:tcPr>
            <w:tcW w:type="dxa" w:w="1049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91 </w:t>
            </w:r>
          </w:p>
        </w:tc>
      </w:tr>
      <w:tr>
        <w:trPr>
          <w:trHeight w:hRule="exact" w:val="240"/>
        </w:trPr>
        <w:tc>
          <w:tcPr>
            <w:tcW w:type="dxa" w:w="4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Latin America and the Caribbean</w:t>
            </w:r>
          </w:p>
        </w:tc>
        <w:tc>
          <w:tcPr>
            <w:tcW w:type="dxa" w:w="1049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6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251 </w:t>
            </w:r>
          </w:p>
        </w:tc>
        <w:tc>
          <w:tcPr>
            <w:tcW w:type="dxa" w:w="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1%</w:t>
            </w:r>
          </w:p>
        </w:tc>
        <w:tc>
          <w:tcPr>
            <w:tcW w:type="dxa" w:w="1049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51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*</w:t>
            </w:r>
          </w:p>
        </w:tc>
        <w:tc>
          <w:tcPr>
            <w:tcW w:type="dxa" w:w="1049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200 </w:t>
            </w:r>
          </w:p>
        </w:tc>
      </w:tr>
      <w:tr>
        <w:trPr>
          <w:trHeight w:hRule="exact" w:val="240"/>
        </w:trPr>
        <w:tc>
          <w:tcPr>
            <w:tcW w:type="dxa" w:w="4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Middle East and North Africa</w:t>
            </w:r>
          </w:p>
        </w:tc>
        <w:tc>
          <w:tcPr>
            <w:tcW w:type="dxa" w:w="1049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6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40 </w:t>
            </w:r>
          </w:p>
        </w:tc>
        <w:tc>
          <w:tcPr>
            <w:tcW w:type="dxa" w:w="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*</w:t>
            </w:r>
          </w:p>
        </w:tc>
        <w:tc>
          <w:tcPr>
            <w:tcW w:type="dxa" w:w="1049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15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*</w:t>
            </w:r>
          </w:p>
        </w:tc>
        <w:tc>
          <w:tcPr>
            <w:tcW w:type="dxa" w:w="1049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25 </w:t>
            </w:r>
          </w:p>
        </w:tc>
      </w:tr>
      <w:tr>
        <w:trPr>
          <w:trHeight w:hRule="exact" w:val="240"/>
        </w:trPr>
        <w:tc>
          <w:tcPr>
            <w:tcW w:type="dxa" w:w="450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South Asia</w:t>
            </w:r>
          </w:p>
        </w:tc>
        <w:tc>
          <w:tcPr>
            <w:tcW w:type="dxa" w:w="1049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65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5,862 </w:t>
            </w:r>
          </w:p>
        </w:tc>
        <w:tc>
          <w:tcPr>
            <w:tcW w:type="dxa" w:w="90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25 %</w:t>
            </w:r>
          </w:p>
        </w:tc>
        <w:tc>
          <w:tcPr>
            <w:tcW w:type="dxa" w:w="1049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656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5,720 </w:t>
            </w:r>
          </w:p>
        </w:tc>
        <w:tc>
          <w:tcPr>
            <w:tcW w:type="dxa" w:w="90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21 %</w:t>
            </w:r>
          </w:p>
        </w:tc>
        <w:tc>
          <w:tcPr>
            <w:tcW w:type="dxa" w:w="1049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72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142 </w:t>
            </w:r>
          </w:p>
        </w:tc>
      </w:tr>
      <w:tr>
        <w:trPr>
          <w:trHeight w:hRule="exact" w:val="220"/>
        </w:trPr>
        <w:tc>
          <w:tcPr>
            <w:tcW w:type="dxa" w:w="450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27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5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23,094 </w:t>
            </w:r>
          </w:p>
        </w:tc>
        <w:tc>
          <w:tcPr>
            <w:tcW w:type="dxa" w:w="90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6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 100 %</w:t>
            </w:r>
          </w:p>
        </w:tc>
        <w:tc>
          <w:tcPr>
            <w:tcW w:type="dxa" w:w="41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7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56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26,961 </w:t>
            </w:r>
          </w:p>
        </w:tc>
        <w:tc>
          <w:tcPr>
            <w:tcW w:type="dxa" w:w="90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6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 100 %</w:t>
            </w:r>
          </w:p>
        </w:tc>
        <w:tc>
          <w:tcPr>
            <w:tcW w:type="dxa" w:w="344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2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(3,867) </w:t>
            </w:r>
          </w:p>
        </w:tc>
      </w:tr>
      <w:tr>
        <w:trPr>
          <w:trHeight w:hRule="exact" w:val="260"/>
        </w:trPr>
        <w:tc>
          <w:tcPr>
            <w:tcW w:type="dxa" w:w="450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7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0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56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0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44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78" w:lineRule="exact" w:before="72" w:after="0"/>
        <w:ind w:left="1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* indicates percentage less than 0.5%.</w:t>
      </w:r>
    </w:p>
    <w:p>
      <w:pPr>
        <w:autoSpaceDN w:val="0"/>
        <w:autoSpaceDE w:val="0"/>
        <w:widowControl/>
        <w:spacing w:line="168" w:lineRule="exact" w:before="218" w:after="0"/>
        <w:ind w:left="10" w:right="0" w:firstLine="0"/>
        <w:jc w:val="left"/>
      </w:pPr>
      <w:r>
        <w:rPr>
          <w:w w:val="101.11111534966363"/>
          <w:rFonts w:ascii="Arial" w:hAnsi="Arial" w:eastAsia="Arial"/>
          <w:b w:val="0"/>
          <w:i/>
          <w:color w:val="000000"/>
          <w:sz w:val="9"/>
        </w:rPr>
        <w:t>4</w:t>
      </w:r>
      <w:r>
        <w:rPr>
          <w:rFonts w:ascii="Arial" w:hAnsi="Arial" w:eastAsia="Arial"/>
          <w:b w:val="0"/>
          <w:i/>
          <w:color w:val="000000"/>
          <w:sz w:val="14"/>
        </w:rPr>
        <w:t xml:space="preserve"> Eligible borrowers are IDA Small State Economies, members of the Small States Forum, and Small Island Developing States as defined by the United </w:t>
      </w:r>
      <w:r>
        <w:rPr>
          <w:rFonts w:ascii="Arial" w:hAnsi="Arial" w:eastAsia="Arial"/>
          <w:b w:val="0"/>
          <w:i/>
          <w:color w:val="000000"/>
          <w:sz w:val="14"/>
        </w:rPr>
        <w:t>Nations.</w:t>
      </w:r>
    </w:p>
    <w:p>
      <w:pPr>
        <w:autoSpaceDN w:val="0"/>
        <w:tabs>
          <w:tab w:pos="662" w:val="left"/>
        </w:tabs>
        <w:autoSpaceDE w:val="0"/>
        <w:widowControl/>
        <w:spacing w:line="224" w:lineRule="exact" w:before="402" w:after="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Management's Discussion and Analysis:  June 30, 2024</w:t>
      </w:r>
    </w:p>
    <w:p>
      <w:pPr>
        <w:sectPr>
          <w:pgSz w:w="12240" w:h="15840"/>
          <w:pgMar w:top="360" w:right="1370" w:bottom="424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697"/>
        <w:gridCol w:w="4697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V: Development Activities, Products and Programs</w:t>
            </w:r>
          </w:p>
        </w:tc>
      </w:tr>
    </w:tbl>
    <w:p>
      <w:pPr>
        <w:autoSpaceDN w:val="0"/>
        <w:autoSpaceDE w:val="0"/>
        <w:widowControl/>
        <w:spacing w:line="178" w:lineRule="exact" w:before="408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Table 16: Net Commitments of Grants by Region</w:t>
      </w:r>
    </w:p>
    <w:p>
      <w:pPr>
        <w:autoSpaceDN w:val="0"/>
        <w:autoSpaceDE w:val="0"/>
        <w:widowControl/>
        <w:spacing w:line="178" w:lineRule="exact" w:before="14" w:after="70"/>
        <w:ind w:left="1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44"/>
        <w:gridCol w:w="1044"/>
        <w:gridCol w:w="1044"/>
        <w:gridCol w:w="1044"/>
        <w:gridCol w:w="1044"/>
        <w:gridCol w:w="1044"/>
        <w:gridCol w:w="1044"/>
        <w:gridCol w:w="1044"/>
        <w:gridCol w:w="1044"/>
      </w:tblGrid>
      <w:tr>
        <w:trPr>
          <w:trHeight w:hRule="exact" w:val="272"/>
        </w:trPr>
        <w:tc>
          <w:tcPr>
            <w:tcW w:type="dxa" w:w="450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For the fiscal year ended June 30,</w:t>
            </w:r>
          </w:p>
        </w:tc>
        <w:tc>
          <w:tcPr>
            <w:tcW w:type="dxa" w:w="31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1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0" w:right="6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2024</w:t>
            </w:r>
          </w:p>
        </w:tc>
        <w:tc>
          <w:tcPr>
            <w:tcW w:type="dxa" w:w="90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1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% of total</w:t>
            </w:r>
          </w:p>
        </w:tc>
        <w:tc>
          <w:tcPr>
            <w:tcW w:type="dxa" w:w="45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16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2023</w:t>
            </w:r>
          </w:p>
        </w:tc>
        <w:tc>
          <w:tcPr>
            <w:tcW w:type="dxa" w:w="90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17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% of total</w:t>
            </w:r>
          </w:p>
        </w:tc>
        <w:tc>
          <w:tcPr>
            <w:tcW w:type="dxa" w:w="344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Variance</w:t>
            </w:r>
          </w:p>
        </w:tc>
      </w:tr>
      <w:tr>
        <w:trPr>
          <w:trHeight w:hRule="exact" w:val="236"/>
        </w:trPr>
        <w:tc>
          <w:tcPr>
            <w:tcW w:type="dxa" w:w="4500"/>
            <w:tcBorders>
              <w:top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Eastern and Southern Africa</w:t>
            </w:r>
          </w:p>
        </w:tc>
        <w:tc>
          <w:tcPr>
            <w:tcW w:type="dxa" w:w="310"/>
            <w:vMerge w:val="restart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10"/>
            <w:tcBorders>
              <w:top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5,616 </w:t>
            </w:r>
          </w:p>
        </w:tc>
        <w:tc>
          <w:tcPr>
            <w:tcW w:type="dxa" w:w="900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69 %</w:t>
            </w:r>
          </w:p>
        </w:tc>
        <w:tc>
          <w:tcPr>
            <w:tcW w:type="dxa" w:w="450"/>
            <w:vMerge w:val="restart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16"/>
            <w:tcBorders>
              <w:top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4,707 </w:t>
            </w:r>
          </w:p>
        </w:tc>
        <w:tc>
          <w:tcPr>
            <w:tcW w:type="dxa" w:w="900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64 %</w:t>
            </w:r>
          </w:p>
        </w:tc>
        <w:tc>
          <w:tcPr>
            <w:tcW w:type="dxa" w:w="344"/>
            <w:vMerge w:val="restart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20"/>
            <w:tcBorders>
              <w:top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909 </w:t>
            </w:r>
          </w:p>
        </w:tc>
      </w:tr>
      <w:tr>
        <w:trPr>
          <w:trHeight w:hRule="exact" w:val="240"/>
        </w:trPr>
        <w:tc>
          <w:tcPr>
            <w:tcW w:type="dxa" w:w="45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Western and Central Africa</w:t>
            </w:r>
          </w:p>
        </w:tc>
        <w:tc>
          <w:tcPr>
            <w:tcW w:type="dxa" w:w="1044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61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1,497 </w:t>
            </w:r>
          </w:p>
        </w:tc>
        <w:tc>
          <w:tcPr>
            <w:tcW w:type="dxa" w:w="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19 %</w:t>
            </w:r>
          </w:p>
        </w:tc>
        <w:tc>
          <w:tcPr>
            <w:tcW w:type="dxa" w:w="1044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61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1,600 </w:t>
            </w:r>
          </w:p>
        </w:tc>
        <w:tc>
          <w:tcPr>
            <w:tcW w:type="dxa" w:w="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22 %</w:t>
            </w:r>
          </w:p>
        </w:tc>
        <w:tc>
          <w:tcPr>
            <w:tcW w:type="dxa" w:w="1044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7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(103) </w:t>
            </w:r>
          </w:p>
        </w:tc>
      </w:tr>
      <w:tr>
        <w:trPr>
          <w:trHeight w:hRule="exact" w:val="240"/>
        </w:trPr>
        <w:tc>
          <w:tcPr>
            <w:tcW w:type="dxa" w:w="45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East Asia and Pacific</w:t>
            </w:r>
          </w:p>
        </w:tc>
        <w:tc>
          <w:tcPr>
            <w:tcW w:type="dxa" w:w="1044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61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182 </w:t>
            </w:r>
          </w:p>
        </w:tc>
        <w:tc>
          <w:tcPr>
            <w:tcW w:type="dxa" w:w="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2 %</w:t>
            </w:r>
          </w:p>
        </w:tc>
        <w:tc>
          <w:tcPr>
            <w:tcW w:type="dxa" w:w="1044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61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51 </w:t>
            </w:r>
          </w:p>
        </w:tc>
        <w:tc>
          <w:tcPr>
            <w:tcW w:type="dxa" w:w="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1 %</w:t>
            </w:r>
          </w:p>
        </w:tc>
        <w:tc>
          <w:tcPr>
            <w:tcW w:type="dxa" w:w="1044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7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131 </w:t>
            </w:r>
          </w:p>
        </w:tc>
      </w:tr>
      <w:tr>
        <w:trPr>
          <w:trHeight w:hRule="exact" w:val="240"/>
        </w:trPr>
        <w:tc>
          <w:tcPr>
            <w:tcW w:type="dxa" w:w="45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Europe and Central Asia</w:t>
            </w:r>
          </w:p>
        </w:tc>
        <w:tc>
          <w:tcPr>
            <w:tcW w:type="dxa" w:w="1044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61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111 </w:t>
            </w:r>
          </w:p>
        </w:tc>
        <w:tc>
          <w:tcPr>
            <w:tcW w:type="dxa" w:w="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1 %</w:t>
            </w:r>
          </w:p>
        </w:tc>
        <w:tc>
          <w:tcPr>
            <w:tcW w:type="dxa" w:w="1044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61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200 </w:t>
            </w:r>
          </w:p>
        </w:tc>
        <w:tc>
          <w:tcPr>
            <w:tcW w:type="dxa" w:w="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3 %</w:t>
            </w:r>
          </w:p>
        </w:tc>
        <w:tc>
          <w:tcPr>
            <w:tcW w:type="dxa" w:w="1044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7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(89) </w:t>
            </w:r>
          </w:p>
        </w:tc>
      </w:tr>
      <w:tr>
        <w:trPr>
          <w:trHeight w:hRule="exact" w:val="240"/>
        </w:trPr>
        <w:tc>
          <w:tcPr>
            <w:tcW w:type="dxa" w:w="45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Latin America and the Caribbean</w:t>
            </w:r>
          </w:p>
        </w:tc>
        <w:tc>
          <w:tcPr>
            <w:tcW w:type="dxa" w:w="1044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61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18 </w:t>
            </w:r>
          </w:p>
        </w:tc>
        <w:tc>
          <w:tcPr>
            <w:tcW w:type="dxa" w:w="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*</w:t>
            </w:r>
          </w:p>
        </w:tc>
        <w:tc>
          <w:tcPr>
            <w:tcW w:type="dxa" w:w="1044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61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130 </w:t>
            </w:r>
          </w:p>
        </w:tc>
        <w:tc>
          <w:tcPr>
            <w:tcW w:type="dxa" w:w="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2 %</w:t>
            </w:r>
          </w:p>
        </w:tc>
        <w:tc>
          <w:tcPr>
            <w:tcW w:type="dxa" w:w="1044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7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(112) </w:t>
            </w:r>
          </w:p>
        </w:tc>
      </w:tr>
      <w:tr>
        <w:trPr>
          <w:trHeight w:hRule="exact" w:val="240"/>
        </w:trPr>
        <w:tc>
          <w:tcPr>
            <w:tcW w:type="dxa" w:w="45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Middle East and North Africa</w:t>
            </w:r>
          </w:p>
        </w:tc>
        <w:tc>
          <w:tcPr>
            <w:tcW w:type="dxa" w:w="1044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61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300 </w:t>
            </w:r>
          </w:p>
        </w:tc>
        <w:tc>
          <w:tcPr>
            <w:tcW w:type="dxa" w:w="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4 %</w:t>
            </w:r>
          </w:p>
        </w:tc>
        <w:tc>
          <w:tcPr>
            <w:tcW w:type="dxa" w:w="1044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61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546 </w:t>
            </w:r>
          </w:p>
        </w:tc>
        <w:tc>
          <w:tcPr>
            <w:tcW w:type="dxa" w:w="9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7 %</w:t>
            </w:r>
          </w:p>
        </w:tc>
        <w:tc>
          <w:tcPr>
            <w:tcW w:type="dxa" w:w="1044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7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(246) </w:t>
            </w:r>
          </w:p>
        </w:tc>
      </w:tr>
      <w:tr>
        <w:trPr>
          <w:trHeight w:hRule="exact" w:val="244"/>
        </w:trPr>
        <w:tc>
          <w:tcPr>
            <w:tcW w:type="dxa" w:w="4500"/>
            <w:tcBorders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South Asia</w:t>
            </w:r>
          </w:p>
        </w:tc>
        <w:tc>
          <w:tcPr>
            <w:tcW w:type="dxa" w:w="1044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610"/>
            <w:tcBorders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377 </w:t>
            </w:r>
          </w:p>
        </w:tc>
        <w:tc>
          <w:tcPr>
            <w:tcW w:type="dxa" w:w="900"/>
            <w:tcBorders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5 %</w:t>
            </w:r>
          </w:p>
        </w:tc>
        <w:tc>
          <w:tcPr>
            <w:tcW w:type="dxa" w:w="1044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616"/>
            <w:tcBorders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50 </w:t>
            </w:r>
          </w:p>
        </w:tc>
        <w:tc>
          <w:tcPr>
            <w:tcW w:type="dxa" w:w="900"/>
            <w:tcBorders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1 %</w:t>
            </w:r>
          </w:p>
        </w:tc>
        <w:tc>
          <w:tcPr>
            <w:tcW w:type="dxa" w:w="1044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720"/>
            <w:tcBorders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327 </w:t>
            </w:r>
          </w:p>
        </w:tc>
      </w:tr>
      <w:tr>
        <w:trPr>
          <w:trHeight w:hRule="exact" w:val="220"/>
        </w:trPr>
        <w:tc>
          <w:tcPr>
            <w:tcW w:type="dxa" w:w="4500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31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1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8,101 </w:t>
            </w:r>
          </w:p>
        </w:tc>
        <w:tc>
          <w:tcPr>
            <w:tcW w:type="dxa" w:w="90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6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 100 %</w:t>
            </w:r>
          </w:p>
        </w:tc>
        <w:tc>
          <w:tcPr>
            <w:tcW w:type="dxa" w:w="45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1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16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3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7,284 </w:t>
            </w:r>
          </w:p>
        </w:tc>
        <w:tc>
          <w:tcPr>
            <w:tcW w:type="dxa" w:w="90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6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 100 %</w:t>
            </w:r>
          </w:p>
        </w:tc>
        <w:tc>
          <w:tcPr>
            <w:tcW w:type="dxa" w:w="344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2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817 </w:t>
            </w:r>
          </w:p>
        </w:tc>
      </w:tr>
      <w:tr>
        <w:trPr>
          <w:trHeight w:hRule="exact" w:val="260"/>
        </w:trPr>
        <w:tc>
          <w:tcPr>
            <w:tcW w:type="dxa" w:w="4500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10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10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900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450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616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900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344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720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78" w:lineRule="exact" w:before="72" w:after="0"/>
        <w:ind w:left="1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* indicates percentage less than 0.5%.</w:t>
      </w:r>
    </w:p>
    <w:p>
      <w:pPr>
        <w:autoSpaceDN w:val="0"/>
        <w:tabs>
          <w:tab w:pos="9094" w:val="left"/>
        </w:tabs>
        <w:autoSpaceDE w:val="0"/>
        <w:widowControl/>
        <w:spacing w:line="224" w:lineRule="exact" w:before="10232" w:after="0"/>
        <w:ind w:left="32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Management's Discussion and Analysis: 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29</w:t>
      </w:r>
    </w:p>
    <w:p>
      <w:pPr>
        <w:sectPr>
          <w:pgSz w:w="12240" w:h="15840"/>
          <w:pgMar w:top="360" w:right="1416" w:bottom="424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30"/>
        <w:gridCol w:w="4730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VI: Other Development Activities and Programs</w:t>
            </w:r>
          </w:p>
        </w:tc>
      </w:tr>
    </w:tbl>
    <w:p>
      <w:pPr>
        <w:autoSpaceDN w:val="0"/>
        <w:autoSpaceDE w:val="0"/>
        <w:widowControl/>
        <w:spacing w:line="314" w:lineRule="exact" w:before="438" w:after="0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Section VI: Other Development Activities and Programs</w:t>
      </w:r>
    </w:p>
    <w:p>
      <w:pPr>
        <w:autoSpaceDN w:val="0"/>
        <w:autoSpaceDE w:val="0"/>
        <w:widowControl/>
        <w:spacing w:line="240" w:lineRule="exact" w:before="206" w:after="0"/>
        <w:ind w:left="10" w:right="4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has products, services, and programs, other than lending, that it offers to its borrowing member countries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help them meet their development goals. These include guarantees, debt relief, trust fund administration,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externally funded reimbursable advisory services.</w:t>
      </w:r>
    </w:p>
    <w:p>
      <w:pPr>
        <w:autoSpaceDN w:val="0"/>
        <w:autoSpaceDE w:val="0"/>
        <w:widowControl/>
        <w:spacing w:line="268" w:lineRule="exact" w:before="136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Guarantees</w:t>
      </w:r>
    </w:p>
    <w:p>
      <w:pPr>
        <w:autoSpaceDN w:val="0"/>
        <w:autoSpaceDE w:val="0"/>
        <w:widowControl/>
        <w:spacing w:line="240" w:lineRule="exact" w:before="124" w:after="0"/>
        <w:ind w:left="10" w:right="4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offers both project-based and policy-based guarantees. These guarantees are available for projects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programs in member countries to help mobilize private financing for development purposes. IDA’s guarantees are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partial in nature as they are intended to cover risks only to the extent necessary to obtain the required private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financing, taking into account country, market and, if appropriate, project circumstances. IDA’s guarantees require 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sovereign counter-guarantee and indemnity, comparable to the requirement of a sovereign guarantee for IDA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lending to sub-sovereign and non-sovereign borrowers. See Table 17 for the types of guarantees that IDA provides.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These guarantees are separate and distinct from those offered under the Private Sector Window. On July 1, 2024,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WBG Guarantee Platform, housed at MIGA, was launched to bring together products and experts from the World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Bank, IFC, and MIGA and aims to boost WBG annual guarantee issuances for all entities.</w:t>
      </w:r>
    </w:p>
    <w:p>
      <w:pPr>
        <w:autoSpaceDN w:val="0"/>
        <w:autoSpaceDE w:val="0"/>
        <w:widowControl/>
        <w:spacing w:line="178" w:lineRule="exact" w:before="210" w:after="20"/>
        <w:ind w:left="9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Table 17: Types of Guarantees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.999999999999943" w:type="dxa"/>
      </w:tblPr>
      <w:tblGrid>
        <w:gridCol w:w="3153"/>
        <w:gridCol w:w="3153"/>
        <w:gridCol w:w="3153"/>
      </w:tblGrid>
      <w:tr>
        <w:trPr>
          <w:trHeight w:hRule="exact" w:val="372"/>
        </w:trPr>
        <w:tc>
          <w:tcPr>
            <w:tcW w:type="dxa" w:w="1484"/>
            <w:vMerge w:val="restart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32" w:after="0"/>
              <w:ind w:left="24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Project-based </w:t>
            </w: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guarantees</w:t>
            </w:r>
          </w:p>
        </w:tc>
        <w:tc>
          <w:tcPr>
            <w:tcW w:type="dxa" w:w="7912"/>
            <w:gridSpan w:val="2"/>
            <w:tcBorders>
              <w:top w:sz="8.0" w:val="single" w:color="#929292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32" w:after="0"/>
              <w:ind w:left="21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Project-based guarantees are provided to mobilize private financing for a project and/or mitigate payment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and/or performance related risks of a project. There are two types:</w:t>
            </w:r>
          </w:p>
        </w:tc>
      </w:tr>
      <w:tr>
        <w:trPr>
          <w:trHeight w:hRule="exact" w:val="860"/>
        </w:trPr>
        <w:tc>
          <w:tcPr>
            <w:tcW w:type="dxa" w:w="3153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5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0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1.</w:t>
            </w:r>
          </w:p>
        </w:tc>
        <w:tc>
          <w:tcPr>
            <w:tcW w:type="dxa" w:w="7392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50" w:after="0"/>
              <w:ind w:left="122" w:right="7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Loan guarantees: these cover loan-related debt service defaults caused by the government’s failure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to meet specific payment and/or performance obligations arising from contract, law, or regulation.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Loan guarantees include coverage for debt service defaults on: (i) commercial debt, normally for 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private sector project; and, (ii) a specific portion of commercial debt irrespective of the cause of such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default, normally for a public-sector project.</w:t>
            </w:r>
          </w:p>
        </w:tc>
      </w:tr>
      <w:tr>
        <w:trPr>
          <w:trHeight w:hRule="exact" w:val="402"/>
        </w:trPr>
        <w:tc>
          <w:tcPr>
            <w:tcW w:type="dxa" w:w="3153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520"/>
            <w:tcBorders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0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2.</w:t>
            </w:r>
          </w:p>
        </w:tc>
        <w:tc>
          <w:tcPr>
            <w:tcW w:type="dxa" w:w="7392"/>
            <w:tcBorders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50" w:after="0"/>
              <w:ind w:left="1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Payment guarantees: These cover payment default on non-loan related government payment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obligations to private entities and foreign public entities arising from contract, law, or regulation.</w:t>
            </w:r>
          </w:p>
        </w:tc>
      </w:tr>
      <w:tr>
        <w:trPr>
          <w:trHeight w:hRule="exact" w:val="402"/>
        </w:trPr>
        <w:tc>
          <w:tcPr>
            <w:tcW w:type="dxa" w:w="1484"/>
            <w:tcBorders>
              <w:top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34" w:after="0"/>
              <w:ind w:left="244" w:right="144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Policy-based </w:t>
            </w: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guarantees</w:t>
            </w:r>
          </w:p>
        </w:tc>
        <w:tc>
          <w:tcPr>
            <w:tcW w:type="dxa" w:w="7912"/>
            <w:gridSpan w:val="2"/>
            <w:tcBorders>
              <w:top w:sz="8.0" w:val="single" w:color="#929292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2" w:after="0"/>
              <w:ind w:left="15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Policy-based guarantees are provided to mobilize private financing for sovereigns or sub-sovereigns. They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cover debt service default, irrespective of the cause of such default, on a specific portion of commercial debt </w:t>
            </w:r>
          </w:p>
        </w:tc>
      </w:tr>
    </w:tbl>
    <w:p>
      <w:pPr>
        <w:autoSpaceDN w:val="0"/>
        <w:autoSpaceDE w:val="0"/>
        <w:widowControl/>
        <w:spacing w:line="184" w:lineRule="exact" w:before="0" w:after="0"/>
        <w:ind w:left="1664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owed by government and associated with the supported government’s program of policy and institutional </w:t>
      </w:r>
      <w:r>
        <w:rPr>
          <w:rFonts w:ascii="ArialMT" w:hAnsi="ArialMT" w:eastAsia="ArialMT"/>
          <w:b w:val="0"/>
          <w:i w:val="0"/>
          <w:color w:val="000000"/>
          <w:sz w:val="16"/>
        </w:rPr>
        <w:t>actions.</w:t>
      </w:r>
    </w:p>
    <w:p>
      <w:pPr>
        <w:autoSpaceDN w:val="0"/>
        <w:autoSpaceDE w:val="0"/>
        <w:widowControl/>
        <w:spacing w:line="178" w:lineRule="exact" w:before="238" w:after="7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Table 18: Pricing for IDA’s Project-Based and Policy-Based Guarantees, effective June 30, 2024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92"/>
        <w:gridCol w:w="1892"/>
        <w:gridCol w:w="1892"/>
        <w:gridCol w:w="1892"/>
        <w:gridCol w:w="1892"/>
      </w:tblGrid>
      <w:tr>
        <w:trPr>
          <w:trHeight w:hRule="exact" w:val="272"/>
        </w:trPr>
        <w:tc>
          <w:tcPr>
            <w:tcW w:type="dxa" w:w="1786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4" w:after="0"/>
              <w:ind w:left="1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Charges</w:t>
            </w:r>
          </w:p>
        </w:tc>
        <w:tc>
          <w:tcPr>
            <w:tcW w:type="dxa" w:w="3664"/>
            <w:gridSpan w:val="2"/>
            <w:tcBorders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Guarantees on Concessional Terms</w:t>
            </w:r>
          </w:p>
        </w:tc>
        <w:tc>
          <w:tcPr>
            <w:tcW w:type="dxa" w:w="3990"/>
            <w:gridSpan w:val="2"/>
            <w:tcBorders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Guarantees on Non-Concessional Terms</w:t>
            </w:r>
          </w:p>
        </w:tc>
      </w:tr>
      <w:tr>
        <w:trPr>
          <w:trHeight w:hRule="exact" w:val="240"/>
        </w:trPr>
        <w:tc>
          <w:tcPr>
            <w:tcW w:type="dxa" w:w="1786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44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Private Projects</w:t>
            </w:r>
          </w:p>
        </w:tc>
        <w:tc>
          <w:tcPr>
            <w:tcW w:type="dxa" w:w="182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Public Projects</w:t>
            </w:r>
          </w:p>
        </w:tc>
        <w:tc>
          <w:tcPr>
            <w:tcW w:type="dxa" w:w="200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Private Projects</w:t>
            </w:r>
          </w:p>
        </w:tc>
        <w:tc>
          <w:tcPr>
            <w:tcW w:type="dxa" w:w="199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Public Projects</w:t>
            </w:r>
          </w:p>
        </w:tc>
      </w:tr>
      <w:tr>
        <w:trPr>
          <w:trHeight w:hRule="exact" w:val="220"/>
        </w:trPr>
        <w:tc>
          <w:tcPr>
            <w:tcW w:type="dxa" w:w="1786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1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Front-end fee</w:t>
            </w:r>
          </w:p>
        </w:tc>
        <w:tc>
          <w:tcPr>
            <w:tcW w:type="dxa" w:w="1844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N/A</w:t>
            </w:r>
          </w:p>
        </w:tc>
        <w:tc>
          <w:tcPr>
            <w:tcW w:type="dxa" w:w="1820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N/A</w:t>
            </w:r>
          </w:p>
        </w:tc>
        <w:tc>
          <w:tcPr>
            <w:tcW w:type="dxa" w:w="2000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25 bps</w:t>
            </w:r>
          </w:p>
        </w:tc>
        <w:tc>
          <w:tcPr>
            <w:tcW w:type="dxa" w:w="1990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25 bps</w:t>
            </w:r>
          </w:p>
        </w:tc>
      </w:tr>
      <w:tr>
        <w:trPr>
          <w:trHeight w:hRule="exact" w:val="240"/>
        </w:trPr>
        <w:tc>
          <w:tcPr>
            <w:tcW w:type="dxa" w:w="17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1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Initiation fee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a</w:t>
            </w:r>
          </w:p>
        </w:tc>
        <w:tc>
          <w:tcPr>
            <w:tcW w:type="dxa" w:w="1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15 bps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N/A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15 bps</w:t>
            </w:r>
          </w:p>
        </w:tc>
        <w:tc>
          <w:tcPr>
            <w:tcW w:type="dxa" w:w="19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N/A</w:t>
            </w:r>
          </w:p>
        </w:tc>
      </w:tr>
      <w:tr>
        <w:trPr>
          <w:trHeight w:hRule="exact" w:val="240"/>
        </w:trPr>
        <w:tc>
          <w:tcPr>
            <w:tcW w:type="dxa" w:w="17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1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Processing fee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b</w:t>
            </w:r>
          </w:p>
        </w:tc>
        <w:tc>
          <w:tcPr>
            <w:tcW w:type="dxa" w:w="1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Up to 50 bps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N/A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Up to 50 bps</w:t>
            </w:r>
          </w:p>
        </w:tc>
        <w:tc>
          <w:tcPr>
            <w:tcW w:type="dxa" w:w="19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N/A</w:t>
            </w:r>
          </w:p>
        </w:tc>
      </w:tr>
      <w:tr>
        <w:trPr>
          <w:trHeight w:hRule="exact" w:val="240"/>
        </w:trPr>
        <w:tc>
          <w:tcPr>
            <w:tcW w:type="dxa" w:w="17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1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Standby fee</w:t>
            </w:r>
          </w:p>
        </w:tc>
        <w:tc>
          <w:tcPr>
            <w:tcW w:type="dxa" w:w="1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 bps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 bps</w:t>
            </w:r>
          </w:p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25 bps</w:t>
            </w:r>
          </w:p>
        </w:tc>
        <w:tc>
          <w:tcPr>
            <w:tcW w:type="dxa" w:w="19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25 bps</w:t>
            </w:r>
          </w:p>
        </w:tc>
      </w:tr>
      <w:tr>
        <w:trPr>
          <w:trHeight w:hRule="exact" w:val="260"/>
        </w:trPr>
        <w:tc>
          <w:tcPr>
            <w:tcW w:type="dxa" w:w="1786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1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Guarantee fee</w:t>
            </w:r>
          </w:p>
        </w:tc>
        <w:tc>
          <w:tcPr>
            <w:tcW w:type="dxa" w:w="1844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75 bps</w:t>
            </w:r>
          </w:p>
        </w:tc>
        <w:tc>
          <w:tcPr>
            <w:tcW w:type="dxa" w:w="182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75 bps</w:t>
            </w:r>
          </w:p>
        </w:tc>
        <w:tc>
          <w:tcPr>
            <w:tcW w:type="dxa" w:w="200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50-100 bps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c</w:t>
            </w:r>
          </w:p>
        </w:tc>
        <w:tc>
          <w:tcPr>
            <w:tcW w:type="dxa" w:w="199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50-100 bps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c</w:t>
            </w:r>
          </w:p>
        </w:tc>
      </w:tr>
    </w:tbl>
    <w:p>
      <w:pPr>
        <w:autoSpaceDN w:val="0"/>
        <w:autoSpaceDE w:val="0"/>
        <w:widowControl/>
        <w:spacing w:line="178" w:lineRule="exact" w:before="28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a. The Initiation fee is 15 basis points of the guaranteed amount or $100,000, whichever is greater.</w:t>
      </w:r>
    </w:p>
    <w:p>
      <w:pPr>
        <w:autoSpaceDN w:val="0"/>
        <w:autoSpaceDE w:val="0"/>
        <w:widowControl/>
        <w:spacing w:line="178" w:lineRule="exact" w:before="6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b. The processing fee is determined on a case-by-case basis.</w:t>
      </w:r>
    </w:p>
    <w:p>
      <w:pPr>
        <w:autoSpaceDN w:val="0"/>
        <w:autoSpaceDE w:val="0"/>
        <w:widowControl/>
        <w:spacing w:line="178" w:lineRule="exact" w:before="6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c. Based on the weighted average maturity of the guarantee.</w:t>
      </w:r>
    </w:p>
    <w:p>
      <w:pPr>
        <w:autoSpaceDN w:val="0"/>
        <w:autoSpaceDE w:val="0"/>
        <w:widowControl/>
        <w:spacing w:line="244" w:lineRule="exact" w:before="20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Guarantee Exposure</w:t>
      </w:r>
    </w:p>
    <w:p>
      <w:pPr>
        <w:autoSpaceDN w:val="0"/>
        <w:autoSpaceDE w:val="0"/>
        <w:widowControl/>
        <w:spacing w:line="240" w:lineRule="exact" w:before="130" w:after="0"/>
        <w:ind w:left="10" w:right="4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IDA’s guarantee exposure is measured by discounting each guaranteed amount from its next call date. IDA had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$2,774 million of guarantee exposure as of June 30, 2024 ($2,539 million — June 30, 2023), including guarantee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exposure under PSW guarantees of $1,169 million as of June 30, 2024 ($795 million — June 30, 2023). See Section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III: IDA’s Financial Resources for PSW guarantees. For additional information, see Notes to the Financial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Statements for the year ended June 30, 2024, Notes D – Loans and Other Exposures and Note H – Transactions with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Affiliated Organizations.</w:t>
      </w:r>
    </w:p>
    <w:p>
      <w:pPr>
        <w:autoSpaceDN w:val="0"/>
        <w:tabs>
          <w:tab w:pos="662" w:val="left"/>
        </w:tabs>
        <w:autoSpaceDE w:val="0"/>
        <w:widowControl/>
        <w:spacing w:line="224" w:lineRule="exact" w:before="1660" w:after="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Management's Discussion and Analysis:  June 30, 2024</w:t>
      </w:r>
    </w:p>
    <w:p>
      <w:pPr>
        <w:sectPr>
          <w:pgSz w:w="12240" w:h="15840"/>
          <w:pgMar w:top="360" w:right="1350" w:bottom="424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7"/>
        <w:gridCol w:w="4717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VI: Other Development Activities and Programs</w:t>
            </w:r>
          </w:p>
        </w:tc>
      </w:tr>
    </w:tbl>
    <w:p>
      <w:pPr>
        <w:autoSpaceDN w:val="0"/>
        <w:autoSpaceDE w:val="0"/>
        <w:widowControl/>
        <w:spacing w:line="268" w:lineRule="exact" w:before="394" w:after="0"/>
        <w:ind w:left="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Other Financial Products and Services</w:t>
      </w:r>
    </w:p>
    <w:p>
      <w:pPr>
        <w:autoSpaceDN w:val="0"/>
        <w:autoSpaceDE w:val="0"/>
        <w:widowControl/>
        <w:spacing w:line="240" w:lineRule="exact" w:before="124" w:after="0"/>
        <w:ind w:left="4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facilitates access to risk management solutions to mitigate the financial effects of natural disasters for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borrowing members. Financial solutions can include disaster risk financing through catastrophe swaps, insurance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and reinsurance contracts, and regional pooling facilities.</w:t>
      </w:r>
    </w:p>
    <w:p>
      <w:pPr>
        <w:autoSpaceDN w:val="0"/>
        <w:autoSpaceDE w:val="0"/>
        <w:widowControl/>
        <w:spacing w:line="240" w:lineRule="exact" w:before="120" w:after="0"/>
        <w:ind w:left="4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Catastrophe Deferred Draw-Down Option (CAT-DDO) promotes countries' resilience to disasters and expands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range of IDA's crisis instruments. The CAT-DDO is a contingent credit line that provides immediate liquidity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countries in the aftermath of a catastrophe and serves as early financing while funds from other sources such as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bilateral aid or reconstruction loans are being mobilized. CAT-DDOs are intended to enhance IDA countries’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capacity to plan for and manage crises. As of June 30, 2024, the amount of CAT DDOs disbursed and outstanding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was $436 million ($367 million as of June 30, 2023), and the undisbursed amount of effective CAT DDOs was $224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million, compared to $194 million a year earlier.</w:t>
      </w:r>
    </w:p>
    <w:p>
      <w:pPr>
        <w:autoSpaceDN w:val="0"/>
        <w:autoSpaceDE w:val="0"/>
        <w:widowControl/>
        <w:spacing w:line="268" w:lineRule="exact" w:before="136" w:after="0"/>
        <w:ind w:left="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Grant  Making Facilities</w:t>
      </w:r>
    </w:p>
    <w:p>
      <w:pPr>
        <w:autoSpaceDN w:val="0"/>
        <w:autoSpaceDE w:val="0"/>
        <w:widowControl/>
        <w:spacing w:line="240" w:lineRule="exact" w:before="124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Grant Making Facilities (GMFs) are contributions to specific trust funds and complementary to IDA’s work.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FY24, the amount under this program was $20 million in accordance with the cost sharing agreement with IBRD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(FY23 - $20 million). These amounts are reflected in Non-Interest Expenses - Contribution to Special Programs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IDA’s Statements of Income.</w:t>
      </w:r>
    </w:p>
    <w:p>
      <w:pPr>
        <w:autoSpaceDN w:val="0"/>
        <w:autoSpaceDE w:val="0"/>
        <w:widowControl/>
        <w:spacing w:line="268" w:lineRule="exact" w:before="136" w:after="0"/>
        <w:ind w:left="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Debt Relief</w:t>
      </w:r>
    </w:p>
    <w:p>
      <w:pPr>
        <w:autoSpaceDN w:val="0"/>
        <w:autoSpaceDE w:val="0"/>
        <w:widowControl/>
        <w:spacing w:line="240" w:lineRule="exact" w:before="124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Heavily Indebted Poor Countries Debt Initiative (HIPC Initiative) was launched in 1996 as a joint effort by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bilateral and multilateral creditors to provide debt relief to the poorest countries to reduce their external debt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payments to sustainable levels. Under the HIPC initiative, implementation mechanisms include partial forgiveness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of IDA debt service as it comes due and partial repayment with IDA resources of outstanding IBRD debt.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Multilateral Debt Relief Initiative (MDRI) was implemented in 2006 and provides debt relief by writing-off eligible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loans upon qualifying borrowers reaching the HIPC Completion Point. Both of the initiatives are part of a global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effort focused on heavily indebted poor countries with strong policy performance. The initiatives aim to reduce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external debt of eligible countries as part of a broader poverty reduction strategy, whilst safeguarding the long-term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financial capacity of IDA and other participating multilateral institutions; and encouraging the best use of additional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member resources for development, by allocating these resources to low-income countries on the basis of policy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performance.</w:t>
      </w:r>
    </w:p>
    <w:p>
      <w:pPr>
        <w:autoSpaceDN w:val="0"/>
        <w:autoSpaceDE w:val="0"/>
        <w:widowControl/>
        <w:spacing w:line="240" w:lineRule="exact" w:before="120" w:after="0"/>
        <w:ind w:left="4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order to receive irrevocable debt relief, eligible countries are required to maintain macroeconomic stability, carry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out key structural and social reforms, and implement a Poverty Reduction Strategy, in addition to being in good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standing with respect to all eligible debt repayments. To ensure IDA’s financial capacity was not eroded, members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agreed to compensate IDA with additional contributions to offset the impact of the forgone reflows, resulting from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provision of debt relief.</w:t>
      </w:r>
    </w:p>
    <w:p>
      <w:pPr>
        <w:autoSpaceDN w:val="0"/>
        <w:autoSpaceDE w:val="0"/>
        <w:widowControl/>
        <w:spacing w:line="240" w:lineRule="exact" w:before="12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accumulated provision for debt relief was recorded at the inception of the initiative and is based on both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quantitative and qualitative analyses of various factors, including estimates of the Decision and the Completion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Point dates. These factors are periodically reviewed, and the adequacy of the accumulated provision is reassessed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and adjusted to reflect the impact of any changes. </w:t>
      </w:r>
    </w:p>
    <w:p>
      <w:pPr>
        <w:autoSpaceDN w:val="0"/>
        <w:autoSpaceDE w:val="0"/>
        <w:widowControl/>
        <w:spacing w:line="240" w:lineRule="exact" w:before="12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During FY24, HIPC debt relief was provided on $10 million of loans ($22 million in FY23). There was no HIPC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debt relief on service charges in FY24 or FY23. On a cumulative basis, debt relief has been provided on $2.2 billion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of loans and $335 million of service charges under HIPC as of June 30, 2024.</w:t>
      </w:r>
    </w:p>
    <w:p>
      <w:pPr>
        <w:autoSpaceDN w:val="0"/>
        <w:autoSpaceDE w:val="0"/>
        <w:widowControl/>
        <w:spacing w:line="240" w:lineRule="exact" w:before="120" w:after="0"/>
        <w:ind w:left="4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During FY24, loans eligible for relief under MDRI totaling $94 million were written off as a result of Somalia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reaching the Completion Point under the HIPC debt relief initiative on December 13, 2023. On a cumulative basis,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debt relief has been provided on $40.3 billion of loans under the MDRI as of June 30, 2024. The provision for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debt relief was recorded at the beginning of the MDRI Initiative.</w:t>
      </w:r>
    </w:p>
    <w:p>
      <w:pPr>
        <w:autoSpaceDN w:val="0"/>
        <w:tabs>
          <w:tab w:pos="9088" w:val="left"/>
        </w:tabs>
        <w:autoSpaceDE w:val="0"/>
        <w:widowControl/>
        <w:spacing w:line="224" w:lineRule="exact" w:before="1480" w:after="0"/>
        <w:ind w:left="329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Management's Discussion and Analysis: 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31</w:t>
      </w:r>
    </w:p>
    <w:p>
      <w:pPr>
        <w:sectPr>
          <w:pgSz w:w="12240" w:h="15840"/>
          <w:pgMar w:top="360" w:right="1370" w:bottom="424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7"/>
        <w:gridCol w:w="4717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VI: Other Development Activities and Programs</w:t>
            </w:r>
          </w:p>
        </w:tc>
      </w:tr>
    </w:tbl>
    <w:p>
      <w:pPr>
        <w:autoSpaceDN w:val="0"/>
        <w:autoSpaceDE w:val="0"/>
        <w:widowControl/>
        <w:spacing w:line="268" w:lineRule="exact" w:before="394" w:after="0"/>
        <w:ind w:left="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Externally-Funded Activities</w:t>
      </w:r>
    </w:p>
    <w:p>
      <w:pPr>
        <w:autoSpaceDN w:val="0"/>
        <w:autoSpaceDE w:val="0"/>
        <w:widowControl/>
        <w:spacing w:line="240" w:lineRule="exact" w:before="124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Mobilization of external funds from third-party partners includes trust funds. Additional external funds include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reimbursable funds and revenues from fee-based services to member countries, which are related to Reimbursable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Advisory Services (RAS) and EFO.</w:t>
      </w:r>
    </w:p>
    <w:p>
      <w:pPr>
        <w:autoSpaceDN w:val="0"/>
        <w:autoSpaceDE w:val="0"/>
        <w:widowControl/>
        <w:spacing w:line="244" w:lineRule="exact" w:before="130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Trust Funds Activity</w:t>
      </w:r>
    </w:p>
    <w:p>
      <w:pPr>
        <w:autoSpaceDN w:val="0"/>
        <w:autoSpaceDE w:val="0"/>
        <w:widowControl/>
        <w:spacing w:line="240" w:lineRule="exact" w:before="13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Trust Funds are a part of the WBG’s development activities, providing resources and added flexibility in providing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development solutions that serve member recipients and donors alike. The partnerships funded by trust funds often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serve as a platform from which IDA and its members can draw on the WBG’s diverse technical and financial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resources to achieve development goals that cannot be addressed effectively by any single member, given their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complexity, scale, and scope. </w:t>
      </w:r>
    </w:p>
    <w:p>
      <w:pPr>
        <w:autoSpaceDN w:val="0"/>
        <w:autoSpaceDE w:val="0"/>
        <w:widowControl/>
        <w:spacing w:line="222" w:lineRule="exact" w:before="138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IDA’s roles and responsibilities in managing trust funds depend on the type of fund, outlined as follows:</w:t>
      </w:r>
    </w:p>
    <w:p>
      <w:pPr>
        <w:autoSpaceDN w:val="0"/>
        <w:autoSpaceDE w:val="0"/>
        <w:widowControl/>
        <w:spacing w:line="240" w:lineRule="exact" w:before="12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Bank-executed activities for trust funds: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 IDA, alone or jointly with one or more of its affiliated organizations,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manages the funds and implements the activities financed. These trust funds support IDA’s work program. IDA, as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 executing agency, disbursed $705 million in FY24 ($686 million in FY23) of trust fund program funds, which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was included in Non-interest expense, Administrative in IDA's Statements of Income.</w:t>
      </w:r>
    </w:p>
    <w:p>
      <w:pPr>
        <w:autoSpaceDN w:val="0"/>
        <w:autoSpaceDE w:val="0"/>
        <w:widowControl/>
        <w:spacing w:line="240" w:lineRule="exact" w:before="120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 xml:space="preserve">Recipient-executed activities for trust funds: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Funds are provided to a third party, normally in the form of project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grant financing, and are supervised by IDA.</w:t>
      </w:r>
    </w:p>
    <w:p>
      <w:pPr>
        <w:autoSpaceDN w:val="0"/>
        <w:autoSpaceDE w:val="0"/>
        <w:widowControl/>
        <w:spacing w:line="240" w:lineRule="exact" w:before="12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Financial Intermediary Funds (FIFs):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IDA, as a trustee, administrator, or treasury manager, offers specific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administrative or financial services with a limited operational role. Arrangements include the administration of debt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service trust funds, fiscal agency funds and other more specialized limited fund management roles.</w:t>
      </w:r>
    </w:p>
    <w:p>
      <w:pPr>
        <w:autoSpaceDN w:val="0"/>
        <w:autoSpaceDE w:val="0"/>
        <w:widowControl/>
        <w:spacing w:line="240" w:lineRule="exact" w:before="12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uses a cost recovery framework for trust funds, which aims to recover the costs of performing agreed roles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administrating trust funds, and is guided by principles of transparency, fairness, simplification, standardization,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predictability, and consistent treatment across all trust fund donors.</w:t>
      </w:r>
    </w:p>
    <w:p>
      <w:pPr>
        <w:autoSpaceDN w:val="0"/>
        <w:autoSpaceDE w:val="0"/>
        <w:widowControl/>
        <w:spacing w:line="240" w:lineRule="exact" w:before="12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Management continues to implement measures to better integrate planning, support sustainability and enhance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alignment of external funds with mission priorities through greater use of umbrella trust fund programs, increased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cost recovery, and new budgetary planning measures to manage External Funds usage.</w:t>
      </w:r>
    </w:p>
    <w:p>
      <w:pPr>
        <w:autoSpaceDN w:val="0"/>
        <w:autoSpaceDE w:val="0"/>
        <w:widowControl/>
        <w:spacing w:line="240" w:lineRule="exact" w:before="12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During FY24, IDA’s share of revenue and fees from trust fund administration activity was $93 million ($57 million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FY23). The increase in fees was mainly driven by higher levels of trust fund disbursement activity. For additional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information, see Notes to the Financial Statements for the year ended June 30, 2024, Note K - Trust Funds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Administration.</w:t>
      </w:r>
    </w:p>
    <w:p>
      <w:pPr>
        <w:autoSpaceDN w:val="0"/>
        <w:autoSpaceDE w:val="0"/>
        <w:widowControl/>
        <w:spacing w:line="240" w:lineRule="exact" w:before="12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noted in the discussion of trust fund activities above, IDA, alone or jointly with one or more of its affiliated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organizations, administers on donors’ behalf funds restricted for specific uses. Such administration is governed by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agreements with donors, who include members, their agencies, and other entities. These funds are held in trust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are not included on IDA’s Balance Sheet. See Table 19. These funds did not include $735 million of undisbursed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third-party contributions made to Bank-executed activities for trust funds, which are recognized on IDA's Balance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Sheet. These amounts are included in Other assets and the corresponding liabilities are included in Accounts payable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and miscellaneous liabilities on the Balance Sheets. </w:t>
      </w:r>
    </w:p>
    <w:p>
      <w:pPr>
        <w:autoSpaceDN w:val="0"/>
        <w:tabs>
          <w:tab w:pos="656" w:val="left"/>
        </w:tabs>
        <w:autoSpaceDE w:val="0"/>
        <w:widowControl/>
        <w:spacing w:line="224" w:lineRule="exact" w:before="311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32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Management's Discussion and Analysis:  June 30, 2024</w:t>
      </w:r>
    </w:p>
    <w:p>
      <w:pPr>
        <w:sectPr>
          <w:pgSz w:w="12240" w:h="15840"/>
          <w:pgMar w:top="360" w:right="1370" w:bottom="424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20"/>
        <w:gridCol w:w="4720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VI: Other Development Activities and Programs</w:t>
            </w:r>
          </w:p>
        </w:tc>
      </w:tr>
    </w:tbl>
    <w:p>
      <w:pPr>
        <w:autoSpaceDN w:val="0"/>
        <w:autoSpaceDE w:val="0"/>
        <w:widowControl/>
        <w:spacing w:line="178" w:lineRule="exact" w:before="408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Table 19: Funds Held in Trust by IDA</w:t>
      </w:r>
    </w:p>
    <w:p>
      <w:pPr>
        <w:autoSpaceDN w:val="0"/>
        <w:autoSpaceDE w:val="0"/>
        <w:widowControl/>
        <w:spacing w:line="178" w:lineRule="exact" w:before="74" w:after="0"/>
        <w:ind w:left="1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In millions of U.S. dollars </w:t>
      </w:r>
    </w:p>
    <w:p>
      <w:pPr>
        <w:autoSpaceDN w:val="0"/>
        <w:autoSpaceDE w:val="0"/>
        <w:widowControl/>
        <w:spacing w:line="178" w:lineRule="exact" w:before="130" w:after="30"/>
        <w:ind w:left="0" w:right="812" w:firstLine="0"/>
        <w:jc w:val="right"/>
      </w:pPr>
      <w:r>
        <w:rPr>
          <w:rFonts w:ascii="ArialMT" w:hAnsi="ArialMT" w:eastAsia="ArialMT"/>
          <w:b w:val="0"/>
          <w:i w:val="0"/>
          <w:color w:val="808080"/>
          <w:sz w:val="16"/>
        </w:rPr>
        <w:t>Total Fiduciary Assets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88"/>
        <w:gridCol w:w="1888"/>
        <w:gridCol w:w="1888"/>
        <w:gridCol w:w="1888"/>
        <w:gridCol w:w="1888"/>
      </w:tblGrid>
      <w:tr>
        <w:trPr>
          <w:trHeight w:hRule="exact" w:val="244"/>
        </w:trPr>
        <w:tc>
          <w:tcPr>
            <w:tcW w:type="dxa" w:w="6330"/>
            <w:tcBorders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As of June 30,</w:t>
            </w:r>
          </w:p>
        </w:tc>
        <w:tc>
          <w:tcPr>
            <w:tcW w:type="dxa" w:w="480"/>
            <w:tcBorders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020"/>
            <w:tcBorders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 xml:space="preserve">2024 </w:t>
            </w:r>
          </w:p>
        </w:tc>
        <w:tc>
          <w:tcPr>
            <w:tcW w:type="dxa" w:w="680"/>
            <w:tcBorders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870"/>
            <w:tcBorders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6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2023</w:t>
            </w:r>
          </w:p>
        </w:tc>
      </w:tr>
      <w:tr>
        <w:trPr>
          <w:trHeight w:hRule="exact" w:val="236"/>
        </w:trPr>
        <w:tc>
          <w:tcPr>
            <w:tcW w:type="dxa" w:w="6330"/>
            <w:tcBorders>
              <w:top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Bank-executed activities</w:t>
            </w:r>
          </w:p>
        </w:tc>
        <w:tc>
          <w:tcPr>
            <w:tcW w:type="dxa" w:w="480"/>
            <w:vMerge w:val="restart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20"/>
            <w:tcBorders>
              <w:top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27 </w:t>
            </w:r>
          </w:p>
        </w:tc>
        <w:tc>
          <w:tcPr>
            <w:tcW w:type="dxa" w:w="680"/>
            <w:vMerge w:val="restart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9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$ </w:t>
            </w:r>
          </w:p>
        </w:tc>
        <w:tc>
          <w:tcPr>
            <w:tcW w:type="dxa" w:w="870"/>
            <w:tcBorders>
              <w:top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39 </w:t>
            </w:r>
          </w:p>
        </w:tc>
      </w:tr>
      <w:tr>
        <w:trPr>
          <w:trHeight w:hRule="exact" w:val="240"/>
        </w:trPr>
        <w:tc>
          <w:tcPr>
            <w:tcW w:type="dxa" w:w="633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Jointly executed with affiliated organization</w:t>
            </w:r>
          </w:p>
        </w:tc>
        <w:tc>
          <w:tcPr>
            <w:tcW w:type="dxa" w:w="1888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10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1,085 </w:t>
            </w:r>
          </w:p>
        </w:tc>
        <w:tc>
          <w:tcPr>
            <w:tcW w:type="dxa" w:w="1888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87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1,027 </w:t>
            </w:r>
          </w:p>
        </w:tc>
      </w:tr>
      <w:tr>
        <w:trPr>
          <w:trHeight w:hRule="exact" w:val="240"/>
        </w:trPr>
        <w:tc>
          <w:tcPr>
            <w:tcW w:type="dxa" w:w="633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Recipient-executed activities</w:t>
            </w:r>
          </w:p>
        </w:tc>
        <w:tc>
          <w:tcPr>
            <w:tcW w:type="dxa" w:w="1888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10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2,173 </w:t>
            </w:r>
          </w:p>
        </w:tc>
        <w:tc>
          <w:tcPr>
            <w:tcW w:type="dxa" w:w="1888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87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2,017 </w:t>
            </w:r>
          </w:p>
        </w:tc>
      </w:tr>
      <w:tr>
        <w:trPr>
          <w:trHeight w:hRule="exact" w:val="220"/>
        </w:trPr>
        <w:tc>
          <w:tcPr>
            <w:tcW w:type="dxa" w:w="633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Financial intermediary funds</w:t>
            </w:r>
          </w:p>
        </w:tc>
        <w:tc>
          <w:tcPr>
            <w:tcW w:type="dxa" w:w="1888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10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301 </w:t>
            </w:r>
          </w:p>
        </w:tc>
        <w:tc>
          <w:tcPr>
            <w:tcW w:type="dxa" w:w="1888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87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292 </w:t>
            </w:r>
          </w:p>
        </w:tc>
      </w:tr>
      <w:tr>
        <w:trPr>
          <w:trHeight w:hRule="exact" w:val="264"/>
        </w:trPr>
        <w:tc>
          <w:tcPr>
            <w:tcW w:type="dxa" w:w="6330"/>
            <w:tcBorders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Execution not yet assigned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a</w:t>
            </w:r>
          </w:p>
        </w:tc>
        <w:tc>
          <w:tcPr>
            <w:tcW w:type="dxa" w:w="1888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1020"/>
            <w:tcBorders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6,447 </w:t>
            </w:r>
          </w:p>
        </w:tc>
        <w:tc>
          <w:tcPr>
            <w:tcW w:type="dxa" w:w="1888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870"/>
            <w:tcBorders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8,213 </w:t>
            </w:r>
          </w:p>
        </w:tc>
      </w:tr>
      <w:tr>
        <w:trPr>
          <w:trHeight w:hRule="exact" w:val="220"/>
        </w:trPr>
        <w:tc>
          <w:tcPr>
            <w:tcW w:type="dxa" w:w="6330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480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20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196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10,033 </w:t>
            </w:r>
          </w:p>
        </w:tc>
        <w:tc>
          <w:tcPr>
            <w:tcW w:type="dxa" w:w="680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9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 $ </w:t>
            </w:r>
          </w:p>
        </w:tc>
        <w:tc>
          <w:tcPr>
            <w:tcW w:type="dxa" w:w="870"/>
            <w:tcBorders>
              <w:top w:sz="8.0" w:val="single" w:color="#929292"/>
              <w:bottom w:sz="8.0" w:val="single" w:color="#929292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36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11,588 </w:t>
            </w:r>
          </w:p>
        </w:tc>
      </w:tr>
    </w:tbl>
    <w:p>
      <w:pPr>
        <w:autoSpaceDN w:val="0"/>
        <w:autoSpaceDE w:val="0"/>
        <w:widowControl/>
        <w:spacing w:line="178" w:lineRule="exact" w:before="29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a. These represent assets held in trust for which the determination as to the type of execution is yet to be finalized.</w:t>
      </w:r>
    </w:p>
    <w:p>
      <w:pPr>
        <w:autoSpaceDN w:val="0"/>
        <w:autoSpaceDE w:val="0"/>
        <w:widowControl/>
        <w:spacing w:line="244" w:lineRule="exact" w:before="202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Reimbursable Advisory Services (RAS)</w:t>
      </w:r>
    </w:p>
    <w:p>
      <w:pPr>
        <w:autoSpaceDN w:val="0"/>
        <w:autoSpaceDE w:val="0"/>
        <w:widowControl/>
        <w:spacing w:line="240" w:lineRule="exact" w:before="13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While most of IDA’s advisory and analytical work is financed by its own budget or donor contributions (e.g., trust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funds), clients may also pay for services. IDA offers technical assistance and other advisory services to its member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countries, in connection with, and independent of, lending operations. Available services include, for example,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assigning qualified professionals to survey developmental opportunities in member countries; analyzing member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countries fiscal, economic, and developmental environments; helping members devise coordinated development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programs; and improving their asset and liability management techniques. In FY24, income relating to reimbursable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advisory services was $44 million (FY23 - $47 million).</w:t>
      </w:r>
    </w:p>
    <w:p>
      <w:pPr>
        <w:autoSpaceDN w:val="0"/>
        <w:autoSpaceDE w:val="0"/>
        <w:widowControl/>
        <w:spacing w:line="244" w:lineRule="exact" w:before="130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 xml:space="preserve">Externally Financed Outputs (EFOs) </w:t>
      </w:r>
    </w:p>
    <w:p>
      <w:pPr>
        <w:autoSpaceDN w:val="0"/>
        <w:autoSpaceDE w:val="0"/>
        <w:widowControl/>
        <w:spacing w:line="240" w:lineRule="exact" w:before="13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offers donors the ability to contribute to specific projects and programs. EFO contributions are recorded as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restricted revenue when received because they are for contractually specified purposes. IDA received and recorded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$8 million of restricted revenue in FY24 (FY23 - $3 million), which was included in the line "Total net non-interest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expenses – GAAP basis" in Table 9.</w:t>
      </w:r>
    </w:p>
    <w:p>
      <w:pPr>
        <w:autoSpaceDN w:val="0"/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Restrictions are released once the funds are used for the purposes specified by donors. In FY24, there was a release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of $8 million (FY23 - $13 million).</w:t>
      </w:r>
    </w:p>
    <w:p>
      <w:pPr>
        <w:autoSpaceDN w:val="0"/>
        <w:tabs>
          <w:tab w:pos="9094" w:val="left"/>
        </w:tabs>
        <w:autoSpaceDE w:val="0"/>
        <w:widowControl/>
        <w:spacing w:line="224" w:lineRule="exact" w:before="6132" w:after="0"/>
        <w:ind w:left="32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Management's Discussion and Analysis: 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33</w:t>
      </w:r>
    </w:p>
    <w:p>
      <w:pPr>
        <w:sectPr>
          <w:pgSz w:w="12240" w:h="15840"/>
          <w:pgMar w:top="360" w:right="1370" w:bottom="424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20"/>
        <w:gridCol w:w="4720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VII: Investment Activities</w:t>
            </w:r>
          </w:p>
        </w:tc>
      </w:tr>
    </w:tbl>
    <w:p>
      <w:pPr>
        <w:autoSpaceDN w:val="0"/>
        <w:autoSpaceDE w:val="0"/>
        <w:widowControl/>
        <w:spacing w:line="314" w:lineRule="exact" w:before="438" w:after="0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Section VII: Investment Activities</w:t>
      </w:r>
    </w:p>
    <w:p>
      <w:pPr>
        <w:autoSpaceDN w:val="0"/>
        <w:autoSpaceDE w:val="0"/>
        <w:widowControl/>
        <w:spacing w:line="240" w:lineRule="exact" w:before="206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As of June 30, 2024, IDA’s net investment portfolio totaled $33.6 billion (Figure 10)</w:t>
      </w:r>
      <w:r>
        <w:rPr>
          <w:rFonts w:ascii="TimesNewRoman" w:hAnsi="TimesNewRoman" w:eastAsia="TimesNewRoman"/>
          <w:b/>
          <w:i w:val="0"/>
          <w:color w:val="000000"/>
          <w:sz w:val="20"/>
        </w:rPr>
        <w:t>.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 See the Notes to the Financial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Statements for the year ended June 30, 2024, Note C – Investments.</w:t>
      </w:r>
    </w:p>
    <w:p>
      <w:pPr>
        <w:autoSpaceDN w:val="0"/>
        <w:autoSpaceDE w:val="0"/>
        <w:widowControl/>
        <w:spacing w:line="178" w:lineRule="exact" w:before="150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Figure 10: Net Investment Portfolio</w:t>
      </w:r>
    </w:p>
    <w:p>
      <w:pPr>
        <w:autoSpaceDN w:val="0"/>
        <w:autoSpaceDE w:val="0"/>
        <w:widowControl/>
        <w:spacing w:line="178" w:lineRule="exact" w:before="74" w:after="342"/>
        <w:ind w:left="1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billions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94.0" w:type="dxa"/>
      </w:tblPr>
      <w:tblGrid>
        <w:gridCol w:w="4720"/>
        <w:gridCol w:w="4720"/>
      </w:tblGrid>
      <w:tr>
        <w:trPr>
          <w:trHeight w:hRule="exact" w:val="166"/>
        </w:trPr>
        <w:tc>
          <w:tcPr>
            <w:tcW w:type="dxa" w:w="16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Trading Portfolio</w:t>
            </w:r>
          </w:p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9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Non-trading Portfolio</w:t>
            </w:r>
          </w:p>
        </w:tc>
      </w:tr>
    </w:tbl>
    <w:p>
      <w:pPr>
        <w:autoSpaceDN w:val="0"/>
        <w:autoSpaceDE w:val="0"/>
        <w:widowControl/>
        <w:spacing w:line="180" w:lineRule="exact" w:before="106" w:after="46"/>
        <w:ind w:left="20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50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0.0" w:type="dxa"/>
      </w:tblPr>
      <w:tblGrid>
        <w:gridCol w:w="1573"/>
        <w:gridCol w:w="1573"/>
        <w:gridCol w:w="1573"/>
        <w:gridCol w:w="1573"/>
        <w:gridCol w:w="1573"/>
        <w:gridCol w:w="1573"/>
      </w:tblGrid>
      <w:tr>
        <w:trPr>
          <w:trHeight w:hRule="exact" w:val="344"/>
        </w:trPr>
        <w:tc>
          <w:tcPr>
            <w:tcW w:type="dxa" w:w="500"/>
            <w:vMerge w:val="restart"/>
            <w:tcBorders>
              <w:bottom w:sz="12.0" w:val="single" w:color="#585958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6" w:after="0"/>
              <w:ind w:left="1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720"/>
            <w:tcBorders>
              <w:bottom w:sz="12.0" w:val="single" w:color="#58595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5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0.6</w:t>
            </w:r>
          </w:p>
        </w:tc>
        <w:tc>
          <w:tcPr>
            <w:tcW w:type="dxa" w:w="700"/>
            <w:vMerge w:val="restart"/>
            <w:tcBorders>
              <w:bottom w:sz="12.0" w:val="single" w:color="#585958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0.5</w:t>
            </w:r>
          </w:p>
        </w:tc>
        <w:tc>
          <w:tcPr>
            <w:tcW w:type="dxa" w:w="680"/>
            <w:vMerge w:val="restart"/>
            <w:tcBorders>
              <w:bottom w:sz="12.0" w:val="single" w:color="#585958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0.4</w:t>
            </w:r>
          </w:p>
        </w:tc>
        <w:tc>
          <w:tcPr>
            <w:tcW w:type="dxa" w:w="700"/>
            <w:vMerge w:val="restart"/>
            <w:tcBorders>
              <w:bottom w:sz="12.0" w:val="single" w:color="#585958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3280"/>
            <w:vMerge w:val="restart"/>
            <w:tcBorders>
              <w:bottom w:sz="12.0" w:val="single" w:color="#585958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2" w:after="0"/>
              <w:ind w:left="25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</w:t>
            </w:r>
          </w:p>
        </w:tc>
      </w:tr>
      <w:tr>
        <w:trPr>
          <w:trHeight w:hRule="exact" w:val="90"/>
        </w:trPr>
        <w:tc>
          <w:tcPr>
            <w:tcW w:type="dxa" w:w="1573"/>
            <w:vMerge/>
            <w:tcBorders>
              <w:bottom w:sz="12.0" w:val="single" w:color="#585958"/>
            </w:tcBorders>
          </w:tcPr>
          <w:p/>
        </w:tc>
        <w:tc>
          <w:tcPr>
            <w:tcW w:type="dxa" w:w="720"/>
            <w:vMerge w:val="restart"/>
            <w:tcBorders>
              <w:top w:sz="12.0" w:val="single" w:color="#585958"/>
              <w:bottom w:sz="5.599999999999909" w:val="single" w:color="#585958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573"/>
            <w:vMerge/>
            <w:tcBorders>
              <w:bottom w:sz="12.0" w:val="single" w:color="#585958"/>
            </w:tcBorders>
          </w:tcPr>
          <w:p/>
        </w:tc>
        <w:tc>
          <w:tcPr>
            <w:tcW w:type="dxa" w:w="1573"/>
            <w:vMerge/>
            <w:tcBorders>
              <w:bottom w:sz="12.0" w:val="single" w:color="#585958"/>
            </w:tcBorders>
          </w:tcPr>
          <w:p/>
        </w:tc>
        <w:tc>
          <w:tcPr>
            <w:tcW w:type="dxa" w:w="1573"/>
            <w:vMerge/>
            <w:tcBorders>
              <w:bottom w:sz="12.0" w:val="single" w:color="#585958"/>
            </w:tcBorders>
          </w:tcPr>
          <w:p/>
        </w:tc>
        <w:tc>
          <w:tcPr>
            <w:tcW w:type="dxa" w:w="1573"/>
            <w:vMerge/>
            <w:tcBorders>
              <w:bottom w:sz="12.0" w:val="single" w:color="#585958"/>
            </w:tcBorders>
          </w:tcPr>
          <w:p/>
        </w:tc>
      </w:tr>
      <w:tr>
        <w:trPr>
          <w:trHeight w:hRule="exact" w:val="188"/>
        </w:trPr>
        <w:tc>
          <w:tcPr>
            <w:tcW w:type="dxa" w:w="500"/>
            <w:tcBorders>
              <w:top w:sz="12.0" w:val="single" w:color="#585958"/>
              <w:bottom w:sz="5.599999999999909" w:val="single" w:color="#585958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73"/>
            <w:vMerge/>
            <w:tcBorders>
              <w:top w:sz="12.0" w:val="single" w:color="#585958"/>
              <w:bottom w:sz="5.599999999999909" w:val="single" w:color="#585958"/>
            </w:tcBorders>
          </w:tcPr>
          <w:p/>
        </w:tc>
        <w:tc>
          <w:tcPr>
            <w:tcW w:type="dxa" w:w="700"/>
            <w:tcBorders>
              <w:top w:sz="12.0" w:val="single" w:color="#585958"/>
              <w:bottom w:sz="5.599999999999909" w:val="single" w:color="#585958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80"/>
            <w:tcBorders>
              <w:top w:sz="12.0" w:val="single" w:color="#585958"/>
              <w:bottom w:sz="5.599999999999909" w:val="single" w:color="#585958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vMerge w:val="restart"/>
            <w:tcBorders>
              <w:top w:sz="12.0" w:val="single" w:color="#585958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0.3</w:t>
            </w:r>
          </w:p>
        </w:tc>
        <w:tc>
          <w:tcPr>
            <w:tcW w:type="dxa" w:w="3280"/>
            <w:tcBorders>
              <w:top w:sz="12.0" w:val="single" w:color="#585958"/>
              <w:bottom w:sz="5.599999999999909" w:val="single" w:color="#585958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96"/>
        </w:trPr>
        <w:tc>
          <w:tcPr>
            <w:tcW w:type="dxa" w:w="500"/>
            <w:tcBorders>
              <w:top w:sz="5.599999999999909" w:val="single" w:color="#58595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1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720"/>
            <w:vMerge w:val="restart"/>
            <w:tcBorders>
              <w:top w:sz="5.599999999999909" w:val="single" w:color="#585958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35.0</w:t>
            </w:r>
          </w:p>
        </w:tc>
        <w:tc>
          <w:tcPr>
            <w:tcW w:type="dxa" w:w="700"/>
            <w:vMerge w:val="restart"/>
            <w:tcBorders>
              <w:top w:sz="5.599999999999909" w:val="single" w:color="#585958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37.4</w:t>
            </w:r>
          </w:p>
        </w:tc>
        <w:tc>
          <w:tcPr>
            <w:tcW w:type="dxa" w:w="680"/>
            <w:vMerge w:val="restart"/>
            <w:tcBorders>
              <w:top w:sz="5.599999999999909" w:val="single" w:color="#585958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39.2</w:t>
            </w:r>
          </w:p>
        </w:tc>
        <w:tc>
          <w:tcPr>
            <w:tcW w:type="dxa" w:w="1573"/>
            <w:vMerge/>
            <w:tcBorders>
              <w:top w:sz="12.0" w:val="single" w:color="#585958"/>
            </w:tcBorders>
          </w:tcPr>
          <w:p/>
        </w:tc>
        <w:tc>
          <w:tcPr>
            <w:tcW w:type="dxa" w:w="3280"/>
            <w:vMerge w:val="restart"/>
            <w:tcBorders>
              <w:top w:sz="5.599999999999909" w:val="single" w:color="#585958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56" w:after="0"/>
              <w:ind w:left="2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33.4</w:t>
            </w:r>
          </w:p>
        </w:tc>
      </w:tr>
      <w:tr>
        <w:trPr>
          <w:trHeight w:hRule="exact" w:val="504"/>
        </w:trPr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14" w:after="0"/>
              <w:ind w:left="1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1573"/>
            <w:vMerge/>
            <w:tcBorders>
              <w:top w:sz="5.599999999999909" w:val="single" w:color="#585958"/>
            </w:tcBorders>
          </w:tcPr>
          <w:p/>
        </w:tc>
        <w:tc>
          <w:tcPr>
            <w:tcW w:type="dxa" w:w="1573"/>
            <w:vMerge/>
            <w:tcBorders>
              <w:top w:sz="5.599999999999909" w:val="single" w:color="#585958"/>
            </w:tcBorders>
          </w:tcPr>
          <w:p/>
        </w:tc>
        <w:tc>
          <w:tcPr>
            <w:tcW w:type="dxa" w:w="1573"/>
            <w:vMerge/>
            <w:tcBorders>
              <w:top w:sz="5.599999999999909" w:val="single" w:color="#585958"/>
            </w:tcBorders>
          </w:tcPr>
          <w:p/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30.4</w:t>
            </w:r>
          </w:p>
        </w:tc>
        <w:tc>
          <w:tcPr>
            <w:tcW w:type="dxa" w:w="1573"/>
            <w:vMerge/>
            <w:tcBorders>
              <w:top w:sz="5.599999999999909" w:val="single" w:color="#585958"/>
            </w:tcBorders>
          </w:tcPr>
          <w:p/>
        </w:tc>
      </w:tr>
    </w:tbl>
    <w:p>
      <w:pPr>
        <w:autoSpaceDN w:val="0"/>
        <w:autoSpaceDE w:val="0"/>
        <w:widowControl/>
        <w:spacing w:line="180" w:lineRule="exact" w:before="2" w:after="0"/>
        <w:ind w:left="20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10</w:t>
      </w:r>
    </w:p>
    <w:p>
      <w:pPr>
        <w:autoSpaceDN w:val="0"/>
        <w:autoSpaceDE w:val="0"/>
        <w:widowControl/>
        <w:spacing w:line="180" w:lineRule="exact" w:before="210" w:after="16"/>
        <w:ind w:left="2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0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50.0" w:type="dxa"/>
      </w:tblPr>
      <w:tblGrid>
        <w:gridCol w:w="1888"/>
        <w:gridCol w:w="1888"/>
        <w:gridCol w:w="1888"/>
        <w:gridCol w:w="1888"/>
        <w:gridCol w:w="1888"/>
      </w:tblGrid>
      <w:tr>
        <w:trPr>
          <w:trHeight w:hRule="exact" w:val="254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 20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 21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 22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 23</w:t>
            </w:r>
          </w:p>
        </w:tc>
        <w:tc>
          <w:tcPr>
            <w:tcW w:type="dxa" w:w="3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1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 24</w:t>
            </w:r>
          </w:p>
        </w:tc>
      </w:tr>
    </w:tbl>
    <w:p>
      <w:pPr>
        <w:autoSpaceDN w:val="0"/>
        <w:autoSpaceDE w:val="0"/>
        <w:widowControl/>
        <w:spacing w:line="268" w:lineRule="exact" w:before="328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Investments – Trading Portfolio</w:t>
      </w:r>
    </w:p>
    <w:p>
      <w:pPr>
        <w:autoSpaceDN w:val="0"/>
        <w:autoSpaceDE w:val="0"/>
        <w:widowControl/>
        <w:spacing w:line="240" w:lineRule="exact" w:before="124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primary objective of IDA’s investments-trading portfolio strategy continues to be preservation of capital within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institutional constraints. Consistent with this primary objective, IDA invests in high quality instruments. IDA aims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to earn reasonable investment returns, while ensuring timely availability of funds for future cash flow requirements,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including disbursements for loans, grants, debt service, and administrative expenses.</w:t>
      </w:r>
    </w:p>
    <w:p>
      <w:pPr>
        <w:autoSpaceDN w:val="0"/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investments-trading portfolio is held in three sub-portfolios: Operational, Stable, and Discretionary. Each may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have different risk profiles and performance guidelines (Table 20). </w:t>
      </w:r>
    </w:p>
    <w:p>
      <w:pPr>
        <w:autoSpaceDN w:val="0"/>
        <w:tabs>
          <w:tab w:pos="550" w:val="left"/>
        </w:tabs>
        <w:autoSpaceDE w:val="0"/>
        <w:widowControl/>
        <w:spacing w:line="220" w:lineRule="exact" w:before="140" w:after="0"/>
        <w:ind w:left="19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/>
          <w:color w:val="000000"/>
          <w:sz w:val="20"/>
        </w:rPr>
        <w:t>Operational portfolio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 is used to meet IDA’s day-to-day cash flow requirements.</w:t>
      </w:r>
    </w:p>
    <w:p>
      <w:pPr>
        <w:autoSpaceDN w:val="0"/>
        <w:tabs>
          <w:tab w:pos="550" w:val="left"/>
        </w:tabs>
        <w:autoSpaceDE w:val="0"/>
        <w:widowControl/>
        <w:spacing w:line="240" w:lineRule="exact" w:before="120" w:after="0"/>
        <w:ind w:left="19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/>
          <w:color w:val="000000"/>
          <w:sz w:val="20"/>
        </w:rPr>
        <w:t>Stable portfolio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 is mainly an investment portfolio holding all or a portion of the Prudential Minimum level of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liquidity, set at the start of each fiscal year. </w:t>
      </w:r>
    </w:p>
    <w:p>
      <w:pPr>
        <w:autoSpaceDN w:val="0"/>
        <w:tabs>
          <w:tab w:pos="550" w:val="left"/>
        </w:tabs>
        <w:autoSpaceDE w:val="0"/>
        <w:widowControl/>
        <w:spacing w:line="240" w:lineRule="exact" w:before="120" w:after="0"/>
        <w:ind w:left="19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/>
          <w:color w:val="000000"/>
          <w:sz w:val="20"/>
        </w:rPr>
        <w:t xml:space="preserve">Discretionary portfolio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gives IDA the flexibility to execute its borrowing program and can be used to tap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attractive market opportunities. Additional portions of the Prudential Minimum may also be held in this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portfolio. 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of June 30, 2024, the operational sub-portfolio increased by $1.8 billion compared to June 30, 2023, mainly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driven by the cash inflows from the issuances of debt during FY24. As of June 30, 2024, $22.8 billion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(approximately 68% of total volume) of the net investment portfolio was due to mature within six months, of which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$9.3 billion was expected to mature within one month. </w:t>
      </w:r>
    </w:p>
    <w:p>
      <w:pPr>
        <w:autoSpaceDN w:val="0"/>
        <w:autoSpaceDE w:val="0"/>
        <w:widowControl/>
        <w:spacing w:line="240" w:lineRule="exact" w:before="120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IDA’s total return on its investments-trading portfolio for FY24 (excluding unrealized mark-to-market gains / losses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on PEBP assets) was 4.58%, compared to 2.63% in FY23, primarily due to higher interest revenue resulting from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increase in average interest rates in FY24, and unrealized mark-to-market gains in FY24 compared to unrealized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mark-to-market losses in FY23. The unrealized mark-to-market gains in FY24 primarily reflected the decrease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yields on EUR denominated bonds during the year.</w:t>
      </w:r>
    </w:p>
    <w:p>
      <w:pPr>
        <w:autoSpaceDN w:val="0"/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Table 20 provides a breakdown of the outstanding balances, average balances and returns of IDA’s investments-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trading portfolio. For details on returns of the total portfolio, see Section IV: Financial Results. </w:t>
      </w:r>
    </w:p>
    <w:p>
      <w:pPr>
        <w:autoSpaceDN w:val="0"/>
        <w:tabs>
          <w:tab w:pos="662" w:val="left"/>
        </w:tabs>
        <w:autoSpaceDE w:val="0"/>
        <w:widowControl/>
        <w:spacing w:line="224" w:lineRule="exact" w:before="1660" w:after="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34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Management's Discussion and Analysis:  June 30, 2024</w:t>
      </w:r>
    </w:p>
    <w:p>
      <w:pPr>
        <w:sectPr>
          <w:pgSz w:w="12240" w:h="15840"/>
          <w:pgMar w:top="360" w:right="1370" w:bottom="424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30"/>
        <w:gridCol w:w="4730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VII: Investment Activities</w:t>
            </w:r>
          </w:p>
        </w:tc>
      </w:tr>
    </w:tbl>
    <w:p>
      <w:pPr>
        <w:autoSpaceDN w:val="0"/>
        <w:autoSpaceDE w:val="0"/>
        <w:widowControl/>
        <w:spacing w:line="178" w:lineRule="exact" w:before="408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Table 20: Investments Trading Portfolio</w:t>
      </w:r>
    </w:p>
    <w:p>
      <w:pPr>
        <w:autoSpaceDN w:val="0"/>
        <w:autoSpaceDE w:val="0"/>
        <w:widowControl/>
        <w:spacing w:line="178" w:lineRule="exact" w:before="74" w:after="74"/>
        <w:ind w:left="1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dollars, except rates in percentages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51"/>
        <w:gridCol w:w="1051"/>
        <w:gridCol w:w="1051"/>
        <w:gridCol w:w="1051"/>
        <w:gridCol w:w="1051"/>
        <w:gridCol w:w="1051"/>
        <w:gridCol w:w="1051"/>
        <w:gridCol w:w="1051"/>
        <w:gridCol w:w="1051"/>
      </w:tblGrid>
      <w:tr>
        <w:trPr>
          <w:trHeight w:hRule="exact" w:val="264"/>
        </w:trPr>
        <w:tc>
          <w:tcPr>
            <w:tcW w:type="dxa" w:w="1546"/>
            <w:vMerge w:val="restart"/>
            <w:tcBorders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96" w:after="0"/>
              <w:ind w:left="1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Sub Portfolios</w:t>
            </w:r>
          </w:p>
        </w:tc>
        <w:tc>
          <w:tcPr>
            <w:tcW w:type="dxa" w:w="364"/>
            <w:vMerge w:val="restart"/>
            <w:tcBorders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19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929292"/>
                <w:sz w:val="16"/>
              </w:rPr>
              <w:t>Outstanding as of June 30</w:t>
            </w:r>
          </w:p>
        </w:tc>
        <w:tc>
          <w:tcPr>
            <w:tcW w:type="dxa" w:w="360"/>
            <w:vMerge w:val="restart"/>
            <w:tcBorders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9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17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929292"/>
                <w:sz w:val="16"/>
              </w:rPr>
              <w:t>Average Balance</w:t>
            </w:r>
          </w:p>
        </w:tc>
        <w:tc>
          <w:tcPr>
            <w:tcW w:type="dxa" w:w="256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929292"/>
                <w:sz w:val="16"/>
              </w:rPr>
              <w:t>Average Return</w:t>
            </w:r>
          </w:p>
        </w:tc>
      </w:tr>
      <w:tr>
        <w:trPr>
          <w:trHeight w:hRule="exact" w:val="244"/>
        </w:trPr>
        <w:tc>
          <w:tcPr>
            <w:tcW w:type="dxa" w:w="1051"/>
            <w:vMerge/>
            <w:tcBorders>
              <w:bottom w:sz="8.0" w:val="single" w:color="#929292"/>
            </w:tcBorders>
          </w:tcPr>
          <w:p/>
        </w:tc>
        <w:tc>
          <w:tcPr>
            <w:tcW w:type="dxa" w:w="1051"/>
            <w:vMerge/>
            <w:tcBorders>
              <w:bottom w:sz="8.0" w:val="single" w:color="#929292"/>
            </w:tcBorders>
          </w:tcPr>
          <w:p/>
        </w:tc>
        <w:tc>
          <w:tcPr>
            <w:tcW w:type="dxa" w:w="168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2024</w:t>
            </w:r>
          </w:p>
        </w:tc>
        <w:tc>
          <w:tcPr>
            <w:tcW w:type="dxa" w:w="100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2023</w:t>
            </w:r>
          </w:p>
        </w:tc>
        <w:tc>
          <w:tcPr>
            <w:tcW w:type="dxa" w:w="1051"/>
            <w:vMerge/>
            <w:tcBorders>
              <w:bottom w:sz="8.0" w:val="single" w:color="#929292"/>
            </w:tcBorders>
          </w:tcPr>
          <w:p/>
        </w:tc>
        <w:tc>
          <w:tcPr>
            <w:tcW w:type="dxa" w:w="116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47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FY24</w:t>
            </w:r>
          </w:p>
        </w:tc>
        <w:tc>
          <w:tcPr>
            <w:tcW w:type="dxa" w:w="764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1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FY23</w:t>
            </w:r>
          </w:p>
        </w:tc>
        <w:tc>
          <w:tcPr>
            <w:tcW w:type="dxa" w:w="1596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52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FY24</w:t>
            </w:r>
          </w:p>
        </w:tc>
        <w:tc>
          <w:tcPr>
            <w:tcW w:type="dxa" w:w="97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FY23</w:t>
            </w:r>
          </w:p>
        </w:tc>
      </w:tr>
      <w:tr>
        <w:trPr>
          <w:trHeight w:hRule="exact" w:val="236"/>
        </w:trPr>
        <w:tc>
          <w:tcPr>
            <w:tcW w:type="dxa" w:w="1546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27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Operational </w:t>
            </w:r>
          </w:p>
        </w:tc>
        <w:tc>
          <w:tcPr>
            <w:tcW w:type="dxa" w:w="364"/>
            <w:vMerge w:val="restart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680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3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6,047 $ </w:t>
            </w:r>
          </w:p>
        </w:tc>
        <w:tc>
          <w:tcPr>
            <w:tcW w:type="dxa" w:w="1000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4,235 </w:t>
            </w:r>
          </w:p>
        </w:tc>
        <w:tc>
          <w:tcPr>
            <w:tcW w:type="dxa" w:w="360"/>
            <w:vMerge w:val="restart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60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1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5,942 $ </w:t>
            </w:r>
          </w:p>
        </w:tc>
        <w:tc>
          <w:tcPr>
            <w:tcW w:type="dxa" w:w="764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11,200 </w:t>
            </w:r>
          </w:p>
        </w:tc>
        <w:tc>
          <w:tcPr>
            <w:tcW w:type="dxa" w:w="1596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2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4.73 %</w:t>
            </w:r>
          </w:p>
        </w:tc>
        <w:tc>
          <w:tcPr>
            <w:tcW w:type="dxa" w:w="970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3.01 %</w:t>
            </w:r>
          </w:p>
        </w:tc>
      </w:tr>
      <w:tr>
        <w:trPr>
          <w:trHeight w:hRule="exact" w:val="240"/>
        </w:trPr>
        <w:tc>
          <w:tcPr>
            <w:tcW w:type="dxa" w:w="15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27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Stable</w:t>
            </w:r>
          </w:p>
        </w:tc>
        <w:tc>
          <w:tcPr>
            <w:tcW w:type="dxa" w:w="1051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26,963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22,494 </w:t>
            </w:r>
          </w:p>
        </w:tc>
        <w:tc>
          <w:tcPr>
            <w:tcW w:type="dxa" w:w="1051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2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25,789 </w:t>
            </w:r>
          </w:p>
        </w:tc>
        <w:tc>
          <w:tcPr>
            <w:tcW w:type="dxa" w:w="7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21,332 </w:t>
            </w:r>
          </w:p>
        </w:tc>
        <w:tc>
          <w:tcPr>
            <w:tcW w:type="dxa" w:w="15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44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4.52 </w:t>
            </w:r>
          </w:p>
        </w:tc>
        <w:tc>
          <w:tcPr>
            <w:tcW w:type="dxa" w:w="9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4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2.12 </w:t>
            </w:r>
          </w:p>
        </w:tc>
      </w:tr>
      <w:tr>
        <w:trPr>
          <w:trHeight w:hRule="exact" w:val="244"/>
        </w:trPr>
        <w:tc>
          <w:tcPr>
            <w:tcW w:type="dxa" w:w="1546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Discretionary </w:t>
            </w:r>
          </w:p>
        </w:tc>
        <w:tc>
          <w:tcPr>
            <w:tcW w:type="dxa" w:w="1051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168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5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400 </w:t>
            </w:r>
          </w:p>
        </w:tc>
        <w:tc>
          <w:tcPr>
            <w:tcW w:type="dxa" w:w="100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3,699 </w:t>
            </w:r>
          </w:p>
        </w:tc>
        <w:tc>
          <w:tcPr>
            <w:tcW w:type="dxa" w:w="1051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116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858 </w:t>
            </w:r>
          </w:p>
        </w:tc>
        <w:tc>
          <w:tcPr>
            <w:tcW w:type="dxa" w:w="764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3,116 </w:t>
            </w:r>
          </w:p>
        </w:tc>
        <w:tc>
          <w:tcPr>
            <w:tcW w:type="dxa" w:w="1596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4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5.88 </w:t>
            </w:r>
          </w:p>
        </w:tc>
        <w:tc>
          <w:tcPr>
            <w:tcW w:type="dxa" w:w="97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5.00 </w:t>
            </w:r>
          </w:p>
        </w:tc>
      </w:tr>
      <w:tr>
        <w:trPr>
          <w:trHeight w:hRule="exact" w:val="220"/>
        </w:trPr>
        <w:tc>
          <w:tcPr>
            <w:tcW w:type="dxa" w:w="1546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11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364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680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36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33,410 $ </w:t>
            </w:r>
          </w:p>
        </w:tc>
        <w:tc>
          <w:tcPr>
            <w:tcW w:type="dxa" w:w="1000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9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30,428 </w:t>
            </w:r>
          </w:p>
        </w:tc>
        <w:tc>
          <w:tcPr>
            <w:tcW w:type="dxa" w:w="360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60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32,589 $ </w:t>
            </w:r>
          </w:p>
        </w:tc>
        <w:tc>
          <w:tcPr>
            <w:tcW w:type="dxa" w:w="764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35,648 </w:t>
            </w:r>
          </w:p>
        </w:tc>
        <w:tc>
          <w:tcPr>
            <w:tcW w:type="dxa" w:w="1596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296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 4.58 %</w:t>
            </w:r>
          </w:p>
        </w:tc>
        <w:tc>
          <w:tcPr>
            <w:tcW w:type="dxa" w:w="970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8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 2.63 %</w:t>
            </w:r>
          </w:p>
        </w:tc>
      </w:tr>
    </w:tbl>
    <w:p>
      <w:pPr>
        <w:autoSpaceDN w:val="0"/>
        <w:autoSpaceDE w:val="0"/>
        <w:widowControl/>
        <w:spacing w:line="240" w:lineRule="exact" w:before="494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IDA’s liquid assets are held mainly in the following types of highly rated, fixed-income instruments. See Table 27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for eligibility criteria for IDA’s investments.</w:t>
      </w:r>
    </w:p>
    <w:p>
      <w:pPr>
        <w:autoSpaceDN w:val="0"/>
        <w:tabs>
          <w:tab w:pos="370" w:val="left"/>
        </w:tabs>
        <w:autoSpaceDE w:val="0"/>
        <w:widowControl/>
        <w:spacing w:line="222" w:lineRule="exact" w:before="138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Government and Agency Obligations.</w:t>
      </w:r>
    </w:p>
    <w:p>
      <w:pPr>
        <w:autoSpaceDN w:val="0"/>
        <w:tabs>
          <w:tab w:pos="370" w:val="left"/>
        </w:tabs>
        <w:autoSpaceDE w:val="0"/>
        <w:widowControl/>
        <w:spacing w:line="222" w:lineRule="exact" w:before="78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Time deposits, and other unconditional obligations of banks and financial institutions.</w:t>
      </w:r>
    </w:p>
    <w:p>
      <w:pPr>
        <w:autoSpaceDN w:val="0"/>
        <w:tabs>
          <w:tab w:pos="370" w:val="left"/>
        </w:tabs>
        <w:autoSpaceDE w:val="0"/>
        <w:widowControl/>
        <w:spacing w:line="222" w:lineRule="exact" w:before="78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Asset-backed securities (including mortgage-backed securities).</w:t>
      </w:r>
    </w:p>
    <w:p>
      <w:pPr>
        <w:autoSpaceDN w:val="0"/>
        <w:tabs>
          <w:tab w:pos="370" w:val="left"/>
        </w:tabs>
        <w:autoSpaceDE w:val="0"/>
        <w:widowControl/>
        <w:spacing w:line="222" w:lineRule="exact" w:before="78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Currency and interest rate derivatives (including currency forward contracts).</w:t>
      </w:r>
    </w:p>
    <w:p>
      <w:pPr>
        <w:autoSpaceDN w:val="0"/>
        <w:tabs>
          <w:tab w:pos="370" w:val="left"/>
        </w:tabs>
        <w:autoSpaceDE w:val="0"/>
        <w:widowControl/>
        <w:spacing w:line="222" w:lineRule="exact" w:before="78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Exchange-traded options and futures.</w:t>
      </w:r>
    </w:p>
    <w:p>
      <w:pPr>
        <w:autoSpaceDN w:val="0"/>
        <w:autoSpaceDE w:val="0"/>
        <w:widowControl/>
        <w:spacing w:line="240" w:lineRule="exact" w:before="120" w:after="0"/>
        <w:ind w:left="10" w:right="4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IDA’s prudential minimum liquidity policy ensures that it holds sufficient liquidity. The prudential minimum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liquidity level is set at 80% of 24 months of projected net outflows. The prudential minimum for FY25 has been set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at $29.5 billion, compared to $24.7 billion for FY24, a $4.8 billion increase due to higher projected debt service. See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Section IX: Risk Management for details on how IDA manages liquidity risk. </w:t>
      </w:r>
    </w:p>
    <w:p>
      <w:pPr>
        <w:autoSpaceDN w:val="0"/>
        <w:autoSpaceDE w:val="0"/>
        <w:widowControl/>
        <w:spacing w:line="268" w:lineRule="exact" w:before="136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Investments - Non-Trading Portfolio</w:t>
      </w:r>
    </w:p>
    <w:p>
      <w:pPr>
        <w:autoSpaceDN w:val="0"/>
        <w:autoSpaceDE w:val="0"/>
        <w:widowControl/>
        <w:spacing w:line="240" w:lineRule="exact" w:before="124" w:after="0"/>
        <w:ind w:left="10" w:right="4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During FY15, with the proceeds of a concessional loan from a member, IDA purchased a debt security issued by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IFC. IDA elected to measure the security at fair value, so that the measurement method could be consistently applied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to all its investments. As of June 30, 2024, the investments non-trading portfolio had a fair value of $171 million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($244 million in FY23). The changes in fair value for this security are recognized in the Unrealized mark-to-market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gains (losses) on non-trading portfolios, net line in the Statements of Income.  See Notes to the Financial Statements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for the year ended June 30, 2024, Note C – Investments and Note H - Transactions with Affiliated Organizations.</w:t>
      </w:r>
    </w:p>
    <w:p>
      <w:pPr>
        <w:autoSpaceDN w:val="0"/>
        <w:tabs>
          <w:tab w:pos="9094" w:val="left"/>
        </w:tabs>
        <w:autoSpaceDE w:val="0"/>
        <w:widowControl/>
        <w:spacing w:line="224" w:lineRule="exact" w:before="5820" w:after="0"/>
        <w:ind w:left="32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Management's Discussion and Analysis: 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35</w:t>
      </w:r>
    </w:p>
    <w:p>
      <w:pPr>
        <w:sectPr>
          <w:pgSz w:w="12240" w:h="15840"/>
          <w:pgMar w:top="360" w:right="1350" w:bottom="424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7.99999999999983" w:type="dxa"/>
      </w:tblPr>
      <w:tblGrid>
        <w:gridCol w:w="4786"/>
        <w:gridCol w:w="4786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VIII: Borrowing Activities</w:t>
            </w:r>
          </w:p>
        </w:tc>
      </w:tr>
    </w:tbl>
    <w:p>
      <w:pPr>
        <w:autoSpaceDN w:val="0"/>
        <w:autoSpaceDE w:val="0"/>
        <w:widowControl/>
        <w:spacing w:line="314" w:lineRule="exact" w:before="438" w:after="0"/>
        <w:ind w:left="19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Section VIII: Borrowing Activities</w:t>
      </w:r>
    </w:p>
    <w:p>
      <w:pPr>
        <w:autoSpaceDN w:val="0"/>
        <w:autoSpaceDE w:val="0"/>
        <w:widowControl/>
        <w:spacing w:line="240" w:lineRule="exact" w:before="206" w:after="0"/>
        <w:ind w:left="142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IDA’s borrowing portfolio comprises market borrowings (carried at amortized cost or fair value) and concessional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partner loans made by IDA members (carried at amortized cost).</w:t>
      </w:r>
    </w:p>
    <w:p>
      <w:pPr>
        <w:autoSpaceDN w:val="0"/>
        <w:autoSpaceDE w:val="0"/>
        <w:widowControl/>
        <w:spacing w:line="178" w:lineRule="exact" w:before="150" w:after="0"/>
        <w:ind w:left="14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Table 21: Borrowing Portfolio</w:t>
      </w:r>
    </w:p>
    <w:p>
      <w:pPr>
        <w:autoSpaceDN w:val="0"/>
        <w:autoSpaceDE w:val="0"/>
        <w:widowControl/>
        <w:spacing w:line="178" w:lineRule="exact" w:before="74" w:after="54"/>
        <w:ind w:left="14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dollars, except rates in percentages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70"/>
        <w:gridCol w:w="870"/>
        <w:gridCol w:w="870"/>
        <w:gridCol w:w="870"/>
        <w:gridCol w:w="870"/>
        <w:gridCol w:w="870"/>
        <w:gridCol w:w="870"/>
        <w:gridCol w:w="870"/>
        <w:gridCol w:w="870"/>
        <w:gridCol w:w="870"/>
        <w:gridCol w:w="870"/>
      </w:tblGrid>
      <w:tr>
        <w:trPr>
          <w:trHeight w:hRule="exact" w:val="284"/>
        </w:trPr>
        <w:tc>
          <w:tcPr>
            <w:tcW w:type="dxa" w:w="2390"/>
            <w:vMerge w:val="restart"/>
            <w:tcBorders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15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Outstanding as of June 30,</w:t>
            </w:r>
          </w:p>
        </w:tc>
        <w:tc>
          <w:tcPr>
            <w:tcW w:type="dxa" w:w="458"/>
            <w:vMerge w:val="restart"/>
            <w:tcBorders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5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4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 xml:space="preserve">Interest expense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808080"/>
                <w:sz w:val="10"/>
              </w:rPr>
              <w:t>a</w:t>
            </w:r>
          </w:p>
        </w:tc>
        <w:tc>
          <w:tcPr>
            <w:tcW w:type="dxa" w:w="26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Weighted average rate</w:t>
            </w:r>
          </w:p>
        </w:tc>
      </w:tr>
      <w:tr>
        <w:trPr>
          <w:trHeight w:hRule="exact" w:val="244"/>
        </w:trPr>
        <w:tc>
          <w:tcPr>
            <w:tcW w:type="dxa" w:w="870"/>
            <w:vMerge/>
            <w:tcBorders>
              <w:bottom w:sz="8.0" w:val="single" w:color="#929292"/>
            </w:tcBorders>
          </w:tcPr>
          <w:p/>
        </w:tc>
        <w:tc>
          <w:tcPr>
            <w:tcW w:type="dxa" w:w="1072"/>
            <w:gridSpan w:val="2"/>
            <w:tcBorders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8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2024</w:t>
            </w:r>
          </w:p>
        </w:tc>
        <w:tc>
          <w:tcPr>
            <w:tcW w:type="dxa" w:w="1082"/>
            <w:gridSpan w:val="2"/>
            <w:tcBorders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2023</w:t>
            </w:r>
          </w:p>
        </w:tc>
        <w:tc>
          <w:tcPr>
            <w:tcW w:type="dxa" w:w="870"/>
            <w:vMerge/>
            <w:tcBorders>
              <w:bottom w:sz="8.0" w:val="single" w:color="#929292"/>
            </w:tcBorders>
          </w:tcPr>
          <w:p/>
        </w:tc>
        <w:tc>
          <w:tcPr>
            <w:tcW w:type="dxa" w:w="78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FY24</w:t>
            </w:r>
          </w:p>
        </w:tc>
        <w:tc>
          <w:tcPr>
            <w:tcW w:type="dxa" w:w="1072"/>
            <w:gridSpan w:val="2"/>
            <w:tcBorders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FY23</w:t>
            </w:r>
          </w:p>
        </w:tc>
        <w:tc>
          <w:tcPr>
            <w:tcW w:type="dxa" w:w="1628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FY24</w:t>
            </w:r>
          </w:p>
        </w:tc>
        <w:tc>
          <w:tcPr>
            <w:tcW w:type="dxa" w:w="1018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FY23</w:t>
            </w:r>
          </w:p>
        </w:tc>
      </w:tr>
      <w:tr>
        <w:trPr>
          <w:trHeight w:hRule="exact" w:val="196"/>
        </w:trPr>
        <w:tc>
          <w:tcPr>
            <w:tcW w:type="dxa" w:w="2390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Market debt including related </w:t>
            </w:r>
          </w:p>
        </w:tc>
        <w:tc>
          <w:tcPr>
            <w:tcW w:type="dxa" w:w="312"/>
            <w:vMerge w:val="restart"/>
            <w:tcBorders>
              <w:top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60"/>
            <w:vMerge w:val="restart"/>
            <w:tcBorders>
              <w:top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28,530 </w:t>
            </w:r>
          </w:p>
        </w:tc>
        <w:tc>
          <w:tcPr>
            <w:tcW w:type="dxa" w:w="396"/>
            <w:vMerge w:val="restart"/>
            <w:tcBorders>
              <w:top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86"/>
            <w:vMerge w:val="restart"/>
            <w:tcBorders>
              <w:top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16" w:after="0"/>
              <w:ind w:left="1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19,612 </w:t>
            </w:r>
          </w:p>
        </w:tc>
        <w:tc>
          <w:tcPr>
            <w:tcW w:type="dxa" w:w="458"/>
            <w:vMerge w:val="restart"/>
            <w:tcBorders>
              <w:top w:sz="8.0" w:val="single" w:color="#929292"/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16" w:after="0"/>
              <w:ind w:left="0" w:right="1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80"/>
            <w:vMerge w:val="restart"/>
            <w:tcBorders>
              <w:top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16" w:after="0"/>
              <w:ind w:left="0" w:right="1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1,282 </w:t>
            </w:r>
          </w:p>
        </w:tc>
        <w:tc>
          <w:tcPr>
            <w:tcW w:type="dxa" w:w="498"/>
            <w:vMerge w:val="restart"/>
            <w:tcBorders>
              <w:top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16" w:after="0"/>
              <w:ind w:left="0" w:right="2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74"/>
            <w:vMerge w:val="restart"/>
            <w:tcBorders>
              <w:top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16" w:after="0"/>
              <w:ind w:left="0" w:right="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703 </w:t>
            </w:r>
          </w:p>
        </w:tc>
        <w:tc>
          <w:tcPr>
            <w:tcW w:type="dxa" w:w="1628"/>
            <w:vMerge w:val="restart"/>
            <w:tcBorders>
              <w:top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16" w:after="0"/>
              <w:ind w:left="0" w:right="32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5.27 %</w:t>
            </w:r>
          </w:p>
        </w:tc>
        <w:tc>
          <w:tcPr>
            <w:tcW w:type="dxa" w:w="1018"/>
            <w:vMerge w:val="restart"/>
            <w:tcBorders>
              <w:top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16" w:after="0"/>
              <w:ind w:left="0" w:right="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4.99 %</w:t>
            </w:r>
          </w:p>
        </w:tc>
      </w:tr>
      <w:tr>
        <w:trPr>
          <w:trHeight w:hRule="exact" w:val="220"/>
        </w:trPr>
        <w:tc>
          <w:tcPr>
            <w:tcW w:type="dxa" w:w="23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derivatives, at fair value</w:t>
            </w:r>
          </w:p>
        </w:tc>
        <w:tc>
          <w:tcPr>
            <w:tcW w:type="dxa" w:w="870"/>
            <w:vMerge/>
            <w:tcBorders>
              <w:top w:sz="8.0" w:val="single" w:color="#929292"/>
            </w:tcBorders>
          </w:tcPr>
          <w:p/>
        </w:tc>
        <w:tc>
          <w:tcPr>
            <w:tcW w:type="dxa" w:w="870"/>
            <w:vMerge/>
            <w:tcBorders>
              <w:top w:sz="8.0" w:val="single" w:color="#929292"/>
            </w:tcBorders>
          </w:tcPr>
          <w:p/>
        </w:tc>
        <w:tc>
          <w:tcPr>
            <w:tcW w:type="dxa" w:w="870"/>
            <w:vMerge/>
            <w:tcBorders>
              <w:top w:sz="8.0" w:val="single" w:color="#929292"/>
            </w:tcBorders>
          </w:tcPr>
          <w:p/>
        </w:tc>
        <w:tc>
          <w:tcPr>
            <w:tcW w:type="dxa" w:w="870"/>
            <w:vMerge/>
            <w:tcBorders>
              <w:top w:sz="8.0" w:val="single" w:color="#929292"/>
            </w:tcBorders>
          </w:tcPr>
          <w:p/>
        </w:tc>
        <w:tc>
          <w:tcPr>
            <w:tcW w:type="dxa" w:w="870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870"/>
            <w:vMerge/>
            <w:tcBorders>
              <w:top w:sz="8.0" w:val="single" w:color="#929292"/>
            </w:tcBorders>
          </w:tcPr>
          <w:p/>
        </w:tc>
        <w:tc>
          <w:tcPr>
            <w:tcW w:type="dxa" w:w="870"/>
            <w:vMerge/>
            <w:tcBorders>
              <w:top w:sz="8.0" w:val="single" w:color="#929292"/>
            </w:tcBorders>
          </w:tcPr>
          <w:p/>
        </w:tc>
        <w:tc>
          <w:tcPr>
            <w:tcW w:type="dxa" w:w="870"/>
            <w:vMerge/>
            <w:tcBorders>
              <w:top w:sz="8.0" w:val="single" w:color="#929292"/>
            </w:tcBorders>
          </w:tcPr>
          <w:p/>
        </w:tc>
        <w:tc>
          <w:tcPr>
            <w:tcW w:type="dxa" w:w="870"/>
            <w:vMerge/>
            <w:tcBorders>
              <w:top w:sz="8.0" w:val="single" w:color="#929292"/>
            </w:tcBorders>
          </w:tcPr>
          <w:p/>
        </w:tc>
        <w:tc>
          <w:tcPr>
            <w:tcW w:type="dxa" w:w="870"/>
            <w:vMerge/>
            <w:tcBorders>
              <w:top w:sz="8.0" w:val="single" w:color="#929292"/>
            </w:tcBorders>
          </w:tcPr>
          <w:p/>
        </w:tc>
      </w:tr>
      <w:tr>
        <w:trPr>
          <w:trHeight w:hRule="exact" w:val="240"/>
        </w:trPr>
        <w:tc>
          <w:tcPr>
            <w:tcW w:type="dxa" w:w="23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Market debt, at amortized cost</w:t>
            </w:r>
          </w:p>
        </w:tc>
        <w:tc>
          <w:tcPr>
            <w:tcW w:type="dxa" w:w="107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10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11,494 </w:t>
            </w:r>
          </w:p>
        </w:tc>
        <w:tc>
          <w:tcPr>
            <w:tcW w:type="dxa" w:w="108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8,627 </w:t>
            </w:r>
          </w:p>
        </w:tc>
        <w:tc>
          <w:tcPr>
            <w:tcW w:type="dxa" w:w="870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1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159 </w:t>
            </w:r>
          </w:p>
        </w:tc>
        <w:tc>
          <w:tcPr>
            <w:tcW w:type="dxa" w:w="107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97 </w:t>
            </w:r>
          </w:p>
        </w:tc>
        <w:tc>
          <w:tcPr>
            <w:tcW w:type="dxa" w:w="16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50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1.82 </w:t>
            </w:r>
          </w:p>
        </w:tc>
        <w:tc>
          <w:tcPr>
            <w:tcW w:type="dxa" w:w="10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2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1.28 </w:t>
            </w:r>
          </w:p>
        </w:tc>
      </w:tr>
      <w:tr>
        <w:trPr>
          <w:trHeight w:hRule="exact" w:val="260"/>
        </w:trPr>
        <w:tc>
          <w:tcPr>
            <w:tcW w:type="dxa" w:w="239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Concessional partner loans</w:t>
            </w:r>
          </w:p>
        </w:tc>
        <w:tc>
          <w:tcPr>
            <w:tcW w:type="dxa" w:w="1072"/>
            <w:gridSpan w:val="2"/>
            <w:tcBorders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10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7,004 </w:t>
            </w:r>
          </w:p>
        </w:tc>
        <w:tc>
          <w:tcPr>
            <w:tcW w:type="dxa" w:w="1082"/>
            <w:gridSpan w:val="2"/>
            <w:tcBorders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7,154 </w:t>
            </w:r>
          </w:p>
        </w:tc>
        <w:tc>
          <w:tcPr>
            <w:tcW w:type="dxa" w:w="870"/>
            <w:vMerge/>
            <w:tcBorders>
              <w:top w:sz="8.0" w:val="single" w:color="#929292"/>
              <w:bottom w:sz="8.0" w:val="single" w:color="#929292"/>
            </w:tcBorders>
          </w:tcPr>
          <w:p/>
        </w:tc>
        <w:tc>
          <w:tcPr>
            <w:tcW w:type="dxa" w:w="78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1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143 </w:t>
            </w:r>
          </w:p>
        </w:tc>
        <w:tc>
          <w:tcPr>
            <w:tcW w:type="dxa" w:w="1072"/>
            <w:gridSpan w:val="2"/>
            <w:tcBorders>
              <w:bottom w:sz="8.0" w:val="single" w:color="#929292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139 </w:t>
            </w:r>
          </w:p>
        </w:tc>
        <w:tc>
          <w:tcPr>
            <w:tcW w:type="dxa" w:w="1628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50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2.01 </w:t>
            </w:r>
          </w:p>
        </w:tc>
        <w:tc>
          <w:tcPr>
            <w:tcW w:type="dxa" w:w="1018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20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2.02 </w:t>
            </w:r>
          </w:p>
        </w:tc>
      </w:tr>
      <w:tr>
        <w:trPr>
          <w:trHeight w:hRule="exact" w:val="268"/>
        </w:trPr>
        <w:tc>
          <w:tcPr>
            <w:tcW w:type="dxa" w:w="2390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10" w:after="0"/>
              <w:ind w:left="62" w:right="0" w:firstLine="0"/>
              <w:jc w:val="left"/>
            </w:pPr>
            <w:r>
              <w:rPr>
                <w:rFonts w:ascii="TimesNewRoman" w:hAnsi="TimesNewRoman" w:eastAsia="TimesNewRoman"/>
                <w:b/>
                <w:i w:val="0"/>
                <w:color w:val="000000"/>
                <w:sz w:val="20"/>
              </w:rPr>
              <w:t>Total</w:t>
            </w:r>
          </w:p>
        </w:tc>
        <w:tc>
          <w:tcPr>
            <w:tcW w:type="dxa" w:w="312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60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47,028 </w:t>
            </w:r>
          </w:p>
        </w:tc>
        <w:tc>
          <w:tcPr>
            <w:tcW w:type="dxa" w:w="396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86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12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35,393 </w:t>
            </w:r>
          </w:p>
        </w:tc>
        <w:tc>
          <w:tcPr>
            <w:tcW w:type="dxa" w:w="458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112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80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11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1,584 </w:t>
            </w:r>
          </w:p>
        </w:tc>
        <w:tc>
          <w:tcPr>
            <w:tcW w:type="dxa" w:w="498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2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74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3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939 </w:t>
            </w:r>
          </w:p>
        </w:tc>
        <w:tc>
          <w:tcPr>
            <w:tcW w:type="dxa" w:w="1628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40" w:after="0"/>
              <w:ind w:left="0" w:right="328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 3.93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%</w:t>
            </w:r>
          </w:p>
        </w:tc>
        <w:tc>
          <w:tcPr>
            <w:tcW w:type="dxa" w:w="1018"/>
            <w:tcBorders>
              <w:top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40" w:after="0"/>
              <w:ind w:left="0" w:right="26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 3.47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%</w:t>
            </w:r>
          </w:p>
        </w:tc>
      </w:tr>
    </w:tbl>
    <w:p>
      <w:pPr>
        <w:autoSpaceDN w:val="0"/>
        <w:autoSpaceDE w:val="0"/>
        <w:widowControl/>
        <w:spacing w:line="178" w:lineRule="exact" w:before="284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a. Excludes interest expenses associated with repurchase agreements - $32 million in FY24 (FY23 - $18 million).</w:t>
      </w:r>
    </w:p>
    <w:p>
      <w:pPr>
        <w:autoSpaceDN w:val="0"/>
        <w:autoSpaceDE w:val="0"/>
        <w:widowControl/>
        <w:spacing w:line="268" w:lineRule="exact" w:before="212" w:after="0"/>
        <w:ind w:left="14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Market Debt</w:t>
      </w:r>
    </w:p>
    <w:p>
      <w:pPr>
        <w:autoSpaceDN w:val="0"/>
        <w:autoSpaceDE w:val="0"/>
        <w:widowControl/>
        <w:spacing w:line="240" w:lineRule="exact" w:before="124" w:after="0"/>
        <w:ind w:left="142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of June 30, 2024, the market borrowing portfolio recorded at fair value was $28.5 billion, an increase of $8.9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billion compared to June 30, 2023, primarily due to net issuances during the year. </w:t>
      </w:r>
    </w:p>
    <w:p>
      <w:pPr>
        <w:autoSpaceDN w:val="0"/>
        <w:autoSpaceDE w:val="0"/>
        <w:widowControl/>
        <w:spacing w:line="240" w:lineRule="exact" w:before="120" w:after="0"/>
        <w:ind w:left="142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of June 30, 2024, market borrowings recorded at amortized cost was $11.5 billion, an increase of $2.9 billion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compared to June 30, 2023, primarily due to a new issuances during the year.</w:t>
      </w:r>
    </w:p>
    <w:p>
      <w:pPr>
        <w:autoSpaceDN w:val="0"/>
        <w:autoSpaceDE w:val="0"/>
        <w:widowControl/>
        <w:spacing w:line="268" w:lineRule="exact" w:before="136" w:after="0"/>
        <w:ind w:left="14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Concessional Partner Loans</w:t>
      </w:r>
    </w:p>
    <w:p>
      <w:pPr>
        <w:autoSpaceDN w:val="0"/>
        <w:autoSpaceDE w:val="0"/>
        <w:widowControl/>
        <w:spacing w:line="240" w:lineRule="exact" w:before="124" w:after="0"/>
        <w:ind w:left="142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Concessional Partner Loans (CPLs) continue as a source of funding, whereby the borrowing terms of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concessional loans from members aim to follow the concessional features of IDA’s loans. </w:t>
      </w:r>
    </w:p>
    <w:p>
      <w:pPr>
        <w:autoSpaceDN w:val="0"/>
        <w:autoSpaceDE w:val="0"/>
        <w:widowControl/>
        <w:spacing w:line="240" w:lineRule="exact" w:before="120" w:after="0"/>
        <w:ind w:left="142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maturities of the CPLs can be 25, 40 or 50 years to match the terms of IDA’s loans, with a grace period 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principal repayments of 5 years for a 25-year loan and 10 years for a 40-year or a 50-year loan. The loans have an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all-in SDR equivalent coupon of up to one percent.</w:t>
      </w:r>
    </w:p>
    <w:p>
      <w:pPr>
        <w:autoSpaceDN w:val="0"/>
        <w:autoSpaceDE w:val="0"/>
        <w:widowControl/>
        <w:spacing w:line="240" w:lineRule="exact" w:before="120" w:after="0"/>
        <w:ind w:left="142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Voting rights are allocated to members who provide concessional loans following the drawdowns by IDA, and are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based on the cash paid, computed as the derived grant element of the loan. The grant element, which is paid in cash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and recorded as equity, is a function of the terms of the loan and the discount rate agreed upon during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replenishment discussions. See Table 22.</w:t>
      </w:r>
    </w:p>
    <w:p>
      <w:pPr>
        <w:autoSpaceDN w:val="0"/>
        <w:autoSpaceDE w:val="0"/>
        <w:widowControl/>
        <w:spacing w:line="178" w:lineRule="exact" w:before="150" w:after="66"/>
        <w:ind w:left="14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Table 22: Concessional Partner Loans Terms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1.9999999999999" w:type="dxa"/>
      </w:tblPr>
      <w:tblGrid>
        <w:gridCol w:w="3191"/>
        <w:gridCol w:w="3191"/>
        <w:gridCol w:w="3191"/>
      </w:tblGrid>
      <w:tr>
        <w:trPr>
          <w:trHeight w:hRule="exact" w:val="276"/>
        </w:trPr>
        <w:tc>
          <w:tcPr>
            <w:tcW w:type="dxa" w:w="1750"/>
            <w:tcBorders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Maturity</w:t>
            </w:r>
          </w:p>
        </w:tc>
        <w:tc>
          <w:tcPr>
            <w:tcW w:type="dxa" w:w="2230"/>
            <w:tcBorders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0" w:right="17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Grace period</w:t>
            </w:r>
          </w:p>
        </w:tc>
        <w:tc>
          <w:tcPr>
            <w:tcW w:type="dxa" w:w="2790"/>
            <w:tcBorders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48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SDR Discount rates (IDA20)</w:t>
            </w:r>
          </w:p>
        </w:tc>
      </w:tr>
      <w:tr>
        <w:trPr>
          <w:trHeight w:hRule="exact" w:val="228"/>
        </w:trPr>
        <w:tc>
          <w:tcPr>
            <w:tcW w:type="dxa" w:w="1750"/>
            <w:tcBorders>
              <w:top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25-year</w:t>
            </w:r>
          </w:p>
        </w:tc>
        <w:tc>
          <w:tcPr>
            <w:tcW w:type="dxa" w:w="2230"/>
            <w:tcBorders>
              <w:top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37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 years</w:t>
            </w:r>
          </w:p>
        </w:tc>
        <w:tc>
          <w:tcPr>
            <w:tcW w:type="dxa" w:w="2790"/>
            <w:tcBorders>
              <w:top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10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1.41%</w:t>
            </w:r>
          </w:p>
        </w:tc>
      </w:tr>
      <w:tr>
        <w:trPr>
          <w:trHeight w:hRule="exact" w:val="240"/>
        </w:trPr>
        <w:tc>
          <w:tcPr>
            <w:tcW w:type="dxa" w:w="17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40-year</w:t>
            </w:r>
          </w:p>
        </w:tc>
        <w:tc>
          <w:tcPr>
            <w:tcW w:type="dxa" w:w="22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3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10 years</w:t>
            </w:r>
          </w:p>
        </w:tc>
        <w:tc>
          <w:tcPr>
            <w:tcW w:type="dxa" w:w="27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10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1.79%</w:t>
            </w:r>
          </w:p>
        </w:tc>
      </w:tr>
      <w:tr>
        <w:trPr>
          <w:trHeight w:hRule="exact" w:val="476"/>
        </w:trPr>
        <w:tc>
          <w:tcPr>
            <w:tcW w:type="dxa" w:w="1750"/>
            <w:tcBorders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50-year</w:t>
            </w:r>
          </w:p>
        </w:tc>
        <w:tc>
          <w:tcPr>
            <w:tcW w:type="dxa" w:w="2230"/>
            <w:tcBorders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3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10 years</w:t>
            </w:r>
          </w:p>
        </w:tc>
        <w:tc>
          <w:tcPr>
            <w:tcW w:type="dxa" w:w="2790"/>
            <w:tcBorders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10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1.84%</w:t>
            </w:r>
          </w:p>
        </w:tc>
      </w:tr>
    </w:tbl>
    <w:p>
      <w:pPr>
        <w:autoSpaceDN w:val="0"/>
        <w:autoSpaceDE w:val="0"/>
        <w:widowControl/>
        <w:spacing w:line="240" w:lineRule="exact" w:before="162" w:after="0"/>
        <w:ind w:left="142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concessional partner loans outstanding remained relatively unchanged at $7.0 billion as of June 30, 2024,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compared to $7.2 billion in June 30, 2023. Interest expense associated with these loans was $143 million in FY24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(FY23 - $139 million). </w:t>
      </w:r>
    </w:p>
    <w:p>
      <w:pPr>
        <w:autoSpaceDN w:val="0"/>
        <w:autoSpaceDE w:val="0"/>
        <w:widowControl/>
        <w:spacing w:line="240" w:lineRule="exact" w:before="120" w:after="0"/>
        <w:ind w:left="142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uses currency and interest rate derivatives in connection with its borrowings for asset and liability management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purposes. For more details, see Section IX: Risk Management.</w:t>
      </w:r>
    </w:p>
    <w:p>
      <w:pPr>
        <w:autoSpaceDN w:val="0"/>
        <w:tabs>
          <w:tab w:pos="794" w:val="left"/>
        </w:tabs>
        <w:autoSpaceDE w:val="0"/>
        <w:widowControl/>
        <w:spacing w:line="224" w:lineRule="exact" w:before="1808" w:after="0"/>
        <w:ind w:left="194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36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Management's Discussion and Analysis:  June 30, 2024</w:t>
      </w:r>
    </w:p>
    <w:p>
      <w:pPr>
        <w:sectPr>
          <w:pgSz w:w="12240" w:h="15840"/>
          <w:pgMar w:top="360" w:right="1370" w:bottom="424" w:left="129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914400</wp:posOffset>
            </wp:positionH>
            <wp:positionV relativeFrom="page">
              <wp:posOffset>1066800</wp:posOffset>
            </wp:positionV>
            <wp:extent cx="5880100" cy="1917700"/>
            <wp:wrapNone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80100" cy="19177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914400</wp:posOffset>
            </wp:positionH>
            <wp:positionV relativeFrom="page">
              <wp:posOffset>3276600</wp:posOffset>
            </wp:positionV>
            <wp:extent cx="5880100" cy="1917700"/>
            <wp:wrapNone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80100" cy="19177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20"/>
        <w:gridCol w:w="4720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VIII: Borrowing Activities</w:t>
            </w:r>
          </w:p>
        </w:tc>
      </w:tr>
    </w:tbl>
    <w:p>
      <w:pPr>
        <w:autoSpaceDN w:val="0"/>
        <w:autoSpaceDE w:val="0"/>
        <w:widowControl/>
        <w:spacing w:line="178" w:lineRule="exact" w:before="408" w:after="148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Figure 11: Effect of Derivatives on Currency Composition of the Borrowing Portfolio–June 30, 2024</w:t>
      </w:r>
    </w:p>
    <w:p>
      <w:pPr>
        <w:sectPr>
          <w:pgSz w:w="12240" w:h="15840"/>
          <w:pgMar w:top="360" w:right="1370" w:bottom="424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2" w:lineRule="exact" w:before="0" w:after="0"/>
        <w:ind w:left="2108" w:right="1008" w:hanging="1106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 xml:space="preserve">Borrowings excluding Derivatives </w:t>
      </w: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Other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16"/>
        </w:rPr>
        <w:t>3%</w:t>
      </w:r>
    </w:p>
    <w:p>
      <w:pPr>
        <w:sectPr>
          <w:type w:val="continuous"/>
          <w:pgSz w:w="12240" w:h="15840"/>
          <w:pgMar w:top="360" w:right="1370" w:bottom="424" w:left="1430" w:header="720" w:footer="720" w:gutter="0"/>
          <w:cols w:num="2" w:equalWidth="0">
            <w:col w:w="4660" w:space="0"/>
            <w:col w:w="4780" w:space="0"/>
          </w:cols>
          <w:docGrid w:linePitch="360"/>
        </w:sectPr>
      </w:pPr>
    </w:p>
    <w:p>
      <w:pPr>
        <w:autoSpaceDN w:val="0"/>
        <w:autoSpaceDE w:val="0"/>
        <w:widowControl/>
        <w:spacing w:line="180" w:lineRule="exact" w:before="0" w:after="484"/>
        <w:ind w:left="108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Borrowing including Derivatives</w:t>
      </w:r>
    </w:p>
    <w:p>
      <w:pPr>
        <w:sectPr>
          <w:type w:val="nextColumn"/>
          <w:pgSz w:w="12240" w:h="15840"/>
          <w:pgMar w:top="360" w:right="1370" w:bottom="424" w:left="1430" w:header="720" w:footer="720" w:gutter="0"/>
          <w:cols w:num="2" w:equalWidth="0">
            <w:col w:w="4660" w:space="0"/>
            <w:col w:w="4780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70.0" w:type="dxa"/>
      </w:tblPr>
      <w:tblGrid>
        <w:gridCol w:w="1573"/>
        <w:gridCol w:w="1573"/>
        <w:gridCol w:w="1573"/>
        <w:gridCol w:w="1573"/>
        <w:gridCol w:w="1573"/>
        <w:gridCol w:w="1573"/>
      </w:tblGrid>
      <w:tr>
        <w:trPr>
          <w:trHeight w:hRule="exact" w:val="198"/>
        </w:trPr>
        <w:tc>
          <w:tcPr>
            <w:tcW w:type="dxa" w:w="11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0" w:after="0"/>
              <w:ind w:left="0" w:right="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FFFFFF"/>
                <w:sz w:val="16"/>
              </w:rPr>
              <w:t xml:space="preserve">GBP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3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JPY </w:t>
            </w:r>
          </w:p>
        </w:tc>
        <w:tc>
          <w:tcPr>
            <w:tcW w:type="dxa" w:w="21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16" w:after="0"/>
              <w:ind w:left="3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FFFFFF"/>
                <w:sz w:val="16"/>
              </w:rPr>
              <w:t xml:space="preserve">USD </w:t>
            </w:r>
          </w:p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0" w:after="0"/>
              <w:ind w:left="0" w:right="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JPY </w:t>
            </w:r>
          </w:p>
        </w:tc>
        <w:tc>
          <w:tcPr>
            <w:tcW w:type="dxa" w:w="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GBP </w:t>
            </w:r>
          </w:p>
        </w:tc>
        <w:tc>
          <w:tcPr>
            <w:tcW w:type="dxa" w:w="1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20" w:after="0"/>
              <w:ind w:left="3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FFFFFF"/>
                <w:sz w:val="16"/>
              </w:rPr>
              <w:t xml:space="preserve">USD </w:t>
            </w:r>
          </w:p>
        </w:tc>
      </w:tr>
      <w:tr>
        <w:trPr>
          <w:trHeight w:hRule="exact" w:val="42"/>
        </w:trPr>
        <w:tc>
          <w:tcPr>
            <w:tcW w:type="dxa" w:w="1573"/>
            <w:vMerge/>
            <w:tcBorders/>
          </w:tcPr>
          <w:p/>
        </w:tc>
        <w:tc>
          <w:tcPr>
            <w:tcW w:type="dxa" w:w="7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3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6%</w:t>
            </w:r>
          </w:p>
        </w:tc>
        <w:tc>
          <w:tcPr>
            <w:tcW w:type="dxa" w:w="1573"/>
            <w:vMerge/>
            <w:tcBorders/>
          </w:tcPr>
          <w:p/>
        </w:tc>
        <w:tc>
          <w:tcPr>
            <w:tcW w:type="dxa" w:w="1573"/>
            <w:vMerge/>
            <w:tcBorders/>
          </w:tcPr>
          <w:p/>
        </w:tc>
        <w:tc>
          <w:tcPr>
            <w:tcW w:type="dxa" w:w="1573"/>
            <w:vMerge/>
            <w:tcBorders/>
          </w:tcPr>
          <w:p/>
        </w:tc>
        <w:tc>
          <w:tcPr>
            <w:tcW w:type="dxa" w:w="1573"/>
            <w:vMerge/>
            <w:tcBorders/>
          </w:tcPr>
          <w:p/>
        </w:tc>
      </w:tr>
      <w:tr>
        <w:trPr>
          <w:trHeight w:hRule="exact" w:val="278"/>
        </w:trPr>
        <w:tc>
          <w:tcPr>
            <w:tcW w:type="dxa" w:w="1573"/>
            <w:vMerge/>
            <w:tcBorders/>
          </w:tcPr>
          <w:p/>
        </w:tc>
        <w:tc>
          <w:tcPr>
            <w:tcW w:type="dxa" w:w="1573"/>
            <w:vMerge/>
            <w:tcBorders/>
          </w:tcPr>
          <w:p/>
        </w:tc>
        <w:tc>
          <w:tcPr>
            <w:tcW w:type="dxa" w:w="1573"/>
            <w:vMerge/>
            <w:tcBorders/>
          </w:tcPr>
          <w:p/>
        </w:tc>
        <w:tc>
          <w:tcPr>
            <w:tcW w:type="dxa" w:w="1573"/>
            <w:vMerge/>
            <w:tcBorders/>
          </w:tcPr>
          <w:p/>
        </w:tc>
        <w:tc>
          <w:tcPr>
            <w:tcW w:type="dxa" w:w="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13%</w:t>
            </w:r>
          </w:p>
        </w:tc>
        <w:tc>
          <w:tcPr>
            <w:tcW w:type="dxa" w:w="1573"/>
            <w:vMerge/>
            <w:tcBorders/>
          </w:tcPr>
          <w:p/>
        </w:tc>
      </w:tr>
      <w:tr>
        <w:trPr>
          <w:trHeight w:hRule="exact" w:val="177"/>
        </w:trPr>
        <w:tc>
          <w:tcPr>
            <w:tcW w:type="dxa" w:w="1573"/>
            <w:vMerge/>
            <w:tcBorders/>
          </w:tcPr>
          <w:p/>
        </w:tc>
        <w:tc>
          <w:tcPr>
            <w:tcW w:type="dxa" w:w="1573"/>
            <w:vMerge/>
            <w:tcBorders/>
          </w:tcPr>
          <w:p/>
        </w:tc>
        <w:tc>
          <w:tcPr>
            <w:tcW w:type="dxa" w:w="1573"/>
            <w:vMerge/>
            <w:tcBorders/>
          </w:tcPr>
          <w:p/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1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6%</w:t>
            </w:r>
          </w:p>
        </w:tc>
        <w:tc>
          <w:tcPr>
            <w:tcW w:type="dxa" w:w="1573"/>
            <w:vMerge/>
            <w:tcBorders/>
          </w:tcPr>
          <w:p/>
        </w:tc>
        <w:tc>
          <w:tcPr>
            <w:tcW w:type="dxa" w:w="1573"/>
            <w:vMerge/>
            <w:tcBorders/>
          </w:tcPr>
          <w:p/>
        </w:tc>
      </w:tr>
      <w:tr>
        <w:trPr>
          <w:trHeight w:hRule="exact" w:val="211"/>
        </w:trPr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8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FFFFFF"/>
                <w:sz w:val="16"/>
              </w:rPr>
              <w:t>18%</w:t>
            </w:r>
          </w:p>
        </w:tc>
        <w:tc>
          <w:tcPr>
            <w:tcW w:type="dxa" w:w="1573"/>
            <w:vMerge/>
            <w:tcBorders/>
          </w:tcPr>
          <w:p/>
        </w:tc>
        <w:tc>
          <w:tcPr>
            <w:tcW w:type="dxa" w:w="2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3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FFFFFF"/>
                <w:sz w:val="16"/>
              </w:rPr>
              <w:t>38%</w:t>
            </w:r>
          </w:p>
        </w:tc>
        <w:tc>
          <w:tcPr>
            <w:tcW w:type="dxa" w:w="1573"/>
            <w:vMerge/>
            <w:tcBorders/>
          </w:tcPr>
          <w:p/>
        </w:tc>
        <w:tc>
          <w:tcPr>
            <w:tcW w:type="dxa" w:w="1573"/>
            <w:vMerge/>
            <w:tcBorders/>
          </w:tcPr>
          <w:p/>
        </w:tc>
        <w:tc>
          <w:tcPr>
            <w:tcW w:type="dxa" w:w="1573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80" w:lineRule="exact" w:before="6" w:after="0"/>
        <w:ind w:left="0" w:right="1552" w:firstLine="0"/>
        <w:jc w:val="right"/>
      </w:pPr>
      <w:r>
        <w:rPr>
          <w:rFonts w:ascii="ArialMT" w:hAnsi="ArialMT" w:eastAsia="ArialMT"/>
          <w:b w:val="0"/>
          <w:i w:val="0"/>
          <w:color w:val="FFFFFF"/>
          <w:sz w:val="16"/>
        </w:rPr>
        <w:t>46%</w:t>
      </w:r>
    </w:p>
    <w:p>
      <w:pPr>
        <w:autoSpaceDN w:val="0"/>
        <w:autoSpaceDE w:val="0"/>
        <w:widowControl/>
        <w:spacing w:line="178" w:lineRule="exact" w:before="262" w:after="0"/>
        <w:ind w:left="0" w:right="2892" w:firstLine="0"/>
        <w:jc w:val="righ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EUR </w:t>
      </w:r>
    </w:p>
    <w:p>
      <w:pPr>
        <w:autoSpaceDN w:val="0"/>
        <w:tabs>
          <w:tab w:pos="6166" w:val="left"/>
        </w:tabs>
        <w:autoSpaceDE w:val="0"/>
        <w:widowControl/>
        <w:spacing w:line="194" w:lineRule="exact" w:before="0" w:after="0"/>
        <w:ind w:left="18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EUR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35%</w:t>
      </w:r>
    </w:p>
    <w:p>
      <w:pPr>
        <w:autoSpaceDN w:val="0"/>
        <w:autoSpaceDE w:val="0"/>
        <w:widowControl/>
        <w:spacing w:line="180" w:lineRule="exact" w:before="12" w:after="0"/>
        <w:ind w:left="182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35%</w:t>
      </w:r>
    </w:p>
    <w:p>
      <w:pPr>
        <w:autoSpaceDN w:val="0"/>
        <w:autoSpaceDE w:val="0"/>
        <w:widowControl/>
        <w:spacing w:line="180" w:lineRule="exact" w:before="532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Figure 12: Medium- and Long-Term Borrowings Issued by Currency during the year, excluding Derivatives</w:t>
      </w:r>
    </w:p>
    <w:p>
      <w:pPr>
        <w:autoSpaceDN w:val="0"/>
        <w:tabs>
          <w:tab w:pos="2044" w:val="left"/>
          <w:tab w:pos="6322" w:val="left"/>
        </w:tabs>
        <w:autoSpaceDE w:val="0"/>
        <w:widowControl/>
        <w:spacing w:line="200" w:lineRule="exact" w:before="164" w:after="96"/>
        <w:ind w:left="1648" w:right="1728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June 30, 2024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 xml:space="preserve">June 30, 2023 </w:t>
      </w: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NOK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16"/>
        </w:rPr>
        <w:t>3%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90.0" w:type="dxa"/>
      </w:tblPr>
      <w:tblGrid>
        <w:gridCol w:w="2360"/>
        <w:gridCol w:w="2360"/>
        <w:gridCol w:w="2360"/>
        <w:gridCol w:w="2360"/>
      </w:tblGrid>
      <w:tr>
        <w:trPr>
          <w:trHeight w:hRule="exact" w:val="236"/>
        </w:trPr>
        <w:tc>
          <w:tcPr>
            <w:tcW w:type="dxa" w:w="1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92" w:after="0"/>
              <w:ind w:left="0" w:right="4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FFFFFF"/>
                <w:sz w:val="16"/>
              </w:rPr>
              <w:t xml:space="preserve">GBP </w:t>
            </w:r>
          </w:p>
        </w:tc>
        <w:tc>
          <w:tcPr>
            <w:tcW w:type="dxa" w:w="2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52" w:after="0"/>
              <w:ind w:left="36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FFFFFF"/>
                <w:sz w:val="16"/>
              </w:rPr>
              <w:t xml:space="preserve">EUR </w:t>
            </w:r>
          </w:p>
        </w:tc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8" w:after="0"/>
              <w:ind w:left="0" w:right="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USD </w:t>
            </w:r>
          </w:p>
        </w:tc>
        <w:tc>
          <w:tcPr>
            <w:tcW w:type="dxa" w:w="1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536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FFFFFF"/>
                <w:sz w:val="16"/>
              </w:rPr>
              <w:t xml:space="preserve">EUR </w:t>
            </w:r>
          </w:p>
        </w:tc>
      </w:tr>
      <w:tr>
        <w:trPr>
          <w:trHeight w:hRule="exact" w:val="140"/>
        </w:trPr>
        <w:tc>
          <w:tcPr>
            <w:tcW w:type="dxa" w:w="2360"/>
            <w:vMerge/>
            <w:tcBorders/>
          </w:tcPr>
          <w:p/>
        </w:tc>
        <w:tc>
          <w:tcPr>
            <w:tcW w:type="dxa" w:w="2360"/>
            <w:vMerge/>
            <w:tcBorders/>
          </w:tcPr>
          <w:p/>
        </w:tc>
        <w:tc>
          <w:tcPr>
            <w:tcW w:type="dxa" w:w="21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10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10%</w:t>
            </w:r>
          </w:p>
        </w:tc>
        <w:tc>
          <w:tcPr>
            <w:tcW w:type="dxa" w:w="2360"/>
            <w:vMerge/>
            <w:tcBorders/>
          </w:tcPr>
          <w:p/>
        </w:tc>
      </w:tr>
      <w:tr>
        <w:trPr>
          <w:trHeight w:hRule="exact" w:val="160"/>
        </w:trPr>
        <w:tc>
          <w:tcPr>
            <w:tcW w:type="dxa" w:w="1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54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FFFFFF"/>
                <w:sz w:val="16"/>
              </w:rPr>
              <w:t>16%</w:t>
            </w:r>
          </w:p>
        </w:tc>
        <w:tc>
          <w:tcPr>
            <w:tcW w:type="dxa" w:w="2360"/>
            <w:vMerge/>
            <w:tcBorders/>
          </w:tcPr>
          <w:p/>
        </w:tc>
        <w:tc>
          <w:tcPr>
            <w:tcW w:type="dxa" w:w="2360"/>
            <w:vMerge/>
            <w:tcBorders/>
          </w:tcPr>
          <w:p/>
        </w:tc>
        <w:tc>
          <w:tcPr>
            <w:tcW w:type="dxa" w:w="2360"/>
            <w:vMerge/>
            <w:tcBorders/>
          </w:tcPr>
          <w:p/>
        </w:tc>
      </w:tr>
      <w:tr>
        <w:trPr>
          <w:trHeight w:hRule="exact" w:val="478"/>
        </w:trPr>
        <w:tc>
          <w:tcPr>
            <w:tcW w:type="dxa" w:w="2360"/>
            <w:vMerge/>
            <w:tcBorders/>
          </w:tcPr>
          <w:p/>
        </w:tc>
        <w:tc>
          <w:tcPr>
            <w:tcW w:type="dxa" w:w="24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8" w:after="0"/>
              <w:ind w:left="36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FFFFFF"/>
                <w:sz w:val="16"/>
              </w:rPr>
              <w:t>27%</w:t>
            </w:r>
          </w:p>
        </w:tc>
        <w:tc>
          <w:tcPr>
            <w:tcW w:type="dxa" w:w="2360"/>
            <w:vMerge/>
            <w:tcBorders/>
          </w:tcPr>
          <w:p/>
        </w:tc>
        <w:tc>
          <w:tcPr>
            <w:tcW w:type="dxa" w:w="2360"/>
            <w:vMerge/>
            <w:tcBorders/>
          </w:tcPr>
          <w:p/>
        </w:tc>
      </w:tr>
      <w:tr>
        <w:trPr>
          <w:trHeight w:hRule="exact" w:val="622"/>
        </w:trPr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4" w:after="0"/>
              <w:ind w:left="0" w:right="3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FFFFFF"/>
                <w:sz w:val="16"/>
              </w:rPr>
              <w:t xml:space="preserve">USD </w:t>
            </w:r>
          </w:p>
        </w:tc>
        <w:tc>
          <w:tcPr>
            <w:tcW w:type="dxa" w:w="2360"/>
            <w:vMerge/>
            <w:tcBorders/>
          </w:tcPr>
          <w:p/>
        </w:tc>
        <w:tc>
          <w:tcPr>
            <w:tcW w:type="dxa" w:w="2360"/>
            <w:vMerge/>
            <w:tcBorders/>
          </w:tcPr>
          <w:p/>
        </w:tc>
        <w:tc>
          <w:tcPr>
            <w:tcW w:type="dxa" w:w="2360"/>
            <w:vMerge/>
            <w:tcBorders/>
          </w:tcPr>
          <w:p/>
        </w:tc>
      </w:tr>
      <w:tr>
        <w:trPr>
          <w:trHeight w:hRule="exact" w:val="80"/>
        </w:trPr>
        <w:tc>
          <w:tcPr>
            <w:tcW w:type="dxa" w:w="1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40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FFFFFF"/>
                <w:sz w:val="16"/>
              </w:rPr>
              <w:t>54%</w:t>
            </w:r>
          </w:p>
        </w:tc>
        <w:tc>
          <w:tcPr>
            <w:tcW w:type="dxa" w:w="2360"/>
            <w:vMerge/>
            <w:tcBorders/>
          </w:tcPr>
          <w:p/>
        </w:tc>
        <w:tc>
          <w:tcPr>
            <w:tcW w:type="dxa" w:w="2360"/>
            <w:vMerge/>
            <w:tcBorders/>
          </w:tcPr>
          <w:p/>
        </w:tc>
        <w:tc>
          <w:tcPr>
            <w:tcW w:type="dxa" w:w="2360"/>
            <w:vMerge/>
            <w:tcBorders/>
          </w:tcPr>
          <w:p/>
        </w:tc>
      </w:tr>
      <w:tr>
        <w:trPr>
          <w:trHeight w:hRule="exact" w:val="262"/>
        </w:trPr>
        <w:tc>
          <w:tcPr>
            <w:tcW w:type="dxa" w:w="2360"/>
            <w:vMerge/>
            <w:tcBorders/>
          </w:tcPr>
          <w:p/>
        </w:tc>
        <w:tc>
          <w:tcPr>
            <w:tcW w:type="dxa" w:w="2360"/>
            <w:vMerge/>
            <w:tcBorders/>
          </w:tcPr>
          <w:p/>
        </w:tc>
        <w:tc>
          <w:tcPr>
            <w:tcW w:type="dxa" w:w="2360"/>
            <w:vMerge/>
            <w:tcBorders/>
          </w:tcPr>
          <w:p/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FFFFFF"/>
                <w:sz w:val="16"/>
              </w:rPr>
              <w:t>90%</w:t>
            </w:r>
          </w:p>
        </w:tc>
      </w:tr>
    </w:tbl>
    <w:p>
      <w:pPr>
        <w:autoSpaceDN w:val="0"/>
        <w:autoSpaceDE w:val="0"/>
        <w:widowControl/>
        <w:spacing w:line="268" w:lineRule="exact" w:before="442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Other Short-Term Borrowings</w:t>
      </w:r>
    </w:p>
    <w:p>
      <w:pPr>
        <w:autoSpaceDN w:val="0"/>
        <w:autoSpaceDE w:val="0"/>
        <w:widowControl/>
        <w:spacing w:line="240" w:lineRule="exact" w:before="124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Under its Investment Guidelines, IDA is allowed to enter into transactions involving securities sold under repurchase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agreements and securities lent under securities lending agreements. These transactions are accounted for as short-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term borrowings. The agreements are secured predominantly by high quality collateral, including government issued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debt, and are used both to enhance returns and for liquidity management purposes.</w:t>
      </w:r>
    </w:p>
    <w:p>
      <w:pPr>
        <w:autoSpaceDN w:val="0"/>
        <w:autoSpaceDE w:val="0"/>
        <w:widowControl/>
        <w:spacing w:line="180" w:lineRule="exact" w:before="150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Table 23: Short-Term Borrowings</w:t>
      </w:r>
    </w:p>
    <w:p>
      <w:pPr>
        <w:autoSpaceDN w:val="0"/>
        <w:autoSpaceDE w:val="0"/>
        <w:widowControl/>
        <w:spacing w:line="180" w:lineRule="exact" w:before="72" w:after="34"/>
        <w:ind w:left="1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dollars, except rates in percentages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47"/>
        <w:gridCol w:w="3147"/>
        <w:gridCol w:w="3147"/>
      </w:tblGrid>
      <w:tr>
        <w:trPr>
          <w:trHeight w:hRule="exact" w:val="246"/>
        </w:trPr>
        <w:tc>
          <w:tcPr>
            <w:tcW w:type="dxa" w:w="38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As of June 30,</w:t>
            </w:r>
          </w:p>
        </w:tc>
        <w:tc>
          <w:tcPr>
            <w:tcW w:type="dxa" w:w="38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4" w:after="0"/>
              <w:ind w:left="0" w:right="74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2024</w:t>
            </w:r>
          </w:p>
        </w:tc>
        <w:tc>
          <w:tcPr>
            <w:tcW w:type="dxa" w:w="117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4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2023</w:t>
            </w:r>
          </w:p>
        </w:tc>
      </w:tr>
    </w:tbl>
    <w:p>
      <w:pPr>
        <w:autoSpaceDN w:val="0"/>
        <w:autoSpaceDE w:val="0"/>
        <w:widowControl/>
        <w:spacing w:line="192" w:lineRule="exact" w:before="16" w:after="32"/>
        <w:ind w:left="62" w:right="4752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Securities sold under repurchase agreements and securities lent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16"/>
        </w:rPr>
        <w:t>under securities lending agreements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47"/>
        <w:gridCol w:w="3147"/>
        <w:gridCol w:w="3147"/>
      </w:tblGrid>
      <w:tr>
        <w:trPr>
          <w:trHeight w:hRule="exact" w:val="230"/>
        </w:trPr>
        <w:tc>
          <w:tcPr>
            <w:tcW w:type="dxa" w:w="48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10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Average monthly balance during the year</w:t>
            </w:r>
          </w:p>
        </w:tc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8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599 </w:t>
            </w:r>
          </w:p>
        </w:tc>
        <w:tc>
          <w:tcPr>
            <w:tcW w:type="dxa" w:w="12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464 </w:t>
            </w:r>
          </w:p>
        </w:tc>
      </w:tr>
      <w:tr>
        <w:trPr>
          <w:trHeight w:hRule="exact" w:val="494"/>
        </w:trPr>
        <w:tc>
          <w:tcPr>
            <w:tcW w:type="dxa" w:w="48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6" w:after="0"/>
              <w:ind w:left="10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Weighted average rate during the fiscal year</w:t>
            </w:r>
          </w:p>
        </w:tc>
        <w:tc>
          <w:tcPr>
            <w:tcW w:type="dxa" w:w="27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6" w:after="0"/>
              <w:ind w:left="0" w:right="67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1.35 %</w:t>
            </w:r>
          </w:p>
        </w:tc>
        <w:tc>
          <w:tcPr>
            <w:tcW w:type="dxa" w:w="121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6" w:after="0"/>
              <w:ind w:left="0" w:right="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2.06 %</w:t>
            </w:r>
          </w:p>
        </w:tc>
      </w:tr>
    </w:tbl>
    <w:p>
      <w:pPr>
        <w:autoSpaceDN w:val="0"/>
        <w:autoSpaceDE w:val="0"/>
        <w:widowControl/>
        <w:spacing w:line="268" w:lineRule="exact" w:before="250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Contractual Obligations</w:t>
      </w:r>
    </w:p>
    <w:p>
      <w:pPr>
        <w:autoSpaceDN w:val="0"/>
        <w:autoSpaceDE w:val="0"/>
        <w:widowControl/>
        <w:spacing w:line="240" w:lineRule="exact" w:before="124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conducting its business, IDA takes on contractual obligations that may require future payments which are mainly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associated with IDA’s borrowings. See Notes to the Financial Statements for the year ended June 30, 2024, Note E –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Borrowings – Table E6. Other contractual obligations are reflected on IDA’s balance sheet including undisbursed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loans, amounts payable for currency and interest rate swaps, amounts payable for investment securities purchased,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guarantees, and cash received under agency arrangements.</w:t>
      </w:r>
    </w:p>
    <w:p>
      <w:pPr>
        <w:autoSpaceDN w:val="0"/>
        <w:tabs>
          <w:tab w:pos="9094" w:val="left"/>
        </w:tabs>
        <w:autoSpaceDE w:val="0"/>
        <w:widowControl/>
        <w:spacing w:line="224" w:lineRule="exact" w:before="1210" w:after="0"/>
        <w:ind w:left="32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Management's Discussion and Analysis: 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37</w:t>
      </w:r>
    </w:p>
    <w:p>
      <w:pPr>
        <w:sectPr>
          <w:type w:val="continuous"/>
          <w:pgSz w:w="12240" w:h="15840"/>
          <w:pgMar w:top="360" w:right="1370" w:bottom="424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20"/>
        <w:gridCol w:w="4720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IX: Risk Management</w:t>
            </w:r>
          </w:p>
        </w:tc>
      </w:tr>
    </w:tbl>
    <w:p>
      <w:pPr>
        <w:autoSpaceDN w:val="0"/>
        <w:autoSpaceDE w:val="0"/>
        <w:widowControl/>
        <w:spacing w:line="314" w:lineRule="exact" w:before="438" w:after="0"/>
        <w:ind w:left="3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Section IX: Risk Management</w:t>
      </w:r>
    </w:p>
    <w:p>
      <w:pPr>
        <w:autoSpaceDN w:val="0"/>
        <w:autoSpaceDE w:val="0"/>
        <w:widowControl/>
        <w:spacing w:line="268" w:lineRule="exact" w:before="222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Risk Governance</w:t>
      </w:r>
    </w:p>
    <w:p>
      <w:pPr>
        <w:autoSpaceDN w:val="0"/>
        <w:autoSpaceDE w:val="0"/>
        <w:widowControl/>
        <w:spacing w:line="240" w:lineRule="exact" w:before="124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IDA’s risk management processes and practices continually evolve to reflect changes in activities in response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market, credit, product, operational, and other developments. The Board, particularly the Audit Committee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members, periodically review trends in IDA’s risk profiles and performance, and any major developments in risk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management policies and controls. </w:t>
      </w:r>
    </w:p>
    <w:p>
      <w:pPr>
        <w:autoSpaceDN w:val="0"/>
        <w:autoSpaceDE w:val="0"/>
        <w:widowControl/>
        <w:spacing w:line="240" w:lineRule="exact" w:before="120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Management believes that effective risk management is critical for IDA’s overall operations. Accordingly, the risk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management governance structure is designed to manage the principal risks IDA assumes in its activities,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supports management in its oversight function, particularly in coordinating different aspects of risk management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connection with risks that are common across functional areas. </w:t>
      </w:r>
    </w:p>
    <w:p>
      <w:pPr>
        <w:autoSpaceDN w:val="0"/>
        <w:autoSpaceDE w:val="0"/>
        <w:widowControl/>
        <w:spacing w:line="222" w:lineRule="exact" w:before="138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IDA’s financial and operational risk governance structure is built on the “three lines model” where: </w:t>
      </w:r>
    </w:p>
    <w:p>
      <w:pPr>
        <w:autoSpaceDN w:val="0"/>
        <w:tabs>
          <w:tab w:pos="460" w:val="left"/>
        </w:tabs>
        <w:autoSpaceDE w:val="0"/>
        <w:widowControl/>
        <w:spacing w:line="222" w:lineRule="exact" w:before="138" w:after="0"/>
        <w:ind w:left="10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Business units are responsible for directly managing risks in their respective functional areas, </w:t>
      </w:r>
    </w:p>
    <w:p>
      <w:pPr>
        <w:autoSpaceDN w:val="0"/>
        <w:tabs>
          <w:tab w:pos="460" w:val="left"/>
        </w:tabs>
        <w:autoSpaceDE w:val="0"/>
        <w:widowControl/>
        <w:spacing w:line="240" w:lineRule="exact" w:before="60" w:after="0"/>
        <w:ind w:left="10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Vice President and WBG Chief Risk Officer (CRO) provides direction, challenge, and oversight over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financial and operational risk activities, and </w:t>
      </w:r>
    </w:p>
    <w:p>
      <w:pPr>
        <w:autoSpaceDN w:val="0"/>
        <w:tabs>
          <w:tab w:pos="460" w:val="left"/>
        </w:tabs>
        <w:autoSpaceDE w:val="0"/>
        <w:widowControl/>
        <w:spacing w:line="222" w:lineRule="exact" w:before="78" w:after="0"/>
        <w:ind w:left="10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Internal Audit provides independent oversight.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IDA’s risk management process comprises risk identification, assessment, response, and risk monitoring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reporting. IDA has policies and procedures under which risk owners are responsible for identifying, assessing,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responding to, monitoring, and reporting risks.</w:t>
      </w:r>
    </w:p>
    <w:p>
      <w:pPr>
        <w:autoSpaceDN w:val="0"/>
        <w:autoSpaceDE w:val="0"/>
        <w:widowControl/>
        <w:spacing w:line="268" w:lineRule="exact" w:before="136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Risk Oversight and Coverage</w:t>
      </w:r>
    </w:p>
    <w:p>
      <w:pPr>
        <w:autoSpaceDN w:val="0"/>
        <w:autoSpaceDE w:val="0"/>
        <w:widowControl/>
        <w:spacing w:line="244" w:lineRule="exact" w:before="134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Financial and Operational Risk Management</w:t>
      </w:r>
    </w:p>
    <w:p>
      <w:pPr>
        <w:autoSpaceDN w:val="0"/>
        <w:autoSpaceDE w:val="0"/>
        <w:widowControl/>
        <w:spacing w:line="240" w:lineRule="exact" w:before="130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Vice President and WBG Chief Risk Officer (CRO) oversees both financial and operational risks. These risks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include (i) country credit risks in the core sovereign lending business, (ii) market and counterparty risks including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liquidity and model risks, and (iii) operational risks relating to people, processes, and systems, or from external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events. In addition, the CRO works closely with IBRD, IFC, and MIGA’s management to review, measure,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aggregate, and report on risks and share best practices across the WBG. The CRO also helps enhance cooperation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between the entities and facilitates knowledge sharing in the risk management function.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risk of IDA’s operations not meeting the expected development outcomes (development outcome risks)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IDA’s lending activities is monitored at the corporate level by Operations Policy and Country Services (OPCS).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Where fraud and corruption risks may impact IDA-financed projects, OPCS, the Regions and Practice Groups,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Integrity Vice Presidency jointly address such issues. </w:t>
      </w:r>
    </w:p>
    <w:p>
      <w:pPr>
        <w:autoSpaceDN w:val="0"/>
        <w:autoSpaceDE w:val="0"/>
        <w:widowControl/>
        <w:spacing w:line="222" w:lineRule="exact" w:before="138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following three departments report directly to the CRO: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Credit Risk Department</w:t>
      </w:r>
    </w:p>
    <w:p>
      <w:pPr>
        <w:autoSpaceDN w:val="0"/>
        <w:tabs>
          <w:tab w:pos="370" w:val="left"/>
        </w:tabs>
        <w:autoSpaceDE w:val="0"/>
        <w:widowControl/>
        <w:spacing w:line="240" w:lineRule="exact" w:before="124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Identifies, measures, monitors, and manages country credit risk faced by IDA. By agreement with the Board, the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individual country credit risk ratings are not shared with the Board and are not made public.</w:t>
      </w:r>
    </w:p>
    <w:p>
      <w:pPr>
        <w:autoSpaceDN w:val="0"/>
        <w:tabs>
          <w:tab w:pos="370" w:val="left"/>
        </w:tabs>
        <w:autoSpaceDE w:val="0"/>
        <w:widowControl/>
        <w:spacing w:line="240" w:lineRule="exact" w:before="6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Assesses loan portfolio risk and capital requirements, determines the adequacy of provisions for losses on loans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and other exposures, and monitors borrowers that are vulnerable to crises in the near term. The department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assesses the consistency of country lending programs as determined in IDA’s PBA allocation framework with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overall capital adequacy.</w:t>
      </w:r>
    </w:p>
    <w:p>
      <w:pPr>
        <w:autoSpaceDN w:val="0"/>
        <w:tabs>
          <w:tab w:pos="370" w:val="left"/>
        </w:tabs>
        <w:autoSpaceDE w:val="0"/>
        <w:widowControl/>
        <w:spacing w:line="222" w:lineRule="exact" w:before="78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Reviews proposed new financial products for any implications for country credit risk.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Market and Counterparty Risk Department</w:t>
      </w:r>
    </w:p>
    <w:p>
      <w:pPr>
        <w:autoSpaceDN w:val="0"/>
        <w:tabs>
          <w:tab w:pos="370" w:val="left"/>
        </w:tabs>
        <w:autoSpaceDE w:val="0"/>
        <w:widowControl/>
        <w:spacing w:line="240" w:lineRule="exact" w:before="124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Responsible for market, liquidity, and counterparty credit risk oversight, assessment, and reporting. It does these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coordination with IDA’s financial managers who are responsible for the day-to-day execution of trades for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liquid asset and derivative portfolios, within applicable policy and guideline limits.</w:t>
      </w:r>
    </w:p>
    <w:p>
      <w:pPr>
        <w:autoSpaceDN w:val="0"/>
        <w:tabs>
          <w:tab w:pos="662" w:val="left"/>
        </w:tabs>
        <w:autoSpaceDE w:val="0"/>
        <w:widowControl/>
        <w:spacing w:line="224" w:lineRule="exact" w:before="684" w:after="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38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Management's Discussion and Analysis:  June 30, 2024</w:t>
      </w:r>
    </w:p>
    <w:p>
      <w:pPr>
        <w:sectPr>
          <w:pgSz w:w="12240" w:h="15840"/>
          <w:pgMar w:top="360" w:right="1370" w:bottom="424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45"/>
        <w:gridCol w:w="3145"/>
        <w:gridCol w:w="3145"/>
      </w:tblGrid>
      <w:tr>
        <w:trPr>
          <w:trHeight w:hRule="exact" w:val="284"/>
        </w:trPr>
        <w:tc>
          <w:tcPr>
            <w:tcW w:type="dxa" w:w="3964"/>
            <w:gridSpan w:val="2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4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IX: Risk Management</w:t>
            </w:r>
          </w:p>
        </w:tc>
      </w:tr>
      <w:tr>
        <w:trPr>
          <w:trHeight w:hRule="exact" w:val="626"/>
        </w:trPr>
        <w:tc>
          <w:tcPr>
            <w:tcW w:type="dxa" w:w="204"/>
            <w:tcBorders>
              <w:top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390" w:after="0"/>
              <w:ind w:left="4" w:right="0" w:firstLine="0"/>
              <w:jc w:val="left"/>
            </w:pP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200"/>
            <w:gridSpan w:val="2"/>
            <w:tcBorders>
              <w:top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390" w:after="0"/>
              <w:ind w:left="160" w:right="0" w:firstLine="0"/>
              <w:jc w:val="left"/>
            </w:pPr>
            <w:r>
              <w:rPr>
                <w:rFonts w:ascii="TimesNewRoman" w:hAnsi="TimesNewRoman" w:eastAsia="TimesNewRoman"/>
                <w:b w:val="0"/>
                <w:i w:val="0"/>
                <w:color w:val="000000"/>
                <w:sz w:val="20"/>
              </w:rPr>
              <w:t xml:space="preserve">Ensures effective oversight, including: i) maintaining sound credit assessments, ii) addressing transaction and </w:t>
            </w:r>
          </w:p>
        </w:tc>
      </w:tr>
    </w:tbl>
    <w:p>
      <w:pPr>
        <w:autoSpaceDN w:val="0"/>
        <w:autoSpaceDE w:val="0"/>
        <w:widowControl/>
        <w:spacing w:line="238" w:lineRule="exact" w:before="0" w:after="0"/>
        <w:ind w:left="36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product risk issues, iii) providing an independent review function, iv) monitoring market and counterparty risk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the investment, borrowing and client operation portfolios, and v) model risk for financial and capital models.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It also provides reports to the Audit Committee and the Board on the extent and nature of risks, risk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management, and oversight.</w:t>
      </w:r>
    </w:p>
    <w:p>
      <w:pPr>
        <w:autoSpaceDN w:val="0"/>
        <w:tabs>
          <w:tab w:pos="364" w:val="left"/>
        </w:tabs>
        <w:autoSpaceDE w:val="0"/>
        <w:widowControl/>
        <w:spacing w:line="240" w:lineRule="exact" w:before="120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Responsible for validation of market data and models used for fair valuation of financial instruments.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Undertakes model verification to ensure robust implementation of the models for fair-valued products.</w:t>
      </w:r>
    </w:p>
    <w:p>
      <w:pPr>
        <w:autoSpaceDN w:val="0"/>
        <w:autoSpaceDE w:val="0"/>
        <w:widowControl/>
        <w:spacing w:line="220" w:lineRule="exact" w:before="136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Operational Risk Department</w:t>
      </w:r>
    </w:p>
    <w:p>
      <w:pPr>
        <w:autoSpaceDN w:val="0"/>
        <w:tabs>
          <w:tab w:pos="364" w:val="left"/>
        </w:tabs>
        <w:autoSpaceDE w:val="0"/>
        <w:widowControl/>
        <w:spacing w:line="222" w:lineRule="exact" w:before="142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Provides direction and oversight for operational risk activities by business function.</w:t>
      </w:r>
    </w:p>
    <w:p>
      <w:pPr>
        <w:autoSpaceDN w:val="0"/>
        <w:tabs>
          <w:tab w:pos="364" w:val="left"/>
        </w:tabs>
        <w:autoSpaceDE w:val="0"/>
        <w:widowControl/>
        <w:spacing w:line="240" w:lineRule="exact" w:before="60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Key operational risk management responsibilities include: (i) administering the Operational Risk Committee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(ORC) for IDA, (ii) implementing the operational risk management framework which is aligned with Basel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principles and provides direction to business unit partners to ensure consistent application, (iii) assisting and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guiding business units in identifying and prioritizing significant operational risks and enabling monitoring and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reporting of risks through suitable metrics (or risk indicators), (iv) helping identify emerging risks and trends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through monitoring of internal and external risk events, (v) supporting risk response and mitigating actions, and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prepares a corporate Operational Risk Report for review and discussion by the ORC.</w:t>
      </w:r>
    </w:p>
    <w:p>
      <w:pPr>
        <w:autoSpaceDN w:val="0"/>
        <w:tabs>
          <w:tab w:pos="364" w:val="left"/>
        </w:tabs>
        <w:autoSpaceDE w:val="0"/>
        <w:widowControl/>
        <w:spacing w:line="240" w:lineRule="exact" w:before="60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Responsible for the oversight of the enterprise risk, operational risk, business continuity, operational resilience,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corporate insurance, and data privacy functions.</w:t>
      </w:r>
    </w:p>
    <w:p>
      <w:pPr>
        <w:autoSpaceDN w:val="0"/>
        <w:autoSpaceDE w:val="0"/>
        <w:widowControl/>
        <w:spacing w:line="244" w:lineRule="exact" w:before="130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Risk Committees</w:t>
      </w:r>
    </w:p>
    <w:p>
      <w:pPr>
        <w:autoSpaceDN w:val="0"/>
        <w:autoSpaceDE w:val="0"/>
        <w:widowControl/>
        <w:spacing w:line="178" w:lineRule="exact" w:before="160" w:after="0"/>
        <w:ind w:left="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 xml:space="preserve">Figure 13: Management Risk Committee Structure for Financial and Operational Risks </w:t>
      </w:r>
    </w:p>
    <w:p>
      <w:pPr>
        <w:autoSpaceDN w:val="0"/>
        <w:autoSpaceDE w:val="0"/>
        <w:widowControl/>
        <w:spacing w:line="240" w:lineRule="auto" w:before="102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74371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3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4" w:lineRule="exact" w:before="172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Financial Risk Committees:</w:t>
      </w:r>
    </w:p>
    <w:p>
      <w:pPr>
        <w:autoSpaceDN w:val="0"/>
        <w:autoSpaceDE w:val="0"/>
        <w:widowControl/>
        <w:spacing w:line="242" w:lineRule="exact" w:before="164" w:after="0"/>
        <w:ind w:left="4" w:right="20" w:firstLine="0"/>
        <w:jc w:val="both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The Finance and Risk Committee (FRC)</w:t>
      </w:r>
      <w:r>
        <w:rPr>
          <w:rFonts w:ascii="TimesNewRoman" w:hAnsi="TimesNewRoman" w:eastAsia="TimesNewRoman"/>
          <w:b w:val="0"/>
          <w:i w:val="0"/>
          <w:color w:val="000000"/>
          <w:sz w:val="24"/>
        </w:rPr>
        <w:t>,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 Vice President level committee, provides a high-level governance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structure for decisions that may have financial risks. The FRC is chaired by the Managing Director and WBG Chief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Financial Officer (MDCFO) and approves, clears, or discusses: (a) policy and procedure documents related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financial integrity, income sustainability and balance sheet strength, and (b) issues and new business initiatives with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policy implications related to IDA’s financial and operational risks in the areas of finance, which include country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credit, market, counterparty, liquidity, and model risks, and operational risks related to the finance business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functions. The FRC helps to integrate individual components of finance and risk management activities by building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on mechanisms and processes already in place and provides a forum for discussing and communicating significant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risk related issues. The FRC meets regularly to discuss the new products and services and financial risk management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of IDA.</w:t>
      </w:r>
    </w:p>
    <w:p>
      <w:pPr>
        <w:autoSpaceDN w:val="0"/>
        <w:autoSpaceDE w:val="0"/>
        <w:widowControl/>
        <w:spacing w:line="240" w:lineRule="exact" w:before="120" w:after="0"/>
        <w:ind w:left="4" w:right="20" w:firstLine="0"/>
        <w:jc w:val="both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The New Business Committee (NBC)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 is a standing subcommittee of the FRC. The NBC provides advice, guidance,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and recommendations to the FRC, by performing due diligence over new financial products or services to ensure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that management has a full understanding of the rationale, costs, risks and rewards of the product or service being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considered.</w:t>
      </w:r>
    </w:p>
    <w:p>
      <w:pPr>
        <w:autoSpaceDN w:val="0"/>
        <w:tabs>
          <w:tab w:pos="9088" w:val="left"/>
        </w:tabs>
        <w:autoSpaceDE w:val="0"/>
        <w:widowControl/>
        <w:spacing w:line="224" w:lineRule="exact" w:before="950" w:after="0"/>
        <w:ind w:left="329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Management's Discussion and Analysis: 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39</w:t>
      </w:r>
    </w:p>
    <w:p>
      <w:pPr>
        <w:sectPr>
          <w:pgSz w:w="12240" w:h="15840"/>
          <w:pgMar w:top="360" w:right="1370" w:bottom="424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7"/>
        <w:gridCol w:w="4717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IX: Risk Management</w:t>
            </w:r>
          </w:p>
        </w:tc>
      </w:tr>
    </w:tbl>
    <w:p>
      <w:pPr>
        <w:autoSpaceDN w:val="0"/>
        <w:autoSpaceDE w:val="0"/>
        <w:widowControl/>
        <w:spacing w:line="222" w:lineRule="exact" w:before="420" w:after="0"/>
        <w:ind w:left="0" w:right="0" w:firstLine="0"/>
        <w:jc w:val="center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Asset Liability Management Committee (ALCO),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 Vice President level committee chaired by the MDCFO </w:t>
      </w:r>
    </w:p>
    <w:p>
      <w:pPr>
        <w:autoSpaceDN w:val="0"/>
        <w:autoSpaceDE w:val="0"/>
        <w:widowControl/>
        <w:spacing w:line="240" w:lineRule="exact" w:before="24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provides a high-level forum to ensure prudent balance sheet management of IDA by: a) monitoring its financial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positions and ALM activities for compliance with its respective guidelines, policies and procedures, including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borrowing and investment activities; b) identifying and providing recommendations on emerging ALM issues for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IDA, as well as those related to capital, balance-sheet planning, and financial sustainability; and c) serving as 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reviewing and recommending body for ongoing decisions as part of implementing the ALM policies and procedures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of IDA, including those that impact lending rates and net income.</w:t>
      </w:r>
    </w:p>
    <w:p>
      <w:pPr>
        <w:autoSpaceDN w:val="0"/>
        <w:autoSpaceDE w:val="0"/>
        <w:widowControl/>
        <w:spacing w:line="244" w:lineRule="exact" w:before="250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Operational Risk Committees:</w:t>
      </w:r>
    </w:p>
    <w:p>
      <w:pPr>
        <w:autoSpaceDN w:val="0"/>
        <w:autoSpaceDE w:val="0"/>
        <w:widowControl/>
        <w:spacing w:line="240" w:lineRule="exact" w:before="130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The Enterprise Risk Committee (ERC)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 is a Vice President-level committee chaired by the Managing Director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Chief Administrative Officer (MDCAO) that oversees IDA’s non-financial risks through reviewing, discussing and/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or formulating proposed policies, procedures, directives, guidance, and other matters requested by its members.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ERC’s scope comprises : a) operational risk, including business continuity, corporate security, cyber security, and IT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service continuity; b) enterprise risk; c) Integrity Vice Presidency (INT) and Ethics and Business Conduct (EBC)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policies and methodologies; d) shared services; and e) any other matters brought by the MDCAO. The ERC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leverages existing risk management mechanisms that are in place to provide a corporate view of operational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non-financial risks.</w:t>
      </w:r>
    </w:p>
    <w:p>
      <w:pPr>
        <w:autoSpaceDN w:val="0"/>
        <w:autoSpaceDE w:val="0"/>
        <w:widowControl/>
        <w:spacing w:line="240" w:lineRule="exact" w:before="120" w:after="0"/>
        <w:ind w:left="4" w:right="20" w:firstLine="0"/>
        <w:jc w:val="both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Operational Risk Committee (ORC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) is the main governance committee for operational risk and provides 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mechanism for an integrated review and response across IDA units on operational risks associated with people,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processes, and systems or from external events and recognizing that business units remain responsible for managing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operational risks. The Committee’s key responsibilities include monitoring significant operational risk matters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events on a quarterly basis to ensure that appropriate risk-response measures are taken and reviewing and concluding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on IDA’s overall operational risk profile. The ORC is chaired by the CROVP and escalates significant risks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decisions to the FRC and ERC.</w:t>
      </w:r>
    </w:p>
    <w:p>
      <w:pPr>
        <w:autoSpaceDN w:val="0"/>
        <w:autoSpaceDE w:val="0"/>
        <w:widowControl/>
        <w:spacing w:line="244" w:lineRule="exact" w:before="130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 xml:space="preserve">Other Risk Councils </w:t>
      </w:r>
    </w:p>
    <w:p>
      <w:pPr>
        <w:autoSpaceDN w:val="0"/>
        <w:autoSpaceDE w:val="0"/>
        <w:widowControl/>
        <w:spacing w:line="240" w:lineRule="exact" w:before="13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Financial Risk Council and Non-Financial Risk Council were established in FY24 to facilitate regular and better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coordination and collaboration across WBG entities in financial and non-financial risk functions, respectively. These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councils, chaired by the MDCFO and MDCAO, respectively, meet regularly to identify opportunities for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collaboration across the risk functions that serve to enhance the effectiveness of each of the risk functions while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respecting the fiduciary obligations of each entity and considering the different mandates, clients, products,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business models. They also provide a common forum for the systematic exchange of information and encourage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joint reporting of risks across the entities to form an overall picture on risk and for the purposes of information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sharing, identifying interdependencies, connections, and concentrations of risk.</w:t>
      </w:r>
    </w:p>
    <w:p>
      <w:pPr>
        <w:autoSpaceDN w:val="0"/>
        <w:autoSpaceDE w:val="0"/>
        <w:widowControl/>
        <w:spacing w:line="268" w:lineRule="exact" w:before="246" w:after="0"/>
        <w:ind w:left="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Management of IDA's Risks</w:t>
      </w:r>
    </w:p>
    <w:p>
      <w:pPr>
        <w:autoSpaceDN w:val="0"/>
        <w:autoSpaceDE w:val="0"/>
        <w:widowControl/>
        <w:spacing w:line="240" w:lineRule="exact" w:before="124" w:after="0"/>
        <w:ind w:left="4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assumes financial risks in order to achieve its development and strategic objectives. IDA’s financial risk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management framework is designed to enable and support the institution in achieving its goals in a financially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sustainable manner. IDA manages credit, market, and operational risks in its financial activities, which include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lending, borrowing and investing (Table 24). The primary financial risk to IDA is the country credit risk inherent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its loan and guarantee portfolio. IDA is also exposed to risks in its liquid asset and derivative portfolios, where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major risks are interest rate, exchange rate, commercial counterparty, and liquidity risks. IDA’s operational risk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management framework is based on a structured and uniform approach to identify, assess, and monitor key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operational risks across business units. </w:t>
      </w:r>
    </w:p>
    <w:p>
      <w:pPr>
        <w:autoSpaceDN w:val="0"/>
        <w:tabs>
          <w:tab w:pos="656" w:val="left"/>
        </w:tabs>
        <w:autoSpaceDE w:val="0"/>
        <w:widowControl/>
        <w:spacing w:line="224" w:lineRule="exact" w:before="2330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40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Management's Discussion and Analysis:  June 30, 2024</w:t>
      </w:r>
    </w:p>
    <w:p>
      <w:pPr>
        <w:sectPr>
          <w:pgSz w:w="12240" w:h="15840"/>
          <w:pgMar w:top="360" w:right="1370" w:bottom="424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20"/>
        <w:gridCol w:w="4720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IX: Risk Management</w:t>
            </w:r>
          </w:p>
        </w:tc>
      </w:tr>
    </w:tbl>
    <w:p>
      <w:pPr>
        <w:autoSpaceDN w:val="0"/>
        <w:autoSpaceDE w:val="0"/>
        <w:widowControl/>
        <w:spacing w:line="178" w:lineRule="exact" w:before="408" w:after="66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Table 24: Summary of IDA's Specific Risk Categories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0"/>
        <w:gridCol w:w="4720"/>
      </w:tblGrid>
      <w:tr>
        <w:trPr>
          <w:trHeight w:hRule="exact" w:val="276"/>
        </w:trPr>
        <w:tc>
          <w:tcPr>
            <w:tcW w:type="dxa" w:w="229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Types of Financial Risk</w:t>
            </w:r>
          </w:p>
        </w:tc>
        <w:tc>
          <w:tcPr>
            <w:tcW w:type="dxa" w:w="709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47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How the risk is managed</w:t>
            </w:r>
          </w:p>
        </w:tc>
      </w:tr>
    </w:tbl>
    <w:p>
      <w:pPr>
        <w:autoSpaceDN w:val="0"/>
        <w:autoSpaceDE w:val="0"/>
        <w:widowControl/>
        <w:spacing w:line="178" w:lineRule="exact" w:before="24" w:after="0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Credit Risk</w:t>
      </w:r>
    </w:p>
    <w:p>
      <w:pPr>
        <w:autoSpaceDN w:val="0"/>
        <w:tabs>
          <w:tab w:pos="2762" w:val="left"/>
        </w:tabs>
        <w:autoSpaceDE w:val="0"/>
        <w:widowControl/>
        <w:spacing w:line="210" w:lineRule="exact" w:before="70" w:after="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Country Credit Risk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IDA’s credit-risk-bearing capacity and individual country exposure limits</w:t>
      </w:r>
    </w:p>
    <w:p>
      <w:pPr>
        <w:autoSpaceDN w:val="0"/>
        <w:tabs>
          <w:tab w:pos="2762" w:val="left"/>
        </w:tabs>
        <w:autoSpaceDE w:val="0"/>
        <w:widowControl/>
        <w:spacing w:line="218" w:lineRule="exact" w:before="62" w:after="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Counterparty Credit Risk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>Counterparty credit limits and collateral</w:t>
      </w:r>
    </w:p>
    <w:p>
      <w:pPr>
        <w:autoSpaceDN w:val="0"/>
        <w:autoSpaceDE w:val="0"/>
        <w:widowControl/>
        <w:spacing w:line="178" w:lineRule="exact" w:before="196" w:after="52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Market Risk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0"/>
        <w:gridCol w:w="4720"/>
      </w:tblGrid>
      <w:tr>
        <w:trPr>
          <w:trHeight w:hRule="exact" w:val="1844"/>
        </w:trPr>
        <w:tc>
          <w:tcPr>
            <w:tcW w:type="dxa" w:w="213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4" w:lineRule="exact" w:before="0" w:after="0"/>
              <w:ind w:left="62" w:right="57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Interest Rate Risk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Exchange Rate Risk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Liquidity Risk</w:t>
            </w:r>
          </w:p>
          <w:p>
            <w:pPr>
              <w:autoSpaceDN w:val="0"/>
              <w:autoSpaceDE w:val="0"/>
              <w:widowControl/>
              <w:spacing w:line="178" w:lineRule="exact" w:before="190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Operational Risk</w:t>
            </w:r>
          </w:p>
        </w:tc>
        <w:tc>
          <w:tcPr>
            <w:tcW w:type="dxa" w:w="7250"/>
            <w:tcBorders>
              <w:bottom w:sz="8.0" w:val="single" w:color="#92929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0" w:after="0"/>
              <w:ind w:left="632" w:right="100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Interest rate derivatives to match the sensitivity of assets and liabilities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Currency derivatives to align the currency composition of assets and liabilities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Prudential Minimum liquidity level</w:t>
            </w:r>
          </w:p>
          <w:p>
            <w:pPr>
              <w:autoSpaceDN w:val="0"/>
              <w:autoSpaceDE w:val="0"/>
              <w:widowControl/>
              <w:spacing w:line="160" w:lineRule="exact" w:before="240" w:after="0"/>
              <w:ind w:left="632" w:right="100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Risk assessment and monitoring of key risk indicators and internal and external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operational risk events</w:t>
            </w:r>
          </w:p>
        </w:tc>
      </w:tr>
    </w:tbl>
    <w:p>
      <w:pPr>
        <w:autoSpaceDN w:val="0"/>
        <w:autoSpaceDE w:val="0"/>
        <w:widowControl/>
        <w:spacing w:line="244" w:lineRule="exact" w:before="174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Capital Adequacy</w:t>
      </w:r>
    </w:p>
    <w:p>
      <w:pPr>
        <w:autoSpaceDN w:val="0"/>
        <w:autoSpaceDE w:val="0"/>
        <w:widowControl/>
        <w:spacing w:line="240" w:lineRule="exact" w:before="128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uses a solvency-based capital adequacy model, which mandates that IDA hold capital for credit risk, market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risk and operational risk covering all activities and assets on its books. IDA's main measure of capital adequacy is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Deployable Strategic Capital (DSC), which represents the capital available to support future commitments, over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and above the current portfolio. IDA is required, based on a Board-approved policy, to keep the DSC at  no lower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than zero. The DSC is calculated as the amount by which Total Resources Available (TRA) exceed Total Resources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Required (TRR) and Conservation Buffer (CB). TRA represents IDA’s available equity plus accumulated provision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for losses on loans and other exposures. The TRR is the minimum capital required to cover expected and unexpected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losses in connection with all of IDA’s operations and assets. The Conservation Buffer is calculated as 10% of TRA.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April 2024, the Board approved enhancements to the DSC, as part of the review of IDA’s Capital Adequacy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Framework (CAF), to increase the efficiency of IDA’s capital utilization while continuing to protect IDA’s triple-A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rating and long-term financial sustainability. The review built on IDA’s experience with implementing the hybrid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financial model since its introduction in 2018. The main  adjustment to DSC included reclassifying two items from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TRR to TRA (as a subtraction to equity) to more accurately reflect equity available for leveraging and risk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absorption. These two reclassified items that now decrease TRA are: a) the present value adjustment of IDA’s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concessional loan portfolio based on the prevailing interest rates and b) the balance of development grants approved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but not yet expensed. </w:t>
      </w:r>
    </w:p>
    <w:p>
      <w:pPr>
        <w:autoSpaceDN w:val="0"/>
        <w:autoSpaceDE w:val="0"/>
        <w:widowControl/>
        <w:spacing w:line="240" w:lineRule="exact" w:before="120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addition, the TRA has been refined to include the expected encashment of donor contributions in IDA’s 3-year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risk horizon, and exclude pension-related adjustments and other restricted assets. The TRR now also includes 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capital charge required for interest rate risk on the expected net disbursements of concessional loans in IDA’s 3-year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risk horizon (capital charge required for credit risk on the outstanding balances was already incorporated).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addition, the capital charges for the components of the PSW have also been updated based on actual transaction data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since the creation of the PSW in 2018. These changes were implemented beginning with the reporting for June 30,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2024. </w:t>
      </w:r>
    </w:p>
    <w:p>
      <w:pPr>
        <w:autoSpaceDN w:val="0"/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combined effect of these changes, led to a decrease in both TRA and TRR, and correspondingly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Conservation  Buffer, with an overall  $10.6 billion net positive impact on DSC.</w:t>
      </w:r>
    </w:p>
    <w:p>
      <w:pPr>
        <w:autoSpaceDN w:val="0"/>
        <w:autoSpaceDE w:val="0"/>
        <w:widowControl/>
        <w:spacing w:line="224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of June 30, 2024, the DSC ratio was 34.8% (21.1% using previous DSC calculation approach and 24.1% as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June 30, 2023). IDA's capital continues to be adequate to support its operations. See Table 25.</w:t>
      </w:r>
    </w:p>
    <w:p>
      <w:pPr>
        <w:autoSpaceDN w:val="0"/>
        <w:tabs>
          <w:tab w:pos="9094" w:val="left"/>
        </w:tabs>
        <w:autoSpaceDE w:val="0"/>
        <w:widowControl/>
        <w:spacing w:line="224" w:lineRule="exact" w:before="2240" w:after="0"/>
        <w:ind w:left="32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Management's Discussion and Analysis: 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41</w:t>
      </w:r>
    </w:p>
    <w:p>
      <w:pPr>
        <w:sectPr>
          <w:pgSz w:w="12240" w:h="15840"/>
          <w:pgMar w:top="360" w:right="1370" w:bottom="424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20"/>
        <w:gridCol w:w="4720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IX: Risk Management</w:t>
            </w:r>
          </w:p>
        </w:tc>
      </w:tr>
    </w:tbl>
    <w:p>
      <w:pPr>
        <w:autoSpaceDN w:val="0"/>
        <w:autoSpaceDE w:val="0"/>
        <w:widowControl/>
        <w:spacing w:line="178" w:lineRule="exact" w:before="408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Table 25: Deployable Strategic Capital Ratio</w:t>
      </w:r>
    </w:p>
    <w:p>
      <w:pPr>
        <w:autoSpaceDN w:val="0"/>
        <w:autoSpaceDE w:val="0"/>
        <w:widowControl/>
        <w:spacing w:line="178" w:lineRule="exact" w:before="74" w:after="52"/>
        <w:ind w:left="1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billions of U.S. dollars except ratios in percentages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306"/>
        </w:trPr>
        <w:tc>
          <w:tcPr>
            <w:tcW w:type="dxa" w:w="4630"/>
            <w:vMerge w:val="restart"/>
            <w:tcBorders>
              <w:bottom w:sz="8.0" w:val="single" w:color="#7F7F7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7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As of June 30,</w:t>
            </w:r>
          </w:p>
        </w:tc>
        <w:tc>
          <w:tcPr>
            <w:tcW w:type="dxa" w:w="2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4" w:after="0"/>
              <w:ind w:left="0" w:right="14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Current Approach</w:t>
            </w:r>
          </w:p>
        </w:tc>
        <w:tc>
          <w:tcPr>
            <w:tcW w:type="dxa" w:w="316"/>
            <w:vMerge w:val="restart"/>
            <w:tcBorders>
              <w:bottom w:sz="8.0" w:val="single" w:color="#7F7F7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70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52" w:after="0"/>
              <w:ind w:left="25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 xml:space="preserve">Previous Approach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808080"/>
                <w:sz w:val="10"/>
              </w:rPr>
              <w:t>a</w:t>
            </w:r>
          </w:p>
        </w:tc>
        <w:tc>
          <w:tcPr>
            <w:tcW w:type="dxa" w:w="664"/>
            <w:vMerge w:val="restart"/>
            <w:tcBorders>
              <w:bottom w:sz="8.0" w:val="single" w:color="#7F7F7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7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2023</w:t>
            </w:r>
          </w:p>
        </w:tc>
      </w:tr>
      <w:tr>
        <w:trPr>
          <w:trHeight w:hRule="exact" w:val="284"/>
        </w:trPr>
        <w:tc>
          <w:tcPr>
            <w:tcW w:type="dxa" w:w="1349"/>
            <w:vMerge/>
            <w:tcBorders>
              <w:bottom w:sz="8.0" w:val="single" w:color="#7F7F7F"/>
            </w:tcBorders>
          </w:tcPr>
          <w:p/>
        </w:tc>
        <w:tc>
          <w:tcPr>
            <w:tcW w:type="dxa" w:w="2020"/>
            <w:gridSpan w:val="2"/>
            <w:tcBorders>
              <w:bottom w:sz="8.0" w:val="single" w:color="#7F7F7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8" w:after="0"/>
              <w:ind w:left="0" w:right="37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2024</w:t>
            </w:r>
          </w:p>
        </w:tc>
        <w:tc>
          <w:tcPr>
            <w:tcW w:type="dxa" w:w="1349"/>
            <w:vMerge/>
            <w:tcBorders>
              <w:bottom w:sz="8.0" w:val="single" w:color="#7F7F7F"/>
            </w:tcBorders>
          </w:tcPr>
          <w:p/>
        </w:tc>
        <w:tc>
          <w:tcPr>
            <w:tcW w:type="dxa" w:w="1704"/>
            <w:gridSpan w:val="2"/>
            <w:tcBorders>
              <w:bottom w:sz="8.0" w:val="single" w:color="#7F7F7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8" w:after="0"/>
              <w:ind w:left="0" w:right="8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2024</w:t>
            </w:r>
          </w:p>
        </w:tc>
        <w:tc>
          <w:tcPr>
            <w:tcW w:type="dxa" w:w="1349"/>
            <w:vMerge/>
            <w:tcBorders>
              <w:bottom w:sz="8.0" w:val="single" w:color="#7F7F7F"/>
            </w:tcBorders>
          </w:tcPr>
          <w:p/>
        </w:tc>
      </w:tr>
      <w:tr>
        <w:trPr>
          <w:trHeight w:hRule="exact" w:val="216"/>
        </w:trPr>
        <w:tc>
          <w:tcPr>
            <w:tcW w:type="dxa" w:w="4630"/>
            <w:tcBorders>
              <w:top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 Resources Available (TRA)</w:t>
            </w:r>
          </w:p>
        </w:tc>
        <w:tc>
          <w:tcPr>
            <w:tcW w:type="dxa" w:w="980"/>
            <w:tcBorders>
              <w:top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2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$</w:t>
            </w:r>
          </w:p>
        </w:tc>
        <w:tc>
          <w:tcPr>
            <w:tcW w:type="dxa" w:w="1040"/>
            <w:tcBorders>
              <w:top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149.5 </w:t>
            </w:r>
          </w:p>
        </w:tc>
        <w:tc>
          <w:tcPr>
            <w:tcW w:type="dxa" w:w="316"/>
            <w:vMerge w:val="restart"/>
            <w:tcBorders>
              <w:top w:sz="8.0" w:val="single" w:color="#7F7F7F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4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$</w:t>
            </w:r>
          </w:p>
        </w:tc>
        <w:tc>
          <w:tcPr>
            <w:tcW w:type="dxa" w:w="844"/>
            <w:tcBorders>
              <w:top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195.9 </w:t>
            </w:r>
          </w:p>
        </w:tc>
        <w:tc>
          <w:tcPr>
            <w:tcW w:type="dxa" w:w="860"/>
            <w:tcBorders>
              <w:top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$</w:t>
            </w:r>
          </w:p>
        </w:tc>
        <w:tc>
          <w:tcPr>
            <w:tcW w:type="dxa" w:w="664"/>
            <w:tcBorders>
              <w:top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191.3 </w:t>
            </w:r>
          </w:p>
        </w:tc>
      </w:tr>
      <w:tr>
        <w:trPr>
          <w:trHeight w:hRule="exact" w:val="240"/>
        </w:trPr>
        <w:tc>
          <w:tcPr>
            <w:tcW w:type="dxa" w:w="46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 Resources Required (TRR)</w:t>
            </w:r>
          </w:p>
        </w:tc>
        <w:tc>
          <w:tcPr>
            <w:tcW w:type="dxa" w:w="2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3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82.5 </w:t>
            </w:r>
          </w:p>
        </w:tc>
        <w:tc>
          <w:tcPr>
            <w:tcW w:type="dxa" w:w="1349"/>
            <w:vMerge/>
            <w:tcBorders>
              <w:top w:sz="8.0" w:val="single" w:color="#7F7F7F"/>
              <w:bottom w:sz="4.0" w:val="single" w:color="#000000"/>
            </w:tcBorders>
          </w:tcPr>
          <w:p/>
        </w:tc>
        <w:tc>
          <w:tcPr>
            <w:tcW w:type="dxa" w:w="170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41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134.9 </w:t>
            </w:r>
          </w:p>
        </w:tc>
        <w:tc>
          <w:tcPr>
            <w:tcW w:type="dxa" w:w="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126.1 </w:t>
            </w:r>
          </w:p>
        </w:tc>
      </w:tr>
      <w:tr>
        <w:trPr>
          <w:trHeight w:hRule="exact" w:val="264"/>
        </w:trPr>
        <w:tc>
          <w:tcPr>
            <w:tcW w:type="dxa" w:w="4630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Conservation Buffer (CB)</w:t>
            </w:r>
          </w:p>
        </w:tc>
        <w:tc>
          <w:tcPr>
            <w:tcW w:type="dxa" w:w="2020"/>
            <w:gridSpan w:val="2"/>
            <w:tcBorders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3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15.0 </w:t>
            </w:r>
          </w:p>
        </w:tc>
        <w:tc>
          <w:tcPr>
            <w:tcW w:type="dxa" w:w="1349"/>
            <w:vMerge/>
            <w:tcBorders>
              <w:top w:sz="8.0" w:val="single" w:color="#7F7F7F"/>
              <w:bottom w:sz="4.0" w:val="single" w:color="#000000"/>
            </w:tcBorders>
          </w:tcPr>
          <w:p/>
        </w:tc>
        <w:tc>
          <w:tcPr>
            <w:tcW w:type="dxa" w:w="1704"/>
            <w:gridSpan w:val="2"/>
            <w:tcBorders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8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19.6 </w:t>
            </w:r>
          </w:p>
        </w:tc>
        <w:tc>
          <w:tcPr>
            <w:tcW w:type="dxa" w:w="66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19.1 </w:t>
            </w:r>
          </w:p>
        </w:tc>
      </w:tr>
      <w:tr>
        <w:trPr>
          <w:trHeight w:hRule="exact" w:val="240"/>
        </w:trPr>
        <w:tc>
          <w:tcPr>
            <w:tcW w:type="dxa" w:w="4630"/>
            <w:tcBorders>
              <w:top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Deployable Strategic Capital (DSC = TRA-TRR-CB)</w:t>
            </w:r>
          </w:p>
        </w:tc>
        <w:tc>
          <w:tcPr>
            <w:tcW w:type="dxa" w:w="980"/>
            <w:tcBorders>
              <w:top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" w:after="0"/>
              <w:ind w:left="0" w:right="2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$</w:t>
            </w:r>
          </w:p>
        </w:tc>
        <w:tc>
          <w:tcPr>
            <w:tcW w:type="dxa" w:w="1040"/>
            <w:tcBorders>
              <w:top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52.0 </w:t>
            </w:r>
          </w:p>
        </w:tc>
        <w:tc>
          <w:tcPr>
            <w:tcW w:type="dxa" w:w="316"/>
            <w:tcBorders>
              <w:top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" w:after="0"/>
              <w:ind w:left="0" w:right="4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$</w:t>
            </w:r>
          </w:p>
        </w:tc>
        <w:tc>
          <w:tcPr>
            <w:tcW w:type="dxa" w:w="844"/>
            <w:tcBorders>
              <w:top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41.4 </w:t>
            </w:r>
          </w:p>
        </w:tc>
        <w:tc>
          <w:tcPr>
            <w:tcW w:type="dxa" w:w="860"/>
            <w:tcBorders>
              <w:top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$</w:t>
            </w:r>
          </w:p>
        </w:tc>
        <w:tc>
          <w:tcPr>
            <w:tcW w:type="dxa" w:w="664"/>
            <w:tcBorders>
              <w:top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46.1 </w:t>
            </w:r>
          </w:p>
        </w:tc>
      </w:tr>
      <w:tr>
        <w:trPr>
          <w:trHeight w:hRule="exact" w:val="240"/>
        </w:trPr>
        <w:tc>
          <w:tcPr>
            <w:tcW w:type="dxa" w:w="4630"/>
            <w:tcBorders>
              <w:top w:sz="4.0" w:val="single" w:color="#000000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Deployable Strategic Capital as a percentage of TRA</w:t>
            </w:r>
          </w:p>
        </w:tc>
        <w:tc>
          <w:tcPr>
            <w:tcW w:type="dxa" w:w="2020"/>
            <w:gridSpan w:val="2"/>
            <w:tcBorders>
              <w:top w:sz="4.0" w:val="single" w:color="#000000"/>
              <w:bottom w:sz="8.0" w:val="single" w:color="#7F7F7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34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 34.8 %</w:t>
            </w:r>
          </w:p>
        </w:tc>
        <w:tc>
          <w:tcPr>
            <w:tcW w:type="dxa" w:w="316"/>
            <w:tcBorders>
              <w:top w:sz="4.0" w:val="single" w:color="#000000"/>
              <w:bottom w:sz="8.0" w:val="single" w:color="#7F7F7F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04"/>
            <w:gridSpan w:val="2"/>
            <w:tcBorders>
              <w:top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36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 21.1 %</w:t>
            </w:r>
          </w:p>
        </w:tc>
        <w:tc>
          <w:tcPr>
            <w:tcW w:type="dxa" w:w="664"/>
            <w:tcBorders>
              <w:top w:sz="4.0" w:val="single" w:color="#000000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2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 24.1 %</w:t>
            </w:r>
          </w:p>
        </w:tc>
      </w:tr>
    </w:tbl>
    <w:p>
      <w:pPr>
        <w:autoSpaceDN w:val="0"/>
        <w:autoSpaceDE w:val="0"/>
        <w:widowControl/>
        <w:spacing w:line="200" w:lineRule="exact" w:before="10" w:after="0"/>
        <w:ind w:left="62" w:right="0" w:firstLine="0"/>
        <w:jc w:val="left"/>
      </w:pPr>
      <w:r>
        <w:rPr>
          <w:w w:val="103.99999618530273"/>
          <w:rFonts w:ascii="Arial" w:hAnsi="Arial" w:eastAsia="Arial"/>
          <w:b w:val="0"/>
          <w:i/>
          <w:color w:val="000000"/>
          <w:sz w:val="10"/>
        </w:rPr>
        <w:t xml:space="preserve">a </w:t>
      </w:r>
      <w:r>
        <w:rPr>
          <w:rFonts w:ascii="Arial" w:hAnsi="Arial" w:eastAsia="Arial"/>
          <w:b w:val="0"/>
          <w:i/>
          <w:color w:val="000000"/>
          <w:sz w:val="16"/>
        </w:rPr>
        <w:t>amounts and ratio calculated using previously applicable methodology</w:t>
      </w:r>
    </w:p>
    <w:p>
      <w:pPr>
        <w:autoSpaceDN w:val="0"/>
        <w:autoSpaceDE w:val="0"/>
        <w:widowControl/>
        <w:spacing w:line="244" w:lineRule="exact" w:before="202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Asset-Liability Management</w:t>
      </w:r>
    </w:p>
    <w:p>
      <w:pPr>
        <w:autoSpaceDN w:val="0"/>
        <w:autoSpaceDE w:val="0"/>
        <w:widowControl/>
        <w:spacing w:line="240" w:lineRule="exact" w:before="130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Since FY22, IDA's interim ALM policy allows, under specific criteria, funding fixed rate loans with long-term fixed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rate market debt and CPLs (both reported at amortized cost), as part of IDA’s interest rate risk management to align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interest rate and maturities of the debt with those of the loan portfolio. For more details, see Notes to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Financial Statements for the year ended June 30, 2024, Note E - Borrowings.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Capital Value Protection Program</w:t>
      </w:r>
    </w:p>
    <w:p>
      <w:pPr>
        <w:autoSpaceDN w:val="0"/>
        <w:autoSpaceDE w:val="0"/>
        <w:widowControl/>
        <w:spacing w:line="240" w:lineRule="exact" w:before="124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part of IDA’s ALM policies, IDA executed pay fixed, receive floating forward-starting swaps with a notional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$15.0 billion under a Board-approved Capital Value Protection Program. The objective of the program is to partially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reduce the sensitivity of IDA’s capital adequacy model to changes in long-term interest rates and allow for more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resources to be available for lending under the capital adequacy framework. </w:t>
      </w:r>
    </w:p>
    <w:p>
      <w:pPr>
        <w:autoSpaceDN w:val="0"/>
        <w:autoSpaceDE w:val="0"/>
        <w:widowControl/>
        <w:spacing w:line="240" w:lineRule="exact" w:before="120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Changes in the values of these forward-starting swaps partially offset changes in the present value of loans, thereby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reducing the sensitivity of IDA’s capital adequacy to long-term interest rate movements and providing greater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stability in IDA’s long-term financing to clients. These swaps are included in the ALM portfolio. For more details,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see Notes to the Financial Statements for the year ended June 30, 2024, Note F - Derivative Instruments.</w:t>
      </w:r>
    </w:p>
    <w:p>
      <w:pPr>
        <w:autoSpaceDN w:val="0"/>
        <w:autoSpaceDE w:val="0"/>
        <w:widowControl/>
        <w:spacing w:line="244" w:lineRule="exact" w:before="130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Asset Coverage Principles</w:t>
      </w:r>
    </w:p>
    <w:p>
      <w:pPr>
        <w:autoSpaceDN w:val="0"/>
        <w:autoSpaceDE w:val="0"/>
        <w:widowControl/>
        <w:spacing w:line="240" w:lineRule="exact" w:before="13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addition to the DSC framework, IDA has policies in place to ensure alignment of its lending and borrowing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activities. Specifically, the Board approved the following asset coverage principles:</w:t>
      </w:r>
    </w:p>
    <w:p>
      <w:pPr>
        <w:autoSpaceDN w:val="0"/>
        <w:tabs>
          <w:tab w:pos="460" w:val="left"/>
        </w:tabs>
        <w:autoSpaceDE w:val="0"/>
        <w:widowControl/>
        <w:spacing w:line="240" w:lineRule="exact" w:before="120" w:after="0"/>
        <w:ind w:left="10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Management monitors the level of assets available to satisfy all of IDA’s borrowings and adjusts future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lending and grant commitments should the level of asset coverage fall below the level expected for a triple-A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rated entity.</w:t>
      </w:r>
    </w:p>
    <w:p>
      <w:pPr>
        <w:autoSpaceDN w:val="0"/>
        <w:tabs>
          <w:tab w:pos="460" w:val="left"/>
        </w:tabs>
        <w:autoSpaceDE w:val="0"/>
        <w:widowControl/>
        <w:spacing w:line="240" w:lineRule="exact" w:before="60" w:after="0"/>
        <w:ind w:left="10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Management monitors IDA’s liquidity to ensure its ability to satisfy its borrowing and commitment obligations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even under stressed conditions taking into account the level expected for a triple-A rated entity without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callable capital.</w:t>
      </w:r>
    </w:p>
    <w:p>
      <w:pPr>
        <w:autoSpaceDN w:val="0"/>
        <w:tabs>
          <w:tab w:pos="460" w:val="left"/>
        </w:tabs>
        <w:autoSpaceDE w:val="0"/>
        <w:widowControl/>
        <w:spacing w:line="240" w:lineRule="exact" w:before="60" w:after="0"/>
        <w:ind w:left="10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If IDA’s access to the capital markets or alternative sources of cash funding is impaired, then no additional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loan or grant commitments will be approved until access to cash funding has resumed or all market debt is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repaid.</w:t>
      </w:r>
    </w:p>
    <w:p>
      <w:pPr>
        <w:autoSpaceDN w:val="0"/>
        <w:autoSpaceDE w:val="0"/>
        <w:widowControl/>
        <w:spacing w:line="244" w:lineRule="exact" w:before="370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Credit Risk</w:t>
      </w:r>
    </w:p>
    <w:p>
      <w:pPr>
        <w:autoSpaceDN w:val="0"/>
        <w:autoSpaceDE w:val="0"/>
        <w:widowControl/>
        <w:spacing w:line="240" w:lineRule="exact" w:before="13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faces two types of credit risk: country credit risk and counterparty credit risk. Country credit risk is the risk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loss due to a country not meeting its contractual obligations, and counterparty credit risk is the risk of loss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attributable to a counterparty not honoring its contractual obligations. IDA is exposed to commercial as well as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noncommercial counterparty credit risk. 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Country Credit Risk</w:t>
      </w:r>
    </w:p>
    <w:p>
      <w:pPr>
        <w:autoSpaceDN w:val="0"/>
        <w:autoSpaceDE w:val="0"/>
        <w:widowControl/>
        <w:spacing w:line="240" w:lineRule="exact" w:before="124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IDA’s lending management framework encompasses the long-standing PBA mechanism and allocation framework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agreed at each replenishment, complemented by additional considerations required when accessing debt markets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ensure adherence to risk management (capital adequacy) requirements.</w:t>
      </w:r>
    </w:p>
    <w:p>
      <w:pPr>
        <w:autoSpaceDN w:val="0"/>
        <w:tabs>
          <w:tab w:pos="662" w:val="left"/>
        </w:tabs>
        <w:autoSpaceDE w:val="0"/>
        <w:widowControl/>
        <w:spacing w:line="224" w:lineRule="exact" w:before="528" w:after="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42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Management's Discussion and Analysis:  June 30, 2024</w:t>
      </w:r>
    </w:p>
    <w:p>
      <w:pPr>
        <w:sectPr>
          <w:pgSz w:w="12240" w:h="15840"/>
          <w:pgMar w:top="360" w:right="1370" w:bottom="424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7"/>
        <w:gridCol w:w="4717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IX: Risk Management</w:t>
            </w:r>
          </w:p>
        </w:tc>
      </w:tr>
    </w:tbl>
    <w:p>
      <w:pPr>
        <w:autoSpaceDN w:val="0"/>
        <w:autoSpaceDE w:val="0"/>
        <w:widowControl/>
        <w:spacing w:line="240" w:lineRule="exact" w:before="378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While the PBA framework was not originally intended as a credit quality metric, it incorporates factors related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country credit risk. The PBA determines the volume of concessional IDA resources allocated to each country, based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on performance in implementing policies that promote economic growth and poverty reduction, as assessed under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Country Policy and Institutional Assessment (CPIA). The CPIA includes economic management criteria, such as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fiscal policy and debt policy and management.</w:t>
      </w:r>
    </w:p>
    <w:p>
      <w:pPr>
        <w:autoSpaceDN w:val="0"/>
        <w:autoSpaceDE w:val="0"/>
        <w:widowControl/>
        <w:spacing w:line="240" w:lineRule="exact" w:before="12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addition to these considerations in the PBA, IDA regularly assesses the country credit risk of all its borrowers.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produces credit risk ratings for all its borrowing countries, which reflect country economic, financial,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political circumstances, and also considers environmental, social and governance (ESG) risk factors. Based on these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risk ratings, to manage overall portfolio risk, the allocation outcomes of the PBA and other mechanisms are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reviewed to ensure that they are compatible with the Deployable Strategic Capital Framework and Single Borrower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Limit.</w:t>
      </w:r>
    </w:p>
    <w:p>
      <w:pPr>
        <w:autoSpaceDN w:val="0"/>
        <w:autoSpaceDE w:val="0"/>
        <w:widowControl/>
        <w:spacing w:line="220" w:lineRule="exact" w:before="136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Single Borrower Limit</w:t>
      </w:r>
    </w:p>
    <w:p>
      <w:pPr>
        <w:autoSpaceDN w:val="0"/>
        <w:autoSpaceDE w:val="0"/>
        <w:widowControl/>
        <w:spacing w:line="240" w:lineRule="exact" w:before="124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Portfolio concentration risk, which arises when a small group of borrowing countries account for a large share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loans outstanding, is a key consideration for IDA. Concentration risk is managed through the SBL, which caps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exposure to any single borrowing country at 25 percent of equity, in line with the Basel-based maximum exposure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limit.</w:t>
      </w:r>
    </w:p>
    <w:p>
      <w:pPr>
        <w:autoSpaceDN w:val="0"/>
        <w:autoSpaceDE w:val="0"/>
        <w:widowControl/>
        <w:spacing w:line="240" w:lineRule="exact" w:before="12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For FY25, the SBL has been set at $47.5 billion (25% of $190.3 billion of equity as of June 30, 2024), a marginal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increase compared to FY24 ($46.0 billion). Currently, the maximum country exposure levels compatible with IDA’s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overall capital adequacy target are lower than the SBL for all IDA borrowing countries. As a consequence, the SBL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is currently not a constraining factor. </w:t>
      </w:r>
    </w:p>
    <w:p>
      <w:pPr>
        <w:autoSpaceDN w:val="0"/>
        <w:autoSpaceDE w:val="0"/>
        <w:widowControl/>
        <w:spacing w:line="240" w:lineRule="exact" w:before="12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of June 30, 2024, the ten countries with the highest exposures accounted for 63% of IDA’s total exposure (Figure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14). Monitoring these exposures relative to the SBL, requires consideration of the repayment profiles of existing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loans, as well as disbursement profiles and projected new loans and guarantees.</w:t>
      </w:r>
    </w:p>
    <w:p>
      <w:pPr>
        <w:autoSpaceDN w:val="0"/>
        <w:autoSpaceDE w:val="0"/>
        <w:widowControl/>
        <w:spacing w:line="178" w:lineRule="exact" w:before="150" w:after="0"/>
        <w:ind w:left="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Figure 14: Country Exposures as of June 30, 2024</w:t>
      </w:r>
    </w:p>
    <w:p>
      <w:pPr>
        <w:autoSpaceDN w:val="0"/>
        <w:autoSpaceDE w:val="0"/>
        <w:widowControl/>
        <w:spacing w:line="178" w:lineRule="exact" w:before="74" w:after="0"/>
        <w:ind w:left="4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billions of U.S. dollars</w:t>
      </w:r>
    </w:p>
    <w:p>
      <w:pPr>
        <w:autoSpaceDN w:val="0"/>
        <w:autoSpaceDE w:val="0"/>
        <w:widowControl/>
        <w:spacing w:line="222" w:lineRule="exact" w:before="292" w:after="210"/>
        <w:ind w:left="0" w:right="3984" w:firstLine="0"/>
        <w:jc w:val="right"/>
      </w:pPr>
      <w:r>
        <w:rPr>
          <w:rFonts w:ascii="Arial" w:hAnsi="Arial" w:eastAsia="Arial"/>
          <w:b/>
          <w:i w:val="0"/>
          <w:color w:val="000000"/>
          <w:sz w:val="20"/>
        </w:rPr>
        <w:t>Top Ten Country Exposures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4.00000000000006" w:type="dxa"/>
      </w:tblPr>
      <w:tblGrid>
        <w:gridCol w:w="726"/>
        <w:gridCol w:w="726"/>
        <w:gridCol w:w="726"/>
        <w:gridCol w:w="726"/>
        <w:gridCol w:w="726"/>
        <w:gridCol w:w="726"/>
        <w:gridCol w:w="726"/>
        <w:gridCol w:w="726"/>
        <w:gridCol w:w="726"/>
        <w:gridCol w:w="726"/>
        <w:gridCol w:w="726"/>
        <w:gridCol w:w="726"/>
        <w:gridCol w:w="726"/>
      </w:tblGrid>
      <w:tr>
        <w:trPr>
          <w:trHeight w:hRule="exact" w:val="366"/>
        </w:trPr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Bangladesh</w:t>
            </w:r>
          </w:p>
        </w:tc>
        <w:tc>
          <w:tcPr>
            <w:tcW w:type="dxa" w:w="7600"/>
            <w:gridSpan w:val="1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43.99999999999977" w:type="dxa"/>
            </w:tblPr>
            <w:tblGrid>
              <w:gridCol w:w="691"/>
              <w:gridCol w:w="691"/>
              <w:gridCol w:w="691"/>
              <w:gridCol w:w="691"/>
              <w:gridCol w:w="691"/>
              <w:gridCol w:w="691"/>
              <w:gridCol w:w="691"/>
              <w:gridCol w:w="691"/>
              <w:gridCol w:w="691"/>
              <w:gridCol w:w="691"/>
              <w:gridCol w:w="691"/>
            </w:tblGrid>
            <w:tr>
              <w:trPr>
                <w:trHeight w:hRule="exact" w:val="190"/>
              </w:trPr>
              <w:tc>
                <w:tcPr>
                  <w:tcW w:type="dxa" w:w="6706"/>
                  <w:tcBorders>
                    <w:start w:sz="6.001110553741455" w:val="single" w:color="#585958"/>
                    <w:bottom w:sz="6.001110553741455" w:val="single" w:color="#898A89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1724" w:val="left"/>
                      <w:tab w:pos="3164" w:val="left"/>
                      <w:tab w:pos="3240" w:val="left"/>
                      <w:tab w:pos="3300" w:val="left"/>
                      <w:tab w:pos="4426" w:val="left"/>
                      <w:tab w:pos="4620" w:val="left"/>
                      <w:tab w:pos="5056" w:val="left"/>
                      <w:tab w:pos="5836" w:val="left"/>
                    </w:tabs>
                    <w:autoSpaceDE w:val="0"/>
                    <w:widowControl/>
                    <w:spacing w:line="374" w:lineRule="exact" w:before="0" w:after="0"/>
                    <w:ind w:left="1138" w:right="432" w:firstLine="0"/>
                    <w:jc w:val="left"/>
                  </w:pP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FFFFFF"/>
                      <w:sz w:val="16"/>
                    </w:rPr>
                    <w:t xml:space="preserve">20.5 </w:t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FFFFFF"/>
                      <w:sz w:val="16"/>
                    </w:rPr>
                    <w:t xml:space="preserve">17.9 </w:t>
                  </w:r>
                  <w:r>
                    <w:br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FFFFFF"/>
                      <w:sz w:val="16"/>
                    </w:rPr>
                    <w:t xml:space="preserve">16.5 </w:t>
                  </w:r>
                  <w:r>
                    <w:br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FFFFFF"/>
                      <w:sz w:val="16"/>
                    </w:rPr>
                    <w:t xml:space="preserve">15.9 </w:t>
                  </w:r>
                  <w:r>
                    <w:br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FFFFFF"/>
                      <w:sz w:val="16"/>
                    </w:rPr>
                    <w:t xml:space="preserve">12.2 </w:t>
                  </w:r>
                  <w:r>
                    <w:br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FFFFFF"/>
                      <w:sz w:val="16"/>
                    </w:rPr>
                    <w:t xml:space="preserve">12.0 </w:t>
                  </w:r>
                  <w:r>
                    <w:br/>
                  </w:r>
                  <w:r>
                    <w:tab/>
                  </w:r>
                  <w:r>
                    <w:tab/>
                  </w:r>
                  <w:r>
                    <w:tab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FFFFFF"/>
                      <w:sz w:val="16"/>
                    </w:rPr>
                    <w:t xml:space="preserve">12.0 </w:t>
                  </w:r>
                  <w:r>
                    <w:br/>
                  </w:r>
                  <w:r>
                    <w:tab/>
                  </w:r>
                  <w:r>
                    <w:tab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FFFFFF"/>
                      <w:sz w:val="16"/>
                    </w:rPr>
                    <w:t xml:space="preserve">11.7 </w:t>
                  </w:r>
                  <w:r>
                    <w:br/>
                  </w:r>
                  <w:r>
                    <w:tab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FFFFFF"/>
                      <w:sz w:val="16"/>
                    </w:rPr>
                    <w:t xml:space="preserve">6.7 </w:t>
                  </w:r>
                  <w:r>
                    <w:br/>
                  </w:r>
                  <w:r>
                    <w:rPr>
                      <w:rFonts w:ascii="ArialMT" w:hAnsi="ArialMT" w:eastAsia="ArialMT"/>
                      <w:b w:val="0"/>
                      <w:i w:val="0"/>
                      <w:color w:val="FFFFFF"/>
                      <w:sz w:val="16"/>
                    </w:rPr>
                    <w:t>4.8</w:t>
                  </w:r>
                </w:p>
              </w:tc>
              <w:tc>
                <w:tcPr>
                  <w:tcW w:type="dxa" w:w="691"/>
                  <w:tcBorders>
                    <w:start w:sz="6.001110553741455" w:val="single" w:color="#585958"/>
                    <w:bottom w:sz="6.001110553741455" w:val="single" w:color="#898A89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91"/>
                  <w:tcBorders>
                    <w:start w:sz="6.001110553741455" w:val="single" w:color="#585958"/>
                    <w:bottom w:sz="6.001110553741455" w:val="single" w:color="#898A89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91"/>
                  <w:tcBorders>
                    <w:start w:sz="6.001110553741455" w:val="single" w:color="#585958"/>
                    <w:bottom w:sz="6.001110553741455" w:val="single" w:color="#898A89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91"/>
                  <w:tcBorders>
                    <w:start w:sz="6.001110553741455" w:val="single" w:color="#585958"/>
                    <w:bottom w:sz="6.001110553741455" w:val="single" w:color="#898A89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91"/>
                  <w:tcBorders>
                    <w:start w:sz="6.001110553741455" w:val="single" w:color="#585958"/>
                    <w:bottom w:sz="6.001110553741455" w:val="single" w:color="#898A89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91"/>
                  <w:tcBorders>
                    <w:start w:sz="6.001110553741455" w:val="single" w:color="#585958"/>
                    <w:bottom w:sz="6.001110553741455" w:val="single" w:color="#898A89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91"/>
                  <w:tcBorders>
                    <w:start w:sz="6.001110553741455" w:val="single" w:color="#585958"/>
                    <w:bottom w:sz="6.001110553741455" w:val="single" w:color="#898A89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91"/>
                  <w:tcBorders>
                    <w:start w:sz="6.001110553741455" w:val="single" w:color="#585958"/>
                    <w:bottom w:sz="6.001110553741455" w:val="single" w:color="#898A89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91"/>
                  <w:tcBorders>
                    <w:start w:sz="6.001110553741455" w:val="single" w:color="#585958"/>
                    <w:bottom w:sz="6.001110553741455" w:val="single" w:color="#898A89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691"/>
                  <w:tcBorders>
                    <w:start w:sz="6.001110553741455" w:val="single" w:color="#585958"/>
                    <w:bottom w:sz="6.001110553741455" w:val="single" w:color="#898A89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382"/>
        </w:trPr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98" w:after="0"/>
              <w:ind w:left="0" w:right="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Pakistan</w:t>
            </w:r>
          </w:p>
        </w:tc>
        <w:tc>
          <w:tcPr>
            <w:tcW w:type="dxa" w:w="8712"/>
            <w:gridSpan w:val="12"/>
            <w:vMerge/>
            <w:tcBorders/>
          </w:tcPr>
          <w:p/>
        </w:tc>
      </w:tr>
      <w:tr>
        <w:trPr>
          <w:trHeight w:hRule="exact" w:val="384"/>
        </w:trPr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4" w:after="0"/>
              <w:ind w:left="0" w:right="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Nigeria</w:t>
            </w:r>
          </w:p>
        </w:tc>
        <w:tc>
          <w:tcPr>
            <w:tcW w:type="dxa" w:w="8712"/>
            <w:gridSpan w:val="12"/>
            <w:vMerge/>
            <w:tcBorders/>
          </w:tcPr>
          <w:p/>
        </w:tc>
      </w:tr>
      <w:tr>
        <w:trPr>
          <w:trHeight w:hRule="exact" w:val="382"/>
        </w:trPr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98" w:after="0"/>
              <w:ind w:left="0" w:right="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India</w:t>
            </w:r>
          </w:p>
        </w:tc>
        <w:tc>
          <w:tcPr>
            <w:tcW w:type="dxa" w:w="8712"/>
            <w:gridSpan w:val="12"/>
            <w:vMerge/>
            <w:tcBorders/>
          </w:tcPr>
          <w:p/>
        </w:tc>
      </w:tr>
      <w:tr>
        <w:trPr>
          <w:trHeight w:hRule="exact" w:val="382"/>
        </w:trPr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4" w:after="0"/>
              <w:ind w:left="0" w:right="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Ethiopia</w:t>
            </w:r>
          </w:p>
        </w:tc>
        <w:tc>
          <w:tcPr>
            <w:tcW w:type="dxa" w:w="8712"/>
            <w:gridSpan w:val="12"/>
            <w:vMerge/>
            <w:tcBorders/>
          </w:tcPr>
          <w:p/>
        </w:tc>
      </w:tr>
      <w:tr>
        <w:trPr>
          <w:trHeight w:hRule="exact" w:val="382"/>
        </w:trPr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98" w:after="0"/>
              <w:ind w:left="0" w:right="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Kenya</w:t>
            </w:r>
          </w:p>
        </w:tc>
        <w:tc>
          <w:tcPr>
            <w:tcW w:type="dxa" w:w="8712"/>
            <w:gridSpan w:val="12"/>
            <w:vMerge/>
            <w:tcBorders/>
          </w:tcPr>
          <w:p/>
        </w:tc>
      </w:tr>
      <w:tr>
        <w:trPr>
          <w:trHeight w:hRule="exact" w:val="384"/>
        </w:trPr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4" w:after="0"/>
              <w:ind w:left="0" w:right="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Viet Nam</w:t>
            </w:r>
          </w:p>
        </w:tc>
        <w:tc>
          <w:tcPr>
            <w:tcW w:type="dxa" w:w="8712"/>
            <w:gridSpan w:val="12"/>
            <w:vMerge/>
            <w:tcBorders/>
          </w:tcPr>
          <w:p/>
        </w:tc>
      </w:tr>
      <w:tr>
        <w:trPr>
          <w:trHeight w:hRule="exact" w:val="540"/>
        </w:trPr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98" w:after="0"/>
              <w:ind w:left="0" w:right="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Tanzania</w:t>
            </w:r>
          </w:p>
        </w:tc>
        <w:tc>
          <w:tcPr>
            <w:tcW w:type="dxa" w:w="8712"/>
            <w:gridSpan w:val="12"/>
            <w:vMerge/>
            <w:tcBorders/>
          </w:tcPr>
          <w:p/>
        </w:tc>
      </w:tr>
      <w:tr>
        <w:trPr>
          <w:trHeight w:hRule="exact" w:val="224"/>
        </w:trPr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6" w:after="0"/>
              <w:ind w:left="0" w:right="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Ghana</w:t>
            </w:r>
          </w:p>
        </w:tc>
        <w:tc>
          <w:tcPr>
            <w:tcW w:type="dxa" w:w="8712"/>
            <w:gridSpan w:val="12"/>
            <w:vMerge/>
            <w:tcBorders/>
          </w:tcPr>
          <w:p/>
        </w:tc>
      </w:tr>
      <w:tr>
        <w:trPr>
          <w:trHeight w:hRule="exact" w:val="528"/>
        </w:trPr>
        <w:tc>
          <w:tcPr>
            <w:tcW w:type="dxa" w:w="10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98" w:after="0"/>
              <w:ind w:left="0" w:right="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Uganda</w:t>
            </w:r>
          </w:p>
        </w:tc>
        <w:tc>
          <w:tcPr>
            <w:tcW w:type="dxa" w:w="8712"/>
            <w:gridSpan w:val="12"/>
            <w:vMerge/>
            <w:tcBorders/>
          </w:tcPr>
          <w:p/>
        </w:tc>
      </w:tr>
      <w:tr>
        <w:trPr>
          <w:trHeight w:hRule="exact" w:val="314"/>
        </w:trPr>
        <w:tc>
          <w:tcPr>
            <w:tcW w:type="dxa" w:w="726"/>
            <w:vMerge/>
            <w:tcBorders/>
          </w:tcPr>
          <w:p/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9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5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5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0" w:right="1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0" w:right="2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8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0" w:right="4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3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4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0" w:right="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7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0" w:right="2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4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0" w:right="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12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0" w:right="6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22</w:t>
            </w:r>
          </w:p>
        </w:tc>
      </w:tr>
    </w:tbl>
    <w:p>
      <w:pPr>
        <w:autoSpaceDN w:val="0"/>
        <w:autoSpaceDE w:val="0"/>
        <w:widowControl/>
        <w:spacing w:line="220" w:lineRule="exact" w:before="328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Debt Relief</w:t>
      </w:r>
    </w:p>
    <w:p>
      <w:pPr>
        <w:autoSpaceDN w:val="0"/>
        <w:autoSpaceDE w:val="0"/>
        <w:widowControl/>
        <w:spacing w:line="240" w:lineRule="exact" w:before="124" w:after="0"/>
        <w:ind w:left="0" w:right="0" w:firstLine="0"/>
        <w:jc w:val="center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has participated in two comprehensive debt relief initiatives, HIPC and MDRI, adopted by the global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development community to reduce the debt burdens of developing countries. In each case, IDA agreed to provide </w:t>
      </w:r>
    </w:p>
    <w:p>
      <w:pPr>
        <w:autoSpaceDN w:val="0"/>
        <w:tabs>
          <w:tab w:pos="9088" w:val="left"/>
        </w:tabs>
        <w:autoSpaceDE w:val="0"/>
        <w:widowControl/>
        <w:spacing w:line="224" w:lineRule="exact" w:before="540" w:after="0"/>
        <w:ind w:left="329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Management's Discussion and Analysis: 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43</w:t>
      </w:r>
    </w:p>
    <w:p>
      <w:pPr>
        <w:sectPr>
          <w:pgSz w:w="12240" w:h="15840"/>
          <w:pgMar w:top="360" w:right="1370" w:bottom="424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20"/>
        <w:gridCol w:w="4720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IX: Risk Management</w:t>
            </w:r>
          </w:p>
        </w:tc>
      </w:tr>
    </w:tbl>
    <w:p>
      <w:pPr>
        <w:autoSpaceDN w:val="0"/>
        <w:autoSpaceDE w:val="0"/>
        <w:widowControl/>
        <w:spacing w:line="240" w:lineRule="exact" w:before="378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debt relief in return for future compensation from members for forgone reflows, ensuring that IDA’s financial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capacity would not be reduced. For a borrower to be eligible for debt relief on its loans with IDA, it is required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maintain macroeconomic stability, carry out key structural and social reforms, and maintain all loans in accrual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status.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Expected Losses, Overdue Payments and Non-Performing Loans</w:t>
      </w:r>
    </w:p>
    <w:p>
      <w:pPr>
        <w:autoSpaceDN w:val="0"/>
        <w:autoSpaceDE w:val="0"/>
        <w:widowControl/>
        <w:spacing w:line="240" w:lineRule="exact" w:before="124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When a borrower fails to make payments on any principal, interest, or other charges due to IDA, IDA may suspend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disbursements immediately on all loans and grants to that borrower. IDA’s current practice is to exercise this option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using a gradual approach (Table 26). These practices also apply to member countries eligible to borrow from both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and IBRD, and whose payments on IBRD loans may become overdue. It is IDA’s practice not to reschedule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service charges, interest or principal payments on its loans or participate in debt rescheduling agreements with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respect to its loans. As of June 30, 2024, none of the IDA borrowing countries in the accrual portfolio had overdue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payments beyond three months.</w:t>
      </w:r>
    </w:p>
    <w:p>
      <w:pPr>
        <w:autoSpaceDN w:val="0"/>
        <w:autoSpaceDE w:val="0"/>
        <w:widowControl/>
        <w:spacing w:line="224" w:lineRule="exact" w:before="136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February 2024, all loans made to Niger were placed in nonaccrual status as a result of delays in payment. In May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2024, Niger paid all of its overdue principal and charges due to IDA of $31 million and $14 million, respectively. As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of June 30, 2024 all outstanding loans to Niger have been restored to accrual status in accordance with IDA’s policy. </w:t>
      </w:r>
    </w:p>
    <w:p>
      <w:pPr>
        <w:autoSpaceDN w:val="0"/>
        <w:autoSpaceDE w:val="0"/>
        <w:widowControl/>
        <w:spacing w:line="222" w:lineRule="exact" w:before="2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See Notes to the Financial Statements for the year ended June 30, 2024, Note D – Loans and Other Exposures. </w:t>
      </w:r>
    </w:p>
    <w:p>
      <w:pPr>
        <w:autoSpaceDN w:val="0"/>
        <w:autoSpaceDE w:val="0"/>
        <w:widowControl/>
        <w:spacing w:line="178" w:lineRule="exact" w:before="134" w:after="92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Table 26: Treatment of Overdue Payments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4720"/>
        <w:gridCol w:w="4720"/>
      </w:tblGrid>
      <w:tr>
        <w:trPr>
          <w:trHeight w:hRule="exact" w:val="884"/>
        </w:trPr>
        <w:tc>
          <w:tcPr>
            <w:tcW w:type="dxa" w:w="157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4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Overdue by 30 days</w:t>
            </w:r>
          </w:p>
        </w:tc>
        <w:tc>
          <w:tcPr>
            <w:tcW w:type="dxa" w:w="778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40" w:after="0"/>
              <w:ind w:left="188" w:right="142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Where the borrower is the member country, no new loans, or grants to the member country, or to any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other borrower in the country, will be presented to the Board for approval nor will any previously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approved loans or grants be signed, until payments for all amounts 30 days overdue or longer have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been received. Where the borrower is not the member country, no new loans or grants to that borrower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will be signed or approved.</w:t>
            </w:r>
          </w:p>
        </w:tc>
      </w:tr>
      <w:tr>
        <w:trPr>
          <w:trHeight w:hRule="exact" w:val="1036"/>
        </w:trPr>
        <w:tc>
          <w:tcPr>
            <w:tcW w:type="dxa" w:w="157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Overdue by 45 days</w:t>
            </w:r>
          </w:p>
        </w:tc>
        <w:tc>
          <w:tcPr>
            <w:tcW w:type="dxa" w:w="778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36" w:after="0"/>
              <w:ind w:left="188" w:right="1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In addition to the provisions cited above for payments overdue by 30 days, to avoid proceeding further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on the notification process leading to suspension of disbursements, the country as borrower or guarantor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and all borrowers in the country must pay not only all payments overdue by 30 days or more, but also all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payments due regardless of the number of days since they have fallen due. Where the borrower is not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the member country, no new loans, or grants to, or guaranteed by, the member country, will be signed or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approved. </w:t>
            </w:r>
          </w:p>
        </w:tc>
      </w:tr>
      <w:tr>
        <w:trPr>
          <w:trHeight w:hRule="exact" w:val="884"/>
        </w:trPr>
        <w:tc>
          <w:tcPr>
            <w:tcW w:type="dxa" w:w="157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4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Overdue by 60 days</w:t>
            </w:r>
          </w:p>
        </w:tc>
        <w:tc>
          <w:tcPr>
            <w:tcW w:type="dxa" w:w="778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40" w:after="0"/>
              <w:ind w:left="188" w:right="14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In addition to the suspension of approval for new loans or grants and signing of previously approved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loans or grants, disbursements on all grants or loans to or guaranteed by the member country are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suspended until all overdue amounts are paid. This policy applies even when the borrower is not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member country. Under exceptional circumstances, disbursements can be made to a member country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upon the Board’s approval.</w:t>
            </w:r>
          </w:p>
        </w:tc>
      </w:tr>
      <w:tr>
        <w:trPr>
          <w:trHeight w:hRule="exact" w:val="1516"/>
        </w:trPr>
        <w:tc>
          <w:tcPr>
            <w:tcW w:type="dxa" w:w="157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548" w:after="0"/>
              <w:ind w:left="144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Overdue by more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than six months</w:t>
            </w:r>
          </w:p>
        </w:tc>
        <w:tc>
          <w:tcPr>
            <w:tcW w:type="dxa" w:w="7786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36" w:after="0"/>
              <w:ind w:left="188" w:right="142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In addition to the suspension of disbursements on all loans to, or guaranteed by, the member country, all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loans made to or guaranteed by a member or to the territory of a member of IDA are placed in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nonaccrual status, unless IDA determines that the overdue amount will be collected in the immediate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future. Unpaid service charges and other charges not yet paid on loans outstanding are deducted from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loan revenue in the current period. To the extent that these payments are received, they are included in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loan revenue. At the time of arrears clearance, if collectability risk is considered to be particularly high,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the member’s exposures may not automatically emerge from nonaccrual status. In such instances, 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decision is made on the restoration of accrual status on a case-by-case basis and in certain cases, this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decision may be deferred until after a suitable period of payment or policy performance has passed.</w:t>
            </w:r>
          </w:p>
        </w:tc>
      </w:tr>
    </w:tbl>
    <w:p>
      <w:pPr>
        <w:autoSpaceDN w:val="0"/>
        <w:autoSpaceDE w:val="0"/>
        <w:widowControl/>
        <w:spacing w:line="240" w:lineRule="exact" w:before="152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an exception to the practices set forth in Table 26, IDA has provided financing to countries with overdue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payments, in very specific situations:</w:t>
      </w:r>
    </w:p>
    <w:p>
      <w:pPr>
        <w:autoSpaceDN w:val="0"/>
        <w:tabs>
          <w:tab w:pos="280" w:val="left"/>
        </w:tabs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has provided grants from its Crisis Response Window to third party agencies for use in Somalia and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Zimbabwe in response to major crises, during FY17 and FY19 respectively, and;</w:t>
      </w:r>
    </w:p>
    <w:p>
      <w:pPr>
        <w:autoSpaceDN w:val="0"/>
        <w:tabs>
          <w:tab w:pos="280" w:val="left"/>
        </w:tabs>
        <w:autoSpaceDE w:val="0"/>
        <w:widowControl/>
        <w:spacing w:line="240" w:lineRule="exact" w:before="6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has financed a few regional projects, for the benefit of countries with overdue payments to IDA, through its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Regional Program Window.</w:t>
      </w:r>
    </w:p>
    <w:p>
      <w:pPr>
        <w:autoSpaceDN w:val="0"/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the past, on an exceptional basis, IDA financed through concessional loans and grants the following regional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projects, where participation of a country with overdue payments was crucial to the success of the regional project.</w:t>
      </w:r>
    </w:p>
    <w:p>
      <w:pPr>
        <w:autoSpaceDN w:val="0"/>
        <w:tabs>
          <w:tab w:pos="280" w:val="left"/>
        </w:tabs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April 2017, the Kenya Displacement project ($103 million) through Intergovernmental Authority on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Development (IGAD) that included financing for Somalia, a country with overdue payments at the time.</w:t>
      </w:r>
    </w:p>
    <w:p>
      <w:pPr>
        <w:autoSpaceDN w:val="0"/>
        <w:tabs>
          <w:tab w:pos="280" w:val="left"/>
        </w:tabs>
        <w:autoSpaceDE w:val="0"/>
        <w:widowControl/>
        <w:spacing w:line="240" w:lineRule="exact" w:before="6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December 2014, Kariba Dam Rehabilitation Project ($75 million) that included benefits for Zimbabwe, a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country with overdue payments.</w:t>
      </w:r>
    </w:p>
    <w:p>
      <w:pPr>
        <w:autoSpaceDN w:val="0"/>
        <w:tabs>
          <w:tab w:pos="280" w:val="left"/>
        </w:tabs>
        <w:autoSpaceDE w:val="0"/>
        <w:widowControl/>
        <w:spacing w:line="240" w:lineRule="exact" w:before="6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September 2003, West Africa HIV/AIDS project for the Abidjan-Lagos Transport Corridor ($17 million) that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included benefits for Togo, a country with overdue payments at that time.</w:t>
      </w:r>
    </w:p>
    <w:p>
      <w:pPr>
        <w:autoSpaceDN w:val="0"/>
        <w:tabs>
          <w:tab w:pos="662" w:val="left"/>
        </w:tabs>
        <w:autoSpaceDE w:val="0"/>
        <w:widowControl/>
        <w:spacing w:line="224" w:lineRule="exact" w:before="436" w:after="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44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Management's Discussion and Analysis:  June 30, 2024</w:t>
      </w:r>
    </w:p>
    <w:p>
      <w:pPr>
        <w:sectPr>
          <w:pgSz w:w="12240" w:h="15840"/>
          <w:pgMar w:top="360" w:right="1370" w:bottom="424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7"/>
        <w:gridCol w:w="4717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IX: Risk Management</w:t>
            </w:r>
          </w:p>
        </w:tc>
      </w:tr>
    </w:tbl>
    <w:p>
      <w:pPr>
        <w:autoSpaceDN w:val="0"/>
        <w:autoSpaceDE w:val="0"/>
        <w:widowControl/>
        <w:spacing w:line="240" w:lineRule="exact" w:before="378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the above cases, financing was not made directly to the country with overdue payments. Implementation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arrangements were such that a regional bank or another participating country took on the obligation of the regional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project on behalf of the country with overdue payments to IDA.</w:t>
      </w:r>
    </w:p>
    <w:p>
      <w:pPr>
        <w:autoSpaceDN w:val="0"/>
        <w:autoSpaceDE w:val="0"/>
        <w:widowControl/>
        <w:spacing w:line="240" w:lineRule="exact" w:before="12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addition, IDA may engage with countries with overdue payments when a very narrow and well-defined set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criteria are met, including a clear path to arrears clearance. For more details on exceptional financing, see Section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III: IDA’s Financial Resources.</w:t>
      </w:r>
    </w:p>
    <w:p>
      <w:pPr>
        <w:autoSpaceDN w:val="0"/>
        <w:autoSpaceDE w:val="0"/>
        <w:widowControl/>
        <w:spacing w:line="222" w:lineRule="exact" w:before="138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Accumulated Provision for Losses on Loans and other Exposures</w:t>
      </w:r>
    </w:p>
    <w:p>
      <w:pPr>
        <w:autoSpaceDN w:val="0"/>
        <w:autoSpaceDE w:val="0"/>
        <w:widowControl/>
        <w:spacing w:line="240" w:lineRule="exact" w:before="12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total exposure for provisioning is the current exposure and the estimated exposure taking into account expected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disbursements and repayments over the life of the instruments. The expected credit losses related to loans and other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exposures are calculated over the life of the instruments based on the expected exposures, the expected default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frequency (probability of default to IDA) and the estimated loss given default. The provision for expected losses is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sum of the expected annual losses over the life of the instruments. A key determinant in the provision for losses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on loans and other exposures is IDA’s borrowing country credit risk ratings. These ratings are IDA’s own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assessment of borrowers’ ability and willingness to repay IDA on time and in full.</w:t>
      </w:r>
    </w:p>
    <w:p>
      <w:pPr>
        <w:autoSpaceDN w:val="0"/>
        <w:autoSpaceDE w:val="0"/>
        <w:widowControl/>
        <w:spacing w:line="240" w:lineRule="exact" w:before="120" w:after="0"/>
        <w:ind w:left="4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of June 30, 2024, IDA had $202.5 billion of loans outstanding, of which loans in nonaccrual status represent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0.4%. IDA’s accumulated provision for losses on loans and other exposures was $5.6 billion, which represents 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provisioning rate of 2.0% of the underlying exposures ($5.5 billion as of June 30, 2023, 2.1% of the underlying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exposures). For a summary of countries with loans or guarantees in nonaccrual status as of June 30, 2023, see Notes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to the Financial Statements for the year ended June 30, 2024, Note D – Loans and Other Exposures.</w:t>
      </w:r>
    </w:p>
    <w:p>
      <w:pPr>
        <w:autoSpaceDN w:val="0"/>
        <w:autoSpaceDE w:val="0"/>
        <w:widowControl/>
        <w:spacing w:line="220" w:lineRule="exact" w:before="136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Commercial Counterparty Credit Risk</w:t>
      </w:r>
    </w:p>
    <w:p>
      <w:pPr>
        <w:autoSpaceDN w:val="0"/>
        <w:autoSpaceDE w:val="0"/>
        <w:widowControl/>
        <w:spacing w:line="240" w:lineRule="exact" w:before="124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Commercial counterparty credit risk is the risk that counterparties fail to meet their payment obligations under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terms of the contract or other financial instruments. Effective management of counterparty credit risk is vital to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success of IDA’s funding, investment, and asset/liability management activities. The monitoring and management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these risks is continuous as the market environment evolves.</w:t>
      </w:r>
    </w:p>
    <w:p>
      <w:pPr>
        <w:autoSpaceDN w:val="0"/>
        <w:autoSpaceDE w:val="0"/>
        <w:widowControl/>
        <w:spacing w:line="240" w:lineRule="exact" w:before="12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mitigates the counterparty credit risk from its investment and derivative holdings through the credit approval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process, the use of collateral agreements and risk limits, and other monitoring procedures. The credit approval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process involves evaluating counterparty and product specific creditworthiness, assigning internal credit ratings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limits, and determining the risk profile of specific transactions. Credit limits are set and monitored throughout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year. Counterparty exposure is updated daily, taking into account current market values of assets held, estimates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potential future movements of exposure for derivative instruments, and related counterparty collateral agreements.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Collateral posting requirements are based on thresholds driven by public credit ratings. Collateral held includes cash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and highly rated liquid investment securities. Commercial credit risk management includes ESG related assessments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the approval and monitoring of higher exposure counterparts for the liquid asset portfolio and for derivative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counterparties.</w:t>
      </w:r>
    </w:p>
    <w:p>
      <w:pPr>
        <w:autoSpaceDN w:val="0"/>
        <w:autoSpaceDE w:val="0"/>
        <w:widowControl/>
        <w:spacing w:line="240" w:lineRule="exact" w:before="120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IDA’s liquid asset portfolio consists mostly of sovereign government bonds, debt instruments issued by sovereign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government agencies, and time deposits with banks.</w:t>
      </w:r>
    </w:p>
    <w:p>
      <w:pPr>
        <w:autoSpaceDN w:val="0"/>
        <w:autoSpaceDE w:val="0"/>
        <w:widowControl/>
        <w:spacing w:line="220" w:lineRule="exact" w:before="136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Derivative Instruments</w:t>
      </w:r>
    </w:p>
    <w:p>
      <w:pPr>
        <w:autoSpaceDN w:val="0"/>
        <w:autoSpaceDE w:val="0"/>
        <w:widowControl/>
        <w:spacing w:line="240" w:lineRule="exact" w:before="124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the normal course of its business, IDA enters into various derivative instruments to manage foreign exchange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interest rate risks. These instruments are also used to help borrowers to manage their financial risks. Derivative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transactions are conducted with other financial institutions and, by their nature, entail commercial counterparty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credit risk.</w:t>
      </w:r>
    </w:p>
    <w:p>
      <w:pPr>
        <w:autoSpaceDN w:val="0"/>
        <w:autoSpaceDE w:val="0"/>
        <w:widowControl/>
        <w:spacing w:line="240" w:lineRule="exact" w:before="120" w:after="0"/>
        <w:ind w:left="0" w:right="0" w:firstLine="0"/>
        <w:jc w:val="center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While the volume of derivative activity can be measured by the contracted notional value of derivatives, notional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value is not an accurate measure of credit or market risk. IDA uses the estimated replacement cost of the derivative </w:t>
      </w:r>
    </w:p>
    <w:p>
      <w:pPr>
        <w:autoSpaceDN w:val="0"/>
        <w:autoSpaceDE w:val="0"/>
        <w:widowControl/>
        <w:spacing w:line="222" w:lineRule="exact" w:before="44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instruments, or potential future exposure (PFE), to measure credit risk with counterparties.</w:t>
      </w:r>
    </w:p>
    <w:p>
      <w:pPr>
        <w:autoSpaceDN w:val="0"/>
        <w:autoSpaceDE w:val="0"/>
        <w:widowControl/>
        <w:spacing w:line="240" w:lineRule="exact" w:before="118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Under IDA’s mark-to-market collateral arrangements, IDA receives collateral when mark-to-market exposure is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greater than the ratings-based collateral threshold. As of June 30, 2024, IDA received $893 million of cash collateral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for its derivative transactions ($439 million - June 30, 2023).</w:t>
      </w:r>
    </w:p>
    <w:p>
      <w:pPr>
        <w:autoSpaceDN w:val="0"/>
        <w:tabs>
          <w:tab w:pos="9088" w:val="left"/>
        </w:tabs>
        <w:autoSpaceDE w:val="0"/>
        <w:widowControl/>
        <w:spacing w:line="224" w:lineRule="exact" w:before="640" w:after="0"/>
        <w:ind w:left="329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Management's Discussion and Analysis: 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45</w:t>
      </w:r>
    </w:p>
    <w:p>
      <w:pPr>
        <w:sectPr>
          <w:pgSz w:w="12240" w:h="15840"/>
          <w:pgMar w:top="360" w:right="1370" w:bottom="424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20"/>
        <w:gridCol w:w="4720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IX: Risk Management</w:t>
            </w:r>
          </w:p>
        </w:tc>
      </w:tr>
    </w:tbl>
    <w:p>
      <w:pPr>
        <w:autoSpaceDN w:val="0"/>
        <w:autoSpaceDE w:val="0"/>
        <w:widowControl/>
        <w:spacing w:line="240" w:lineRule="exact" w:before="378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is not required to post collateral under its derivative agreements as long as it maintains a triple-A credit rating.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(For the contractual value, notional amounts, related credit risk exposure amounts, and the amount IDA would be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required to post in the event of a downgrade, see Notes to the Financial Statements for the year ended June 30, 2024,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Note F–Derivative Instruments).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Investment Securities</w:t>
      </w:r>
    </w:p>
    <w:p>
      <w:pPr>
        <w:autoSpaceDN w:val="0"/>
        <w:autoSpaceDE w:val="0"/>
        <w:widowControl/>
        <w:spacing w:line="240" w:lineRule="exact" w:before="124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IDA’s Board-approved General Investment Authorization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provides the basic authority for IDA to invest its liquid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assets. Furthermore, all investment activities are conducted in accordance with a more detailed set of Investment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Guidelines set by management. The Investment Guidelines are approved by the MDCFO and implemented by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Treasurer. The most recent update was in FY18, to incorporate the changes required under the IDA18 hybrid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financial model. Issuer and product investment eligibility and risk parameters relative to benchmarks are core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components of these Guidelines. The Guidelines also include a consultative loss limit to reflect a level of tolerance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for the risk of underperforming the benchmark in any fiscal year and a duration deviation metric. Clear lines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responsibility for risk monitoring and compliance are highlighted in the Guidelines. Credit risk appetite is conveyed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through specific eligibility criteria (Table 27). IDA has procedures in place to monitor performance against this limit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and potential risks, and it takes appropriate actions if the limit is reached. All investments are subject to additional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conditions specified by the market and counterparty risk department, as deemed necessary.</w:t>
      </w:r>
    </w:p>
    <w:p>
      <w:pPr>
        <w:autoSpaceDN w:val="0"/>
        <w:autoSpaceDE w:val="0"/>
        <w:widowControl/>
        <w:spacing w:line="178" w:lineRule="exact" w:before="150" w:after="92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Table 27: Eligibility Criteria for IDA’s Investments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4720"/>
        <w:gridCol w:w="4720"/>
      </w:tblGrid>
      <w:tr>
        <w:trPr>
          <w:trHeight w:hRule="exact" w:val="240"/>
        </w:trPr>
        <w:tc>
          <w:tcPr>
            <w:tcW w:type="dxa" w:w="261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10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Eligible Investments </w:t>
            </w:r>
            <w:r>
              <w:rPr>
                <w:w w:val="103.99999618530273"/>
                <w:rFonts w:ascii="Arial" w:hAnsi="Arial" w:eastAsia="Arial"/>
                <w:b/>
                <w:i w:val="0"/>
                <w:color w:val="000000"/>
                <w:sz w:val="10"/>
              </w:rPr>
              <w:t>a</w:t>
            </w:r>
          </w:p>
        </w:tc>
        <w:tc>
          <w:tcPr>
            <w:tcW w:type="dxa" w:w="676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100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Description</w:t>
            </w:r>
          </w:p>
        </w:tc>
      </w:tr>
      <w:tr>
        <w:trPr>
          <w:trHeight w:hRule="exact" w:val="826"/>
        </w:trPr>
        <w:tc>
          <w:tcPr>
            <w:tcW w:type="dxa" w:w="261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10" w:after="0"/>
              <w:ind w:left="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Sovereigns</w:t>
            </w:r>
          </w:p>
        </w:tc>
        <w:tc>
          <w:tcPr>
            <w:tcW w:type="dxa" w:w="676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06" w:after="0"/>
              <w:ind w:left="42" w:right="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IDA may only invest in obligations issued or unconditionally guaranteed by governments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member countries with a minimum credit rating of AA-. However, no rating is required if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government obligations are denominated in the national currency of the issuer.</w:t>
            </w:r>
          </w:p>
        </w:tc>
      </w:tr>
      <w:tr>
        <w:trPr>
          <w:trHeight w:hRule="exact" w:val="644"/>
        </w:trPr>
        <w:tc>
          <w:tcPr>
            <w:tcW w:type="dxa" w:w="261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0" w:after="0"/>
              <w:ind w:left="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Agencies</w:t>
            </w:r>
          </w:p>
        </w:tc>
        <w:tc>
          <w:tcPr>
            <w:tcW w:type="dxa" w:w="676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4" w:after="0"/>
              <w:ind w:left="42" w:right="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IDA may invest only in obligations issued by an agency or instrumentality of a government of 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member country, a multilateral organization, or any other official entity other than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government of a member country, with a minimum credit rating of AA-.</w:t>
            </w:r>
          </w:p>
        </w:tc>
      </w:tr>
      <w:tr>
        <w:trPr>
          <w:trHeight w:hRule="exact" w:val="436"/>
        </w:trPr>
        <w:tc>
          <w:tcPr>
            <w:tcW w:type="dxa" w:w="261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" w:after="0"/>
              <w:ind w:left="4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Corporates and asset-backed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securities</w:t>
            </w:r>
          </w:p>
        </w:tc>
        <w:tc>
          <w:tcPr>
            <w:tcW w:type="dxa" w:w="676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16" w:after="0"/>
              <w:ind w:left="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IDA may only invest in securities with a triple-A credit rating.</w:t>
            </w:r>
          </w:p>
        </w:tc>
      </w:tr>
      <w:tr>
        <w:trPr>
          <w:trHeight w:hRule="exact" w:val="434"/>
        </w:trPr>
        <w:tc>
          <w:tcPr>
            <w:tcW w:type="dxa" w:w="261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92" w:after="0"/>
              <w:ind w:left="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Time deposits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b</w:t>
            </w:r>
          </w:p>
        </w:tc>
        <w:tc>
          <w:tcPr>
            <w:tcW w:type="dxa" w:w="676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" w:after="0"/>
              <w:ind w:left="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IDA may only invest in time deposits issued or guaranteed by financial institutions, whose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senior debt securities are rated at least A-.</w:t>
            </w:r>
          </w:p>
        </w:tc>
      </w:tr>
      <w:tr>
        <w:trPr>
          <w:trHeight w:hRule="exact" w:val="436"/>
        </w:trPr>
        <w:tc>
          <w:tcPr>
            <w:tcW w:type="dxa" w:w="261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16" w:after="0"/>
              <w:ind w:left="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Commercial paper</w:t>
            </w:r>
          </w:p>
        </w:tc>
        <w:tc>
          <w:tcPr>
            <w:tcW w:type="dxa" w:w="676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6" w:after="0"/>
              <w:ind w:left="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IDA may only invest in short-term borrowings (less than 190 days) from commercial banks,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corporates, and financial institutions with at least two Prime-1 ratings.</w:t>
            </w:r>
          </w:p>
        </w:tc>
      </w:tr>
      <w:tr>
        <w:trPr>
          <w:trHeight w:hRule="exact" w:val="644"/>
        </w:trPr>
        <w:tc>
          <w:tcPr>
            <w:tcW w:type="dxa" w:w="261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4" w:after="0"/>
              <w:ind w:left="42" w:right="86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Securities lending, and borrowing,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repurchases, resales, and reverse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repurchases</w:t>
            </w:r>
          </w:p>
        </w:tc>
        <w:tc>
          <w:tcPr>
            <w:tcW w:type="dxa" w:w="676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14" w:after="0"/>
              <w:ind w:left="42" w:right="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IDA may engage in securities lending, against adequate collateral repurchases and reverse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repurchases, against adequate margin protection, of the securities described under the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sovereigns, agencies, and corporates and asset-backed security categories.</w:t>
            </w:r>
          </w:p>
        </w:tc>
      </w:tr>
      <w:tr>
        <w:trPr>
          <w:trHeight w:hRule="exact" w:val="914"/>
        </w:trPr>
        <w:tc>
          <w:tcPr>
            <w:tcW w:type="dxa" w:w="2610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56" w:after="0"/>
              <w:ind w:left="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Collateral assets</w:t>
            </w:r>
          </w:p>
        </w:tc>
        <w:tc>
          <w:tcPr>
            <w:tcW w:type="dxa" w:w="6764"/>
            <w:tcBorders>
              <w:start w:sz="8.0" w:val="single" w:color="#000000"/>
              <w:top w:sz="8.0" w:val="single" w:color="#000000"/>
              <w:end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2" w:lineRule="exact" w:before="54" w:after="0"/>
              <w:ind w:left="42" w:right="0" w:firstLine="0"/>
              <w:jc w:val="both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IDA may engage in collateralized forward transactions, such as swap, repurchase, resale,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securities lending, or equivalent transactions that involve certain underlying assets not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independently eligible for investment. In each case, adequate margin protection needs to be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received.</w:t>
            </w:r>
          </w:p>
        </w:tc>
      </w:tr>
    </w:tbl>
    <w:p>
      <w:pPr>
        <w:autoSpaceDN w:val="0"/>
        <w:tabs>
          <w:tab w:pos="242" w:val="left"/>
        </w:tabs>
        <w:autoSpaceDE w:val="0"/>
        <w:widowControl/>
        <w:spacing w:line="192" w:lineRule="exact" w:before="70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a. All investments are subject to approval by the Market and Counterparty Risk department and must appear on the “Approved </w:t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 xml:space="preserve">List” created by the department. </w:t>
      </w:r>
    </w:p>
    <w:p>
      <w:pPr>
        <w:autoSpaceDN w:val="0"/>
        <w:tabs>
          <w:tab w:pos="242" w:val="left"/>
        </w:tabs>
        <w:autoSpaceDE w:val="0"/>
        <w:widowControl/>
        <w:spacing w:line="192" w:lineRule="exact" w:before="0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b. Time deposits include certificates of deposit, bankers’ acceptances and other obligations issued or unconditionally guaranteed </w:t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>by banks or other financial institutions.</w:t>
      </w:r>
    </w:p>
    <w:p>
      <w:pPr>
        <w:autoSpaceDN w:val="0"/>
        <w:autoSpaceDE w:val="0"/>
        <w:widowControl/>
        <w:spacing w:line="240" w:lineRule="exact" w:before="26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credit quality of IDA’s investment portfolio remains in the upper end of the credit spectrum with 77% of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portfolio rated AA or above as of June 30, 2024, reflecting IDA’s continued preference for highly-rated securities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and counterparties across all categories of financial instruments. 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Commercial Counterparty Credit Risk Exposure</w:t>
      </w:r>
    </w:p>
    <w:p>
      <w:pPr>
        <w:autoSpaceDN w:val="0"/>
        <w:autoSpaceDE w:val="0"/>
        <w:widowControl/>
        <w:spacing w:line="240" w:lineRule="exact" w:before="124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a result of IDA’s use of mark-to-market collateral arrangements for swap transactions, its residual commercial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counterparty credit risk exposure is concentrated in the investment portfolio, in instruments issued by sovereign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governments and non-sovereign holdings (including Agencies, Asset-backed securities, Corporates, and Time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Deposits). Total commercial counterparty credit exposure, net of collateral held, was $34,808 million as of June 30,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2024. (Table 28).</w:t>
      </w:r>
    </w:p>
    <w:p>
      <w:pPr>
        <w:autoSpaceDN w:val="0"/>
        <w:tabs>
          <w:tab w:pos="662" w:val="left"/>
        </w:tabs>
        <w:autoSpaceDE w:val="0"/>
        <w:widowControl/>
        <w:spacing w:line="224" w:lineRule="exact" w:before="792" w:after="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46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Management's Discussion and Analysis:  June 30, 2024</w:t>
      </w:r>
    </w:p>
    <w:p>
      <w:pPr>
        <w:sectPr>
          <w:pgSz w:w="12240" w:h="15840"/>
          <w:pgMar w:top="360" w:right="1370" w:bottom="424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20"/>
        <w:gridCol w:w="4720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IX: Risk Management</w:t>
            </w:r>
          </w:p>
        </w:tc>
      </w:tr>
    </w:tbl>
    <w:p>
      <w:pPr>
        <w:autoSpaceDN w:val="0"/>
        <w:autoSpaceDE w:val="0"/>
        <w:widowControl/>
        <w:spacing w:line="178" w:lineRule="exact" w:before="408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Table 28: Commercial Credit Exposure, Net of Collateral Held, by Counterparty Rating</w:t>
      </w:r>
    </w:p>
    <w:p>
      <w:pPr>
        <w:autoSpaceDN w:val="0"/>
        <w:autoSpaceDE w:val="0"/>
        <w:widowControl/>
        <w:spacing w:line="178" w:lineRule="exact" w:before="74" w:after="0"/>
        <w:ind w:left="1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dollars, except rates in percentages</w:t>
      </w:r>
    </w:p>
    <w:p>
      <w:pPr>
        <w:autoSpaceDN w:val="0"/>
        <w:autoSpaceDE w:val="0"/>
        <w:widowControl/>
        <w:spacing w:line="178" w:lineRule="exact" w:before="126" w:after="28"/>
        <w:ind w:left="0" w:right="2648" w:firstLine="0"/>
        <w:jc w:val="right"/>
      </w:pPr>
      <w:r>
        <w:rPr>
          <w:rFonts w:ascii="ArialMT" w:hAnsi="ArialMT" w:eastAsia="ArialMT"/>
          <w:b w:val="0"/>
          <w:i w:val="0"/>
          <w:color w:val="808080"/>
          <w:sz w:val="16"/>
        </w:rPr>
        <w:t xml:space="preserve"> As of June 30, 2024 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196"/>
        </w:trPr>
        <w:tc>
          <w:tcPr>
            <w:tcW w:type="dxa" w:w="2474"/>
            <w:vMerge w:val="restart"/>
            <w:tcBorders>
              <w:top w:sz="8.0" w:val="single" w:color="#7F7F7F"/>
              <w:bottom w:sz="8.0" w:val="single" w:color="#7F7F7F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 xml:space="preserve">Counterparty Rating </w:t>
            </w:r>
            <w:r>
              <w:rPr>
                <w:rFonts w:ascii="ArialMT" w:hAnsi="ArialMT" w:eastAsia="ArialMT"/>
                <w:b w:val="0"/>
                <w:i w:val="0"/>
                <w:color w:val="808080"/>
                <w:sz w:val="13"/>
              </w:rPr>
              <w:t>a</w:t>
            </w:r>
          </w:p>
        </w:tc>
        <w:tc>
          <w:tcPr>
            <w:tcW w:type="dxa" w:w="1416"/>
            <w:vMerge w:val="restart"/>
            <w:tcBorders>
              <w:top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10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So</w:t>
            </w: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vereigns</w:t>
            </w:r>
          </w:p>
        </w:tc>
        <w:tc>
          <w:tcPr>
            <w:tcW w:type="dxa" w:w="1540"/>
            <w:vMerge w:val="restart"/>
            <w:tcBorders>
              <w:top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9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Non-So</w:t>
            </w: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vereigns</w:t>
            </w:r>
          </w:p>
        </w:tc>
        <w:tc>
          <w:tcPr>
            <w:tcW w:type="dxa" w:w="1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1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N</w:t>
            </w: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 xml:space="preserve">et Swap </w:t>
            </w:r>
          </w:p>
        </w:tc>
        <w:tc>
          <w:tcPr>
            <w:tcW w:type="dxa" w:w="1244"/>
            <w:vMerge w:val="restart"/>
            <w:tcBorders>
              <w:top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 xml:space="preserve">Total </w:t>
            </w: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Exposure</w:t>
            </w:r>
          </w:p>
        </w:tc>
        <w:tc>
          <w:tcPr>
            <w:tcW w:type="dxa" w:w="1486"/>
            <w:gridSpan w:val="3"/>
            <w:vMerge w:val="restart"/>
            <w:tcBorders>
              <w:bottom w:sz="8.0" w:val="single" w:color="#7F7F7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6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% of Total</w:t>
            </w:r>
          </w:p>
        </w:tc>
      </w:tr>
      <w:tr>
        <w:trPr>
          <w:trHeight w:hRule="exact" w:val="224"/>
        </w:trPr>
        <w:tc>
          <w:tcPr>
            <w:tcW w:type="dxa" w:w="1049"/>
            <w:vMerge/>
            <w:tcBorders>
              <w:top w:sz="8.0" w:val="single" w:color="#7F7F7F"/>
              <w:bottom w:sz="8.0" w:val="single" w:color="#7F7F7F"/>
            </w:tcBorders>
          </w:tcPr>
          <w:p/>
        </w:tc>
        <w:tc>
          <w:tcPr>
            <w:tcW w:type="dxa" w:w="1049"/>
            <w:vMerge/>
            <w:tcBorders>
              <w:top w:sz="8.0" w:val="single" w:color="#7F7F7F"/>
              <w:bottom w:sz="8.0" w:val="single" w:color="#7F7F7F"/>
            </w:tcBorders>
          </w:tcPr>
          <w:p/>
        </w:tc>
        <w:tc>
          <w:tcPr>
            <w:tcW w:type="dxa" w:w="1049"/>
            <w:vMerge/>
            <w:tcBorders>
              <w:top w:sz="8.0" w:val="single" w:color="#7F7F7F"/>
              <w:bottom w:sz="8.0" w:val="single" w:color="#7F7F7F"/>
            </w:tcBorders>
          </w:tcPr>
          <w:p/>
        </w:tc>
        <w:tc>
          <w:tcPr>
            <w:tcW w:type="dxa" w:w="1220"/>
            <w:gridSpan w:val="2"/>
            <w:tcBorders>
              <w:bottom w:sz="8.0" w:val="single" w:color="#7F7F7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1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Exposure</w:t>
            </w:r>
          </w:p>
        </w:tc>
        <w:tc>
          <w:tcPr>
            <w:tcW w:type="dxa" w:w="1049"/>
            <w:vMerge/>
            <w:tcBorders>
              <w:top w:sz="8.0" w:val="single" w:color="#7F7F7F"/>
              <w:bottom w:sz="8.0" w:val="single" w:color="#7F7F7F"/>
            </w:tcBorders>
          </w:tcPr>
          <w:p/>
        </w:tc>
        <w:tc>
          <w:tcPr>
            <w:tcW w:type="dxa" w:w="3147"/>
            <w:gridSpan w:val="3"/>
            <w:vMerge/>
            <w:tcBorders>
              <w:bottom w:sz="8.0" w:val="single" w:color="#7F7F7F"/>
            </w:tcBorders>
          </w:tcPr>
          <w:p/>
        </w:tc>
      </w:tr>
      <w:tr>
        <w:trPr>
          <w:trHeight w:hRule="exact" w:val="216"/>
        </w:trPr>
        <w:tc>
          <w:tcPr>
            <w:tcW w:type="dxa" w:w="2474"/>
            <w:tcBorders>
              <w:top w:sz="8.0" w:val="single" w:color="#7F7F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AAA</w:t>
            </w:r>
          </w:p>
        </w:tc>
        <w:tc>
          <w:tcPr>
            <w:tcW w:type="dxa" w:w="1416"/>
            <w:tcBorders>
              <w:top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7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$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6,815 </w:t>
            </w:r>
          </w:p>
        </w:tc>
        <w:tc>
          <w:tcPr>
            <w:tcW w:type="dxa" w:w="1540"/>
            <w:tcBorders>
              <w:top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2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$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2,774 </w:t>
            </w:r>
          </w:p>
        </w:tc>
        <w:tc>
          <w:tcPr>
            <w:tcW w:type="dxa" w:w="640"/>
            <w:tcBorders>
              <w:top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1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$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</w:t>
            </w:r>
          </w:p>
        </w:tc>
        <w:tc>
          <w:tcPr>
            <w:tcW w:type="dxa" w:w="580"/>
            <w:tcBorders>
              <w:top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13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44"/>
            <w:tcBorders>
              <w:top w:sz="8.0" w:val="single" w:color="#7F7F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32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$ 9,589 </w:t>
            </w:r>
          </w:p>
        </w:tc>
        <w:tc>
          <w:tcPr>
            <w:tcW w:type="dxa" w:w="1196"/>
            <w:tcBorders>
              <w:top w:sz="8.0" w:val="single" w:color="#7F7F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10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290"/>
            <w:gridSpan w:val="2"/>
            <w:tcBorders>
              <w:top w:sz="8.0" w:val="single" w:color="#7F7F7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%</w:t>
            </w:r>
          </w:p>
        </w:tc>
      </w:tr>
      <w:tr>
        <w:trPr>
          <w:trHeight w:hRule="exact" w:val="240"/>
        </w:trPr>
        <w:tc>
          <w:tcPr>
            <w:tcW w:type="dxa" w:w="247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AA</w:t>
            </w:r>
          </w:p>
        </w:tc>
        <w:tc>
          <w:tcPr>
            <w:tcW w:type="dxa" w:w="1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7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7,411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2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9,528 </w:t>
            </w:r>
          </w:p>
        </w:tc>
        <w:tc>
          <w:tcPr>
            <w:tcW w:type="dxa" w:w="1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13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160 </w:t>
            </w:r>
          </w:p>
        </w:tc>
        <w:tc>
          <w:tcPr>
            <w:tcW w:type="dxa" w:w="12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32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 17,099 </w:t>
            </w:r>
          </w:p>
        </w:tc>
        <w:tc>
          <w:tcPr>
            <w:tcW w:type="dxa" w:w="148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39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49</w:t>
            </w:r>
          </w:p>
        </w:tc>
      </w:tr>
      <w:tr>
        <w:trPr>
          <w:trHeight w:hRule="exact" w:val="240"/>
        </w:trPr>
        <w:tc>
          <w:tcPr>
            <w:tcW w:type="dxa" w:w="247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</w:t>
            </w:r>
          </w:p>
        </w:tc>
        <w:tc>
          <w:tcPr>
            <w:tcW w:type="dxa" w:w="1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7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3,200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2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4,622 </w:t>
            </w:r>
          </w:p>
        </w:tc>
        <w:tc>
          <w:tcPr>
            <w:tcW w:type="dxa" w:w="1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13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291 </w:t>
            </w:r>
          </w:p>
        </w:tc>
        <w:tc>
          <w:tcPr>
            <w:tcW w:type="dxa" w:w="12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32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 8,113 </w:t>
            </w:r>
          </w:p>
        </w:tc>
        <w:tc>
          <w:tcPr>
            <w:tcW w:type="dxa" w:w="148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39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23</w:t>
            </w:r>
          </w:p>
        </w:tc>
      </w:tr>
      <w:tr>
        <w:trPr>
          <w:trHeight w:hRule="exact" w:val="264"/>
        </w:trPr>
        <w:tc>
          <w:tcPr>
            <w:tcW w:type="dxa" w:w="2474"/>
            <w:tcBorders>
              <w:bottom w:sz="8.0" w:val="single" w:color="#7F7F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BBB</w:t>
            </w:r>
          </w:p>
        </w:tc>
        <w:tc>
          <w:tcPr>
            <w:tcW w:type="dxa" w:w="1416"/>
            <w:tcBorders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7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540"/>
            <w:tcBorders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2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 </w:t>
            </w:r>
          </w:p>
        </w:tc>
        <w:tc>
          <w:tcPr>
            <w:tcW w:type="dxa" w:w="1220"/>
            <w:gridSpan w:val="2"/>
            <w:tcBorders>
              <w:bottom w:sz="8.0" w:val="single" w:color="#7F7F7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13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44"/>
            <w:tcBorders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32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7 </w:t>
            </w:r>
          </w:p>
        </w:tc>
        <w:tc>
          <w:tcPr>
            <w:tcW w:type="dxa" w:w="1486"/>
            <w:gridSpan w:val="3"/>
            <w:tcBorders>
              <w:bottom w:sz="8.0" w:val="single" w:color="#7F7F7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39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*</w:t>
            </w:r>
          </w:p>
        </w:tc>
      </w:tr>
      <w:tr>
        <w:trPr>
          <w:trHeight w:hRule="exact" w:val="240"/>
        </w:trPr>
        <w:tc>
          <w:tcPr>
            <w:tcW w:type="dxa" w:w="2474"/>
            <w:tcBorders>
              <w:top w:sz="8.0" w:val="single" w:color="#7F7F7F"/>
              <w:bottom w:sz="8.0" w:val="single" w:color="#7F7F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1416"/>
            <w:tcBorders>
              <w:top w:sz="8.0" w:val="single" w:color="#7F7F7F"/>
              <w:bottom w:sz="8.0" w:val="single" w:color="#7F7F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78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$ 17,426 </w:t>
            </w:r>
          </w:p>
        </w:tc>
        <w:tc>
          <w:tcPr>
            <w:tcW w:type="dxa" w:w="1540"/>
            <w:tcBorders>
              <w:top w:sz="8.0" w:val="single" w:color="#7F7F7F"/>
              <w:bottom w:sz="8.0" w:val="single" w:color="#7F7F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268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$ 16,931 </w:t>
            </w:r>
          </w:p>
        </w:tc>
        <w:tc>
          <w:tcPr>
            <w:tcW w:type="dxa" w:w="640"/>
            <w:tcBorders>
              <w:top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$</w:t>
            </w:r>
          </w:p>
        </w:tc>
        <w:tc>
          <w:tcPr>
            <w:tcW w:type="dxa" w:w="580"/>
            <w:tcBorders>
              <w:top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451</w:t>
            </w:r>
          </w:p>
        </w:tc>
        <w:tc>
          <w:tcPr>
            <w:tcW w:type="dxa" w:w="1244"/>
            <w:tcBorders>
              <w:top w:sz="8.0" w:val="single" w:color="#7F7F7F"/>
              <w:bottom w:sz="8.0" w:val="single" w:color="#7F7F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32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$ 34,808 </w:t>
            </w:r>
          </w:p>
        </w:tc>
        <w:tc>
          <w:tcPr>
            <w:tcW w:type="dxa" w:w="1256"/>
            <w:gridSpan w:val="2"/>
            <w:tcBorders>
              <w:top w:sz="8.0" w:val="single" w:color="#7F7F7F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162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100</w:t>
            </w:r>
          </w:p>
        </w:tc>
        <w:tc>
          <w:tcPr>
            <w:tcW w:type="dxa" w:w="230"/>
            <w:tcBorders>
              <w:top w:sz="8.0" w:val="single" w:color="#7F7F7F"/>
              <w:bottom w:sz="8.0" w:val="single" w:color="#7F7F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%</w:t>
            </w:r>
          </w:p>
        </w:tc>
      </w:tr>
    </w:tbl>
    <w:p>
      <w:pPr>
        <w:autoSpaceDN w:val="0"/>
        <w:autoSpaceDE w:val="0"/>
        <w:widowControl/>
        <w:spacing w:line="178" w:lineRule="exact" w:before="114" w:after="28"/>
        <w:ind w:left="0" w:right="2764" w:firstLine="0"/>
        <w:jc w:val="right"/>
      </w:pPr>
      <w:r>
        <w:rPr>
          <w:rFonts w:ascii="ArialMT" w:hAnsi="ArialMT" w:eastAsia="ArialMT"/>
          <w:b w:val="0"/>
          <w:i w:val="0"/>
          <w:color w:val="808080"/>
          <w:sz w:val="16"/>
        </w:rPr>
        <w:t>As of June 30, 2023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196"/>
        </w:trPr>
        <w:tc>
          <w:tcPr>
            <w:tcW w:type="dxa" w:w="2550"/>
            <w:vMerge w:val="restart"/>
            <w:tcBorders>
              <w:top w:sz="8.0" w:val="single" w:color="#7F7F7F"/>
              <w:bottom w:sz="8.0" w:val="single" w:color="#7F7F7F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exact" w:before="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 xml:space="preserve">Counterparty Rating </w:t>
            </w:r>
            <w:r>
              <w:rPr>
                <w:rFonts w:ascii="ArialMT" w:hAnsi="ArialMT" w:eastAsia="ArialMT"/>
                <w:b w:val="0"/>
                <w:i w:val="0"/>
                <w:color w:val="808080"/>
                <w:sz w:val="13"/>
              </w:rPr>
              <w:t>a</w:t>
            </w:r>
          </w:p>
        </w:tc>
        <w:tc>
          <w:tcPr>
            <w:tcW w:type="dxa" w:w="1420"/>
            <w:vMerge w:val="restart"/>
            <w:tcBorders>
              <w:top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1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So</w:t>
            </w: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vereigns</w:t>
            </w:r>
          </w:p>
        </w:tc>
        <w:tc>
          <w:tcPr>
            <w:tcW w:type="dxa" w:w="1540"/>
            <w:vMerge w:val="restart"/>
            <w:tcBorders>
              <w:top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9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Non-So</w:t>
            </w: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vereigns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10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N</w:t>
            </w: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 xml:space="preserve">et Swap </w:t>
            </w:r>
          </w:p>
        </w:tc>
        <w:tc>
          <w:tcPr>
            <w:tcW w:type="dxa" w:w="1260"/>
            <w:vMerge w:val="restart"/>
            <w:tcBorders>
              <w:top w:sz="8.0" w:val="single" w:color="#7F7F7F"/>
              <w:bottom w:sz="8.0" w:val="single" w:color="#7F7F7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 xml:space="preserve">Total </w:t>
            </w: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Exposure</w:t>
            </w:r>
          </w:p>
        </w:tc>
        <w:tc>
          <w:tcPr>
            <w:tcW w:type="dxa" w:w="1410"/>
            <w:gridSpan w:val="3"/>
            <w:vMerge w:val="restart"/>
            <w:tcBorders>
              <w:bottom w:sz="8.0" w:val="single" w:color="#7F7F7F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6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% of Total</w:t>
            </w:r>
          </w:p>
        </w:tc>
      </w:tr>
      <w:tr>
        <w:trPr>
          <w:trHeight w:hRule="exact" w:val="224"/>
        </w:trPr>
        <w:tc>
          <w:tcPr>
            <w:tcW w:type="dxa" w:w="1049"/>
            <w:vMerge/>
            <w:tcBorders>
              <w:top w:sz="8.0" w:val="single" w:color="#7F7F7F"/>
              <w:bottom w:sz="8.0" w:val="single" w:color="#7F7F7F"/>
            </w:tcBorders>
          </w:tcPr>
          <w:p/>
        </w:tc>
        <w:tc>
          <w:tcPr>
            <w:tcW w:type="dxa" w:w="1049"/>
            <w:vMerge/>
            <w:tcBorders>
              <w:top w:sz="8.0" w:val="single" w:color="#7F7F7F"/>
              <w:bottom w:sz="8.0" w:val="single" w:color="#7F7F7F"/>
            </w:tcBorders>
          </w:tcPr>
          <w:p/>
        </w:tc>
        <w:tc>
          <w:tcPr>
            <w:tcW w:type="dxa" w:w="1049"/>
            <w:vMerge/>
            <w:tcBorders>
              <w:top w:sz="8.0" w:val="single" w:color="#7F7F7F"/>
              <w:bottom w:sz="8.0" w:val="single" w:color="#7F7F7F"/>
            </w:tcBorders>
          </w:tcPr>
          <w:p/>
        </w:tc>
        <w:tc>
          <w:tcPr>
            <w:tcW w:type="dxa" w:w="1200"/>
            <w:gridSpan w:val="2"/>
            <w:tcBorders>
              <w:bottom w:sz="8.0" w:val="single" w:color="#7F7F7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1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16"/>
              </w:rPr>
              <w:t>Exposure</w:t>
            </w:r>
          </w:p>
        </w:tc>
        <w:tc>
          <w:tcPr>
            <w:tcW w:type="dxa" w:w="1049"/>
            <w:vMerge/>
            <w:tcBorders>
              <w:top w:sz="8.0" w:val="single" w:color="#7F7F7F"/>
              <w:bottom w:sz="8.0" w:val="single" w:color="#7F7F7F"/>
            </w:tcBorders>
          </w:tcPr>
          <w:p/>
        </w:tc>
        <w:tc>
          <w:tcPr>
            <w:tcW w:type="dxa" w:w="3147"/>
            <w:gridSpan w:val="3"/>
            <w:vMerge/>
            <w:tcBorders>
              <w:bottom w:sz="8.0" w:val="single" w:color="#7F7F7F"/>
            </w:tcBorders>
          </w:tcPr>
          <w:p/>
        </w:tc>
      </w:tr>
      <w:tr>
        <w:trPr>
          <w:trHeight w:hRule="exact" w:val="216"/>
        </w:trPr>
        <w:tc>
          <w:tcPr>
            <w:tcW w:type="dxa" w:w="2550"/>
            <w:tcBorders>
              <w:top w:sz="8.0" w:val="single" w:color="#7F7F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AAA</w:t>
            </w:r>
          </w:p>
        </w:tc>
        <w:tc>
          <w:tcPr>
            <w:tcW w:type="dxa" w:w="1420"/>
            <w:tcBorders>
              <w:top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$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9,128 </w:t>
            </w:r>
          </w:p>
        </w:tc>
        <w:tc>
          <w:tcPr>
            <w:tcW w:type="dxa" w:w="1540"/>
            <w:tcBorders>
              <w:top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2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$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3,021 </w:t>
            </w:r>
          </w:p>
        </w:tc>
        <w:tc>
          <w:tcPr>
            <w:tcW w:type="dxa" w:w="640"/>
            <w:tcBorders>
              <w:top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1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$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</w:t>
            </w:r>
          </w:p>
        </w:tc>
        <w:tc>
          <w:tcPr>
            <w:tcW w:type="dxa" w:w="560"/>
            <w:tcBorders>
              <w:top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1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60"/>
            <w:tcBorders>
              <w:top w:sz="8.0" w:val="single" w:color="#7F7F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$ 12,149 </w:t>
            </w:r>
          </w:p>
        </w:tc>
        <w:tc>
          <w:tcPr>
            <w:tcW w:type="dxa" w:w="1120"/>
            <w:tcBorders>
              <w:top w:sz="8.0" w:val="single" w:color="#7F7F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10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290"/>
            <w:gridSpan w:val="2"/>
            <w:tcBorders>
              <w:top w:sz="8.0" w:val="single" w:color="#7F7F7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2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%</w:t>
            </w:r>
          </w:p>
        </w:tc>
      </w:tr>
      <w:tr>
        <w:trPr>
          <w:trHeight w:hRule="exact" w:val="240"/>
        </w:trPr>
        <w:tc>
          <w:tcPr>
            <w:tcW w:type="dxa" w:w="255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AA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5,563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2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7,401 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1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148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 13,112 </w:t>
            </w:r>
          </w:p>
        </w:tc>
        <w:tc>
          <w:tcPr>
            <w:tcW w:type="dxa" w:w="141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39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40</w:t>
            </w:r>
          </w:p>
        </w:tc>
      </w:tr>
      <w:tr>
        <w:trPr>
          <w:trHeight w:hRule="exact" w:val="264"/>
        </w:trPr>
        <w:tc>
          <w:tcPr>
            <w:tcW w:type="dxa" w:w="2550"/>
            <w:tcBorders>
              <w:bottom w:sz="8.0" w:val="single" w:color="#7F7F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</w:t>
            </w:r>
          </w:p>
        </w:tc>
        <w:tc>
          <w:tcPr>
            <w:tcW w:type="dxa" w:w="1420"/>
            <w:tcBorders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2,353 </w:t>
            </w:r>
          </w:p>
        </w:tc>
        <w:tc>
          <w:tcPr>
            <w:tcW w:type="dxa" w:w="1540"/>
            <w:tcBorders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2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4,555 </w:t>
            </w:r>
          </w:p>
        </w:tc>
        <w:tc>
          <w:tcPr>
            <w:tcW w:type="dxa" w:w="1200"/>
            <w:gridSpan w:val="2"/>
            <w:tcBorders>
              <w:bottom w:sz="8.0" w:val="single" w:color="#7F7F7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1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215 </w:t>
            </w:r>
          </w:p>
        </w:tc>
        <w:tc>
          <w:tcPr>
            <w:tcW w:type="dxa" w:w="1260"/>
            <w:tcBorders>
              <w:bottom w:sz="8.0" w:val="single" w:color="#7F7F7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 7,123 </w:t>
            </w:r>
          </w:p>
        </w:tc>
        <w:tc>
          <w:tcPr>
            <w:tcW w:type="dxa" w:w="1410"/>
            <w:gridSpan w:val="3"/>
            <w:tcBorders>
              <w:bottom w:sz="8.0" w:val="single" w:color="#7F7F7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39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22</w:t>
            </w:r>
          </w:p>
        </w:tc>
      </w:tr>
      <w:tr>
        <w:trPr>
          <w:trHeight w:hRule="exact" w:val="240"/>
        </w:trPr>
        <w:tc>
          <w:tcPr>
            <w:tcW w:type="dxa" w:w="2550"/>
            <w:tcBorders>
              <w:top w:sz="8.0" w:val="single" w:color="#7F7F7F"/>
              <w:bottom w:sz="8.0" w:val="single" w:color="#7F7F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1420"/>
            <w:tcBorders>
              <w:top w:sz="8.0" w:val="single" w:color="#7F7F7F"/>
              <w:bottom w:sz="8.0" w:val="single" w:color="#7F7F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8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$ 17,044 </w:t>
            </w:r>
          </w:p>
        </w:tc>
        <w:tc>
          <w:tcPr>
            <w:tcW w:type="dxa" w:w="1540"/>
            <w:tcBorders>
              <w:top w:sz="8.0" w:val="single" w:color="#7F7F7F"/>
              <w:bottom w:sz="8.0" w:val="single" w:color="#7F7F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27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$ 14,977 </w:t>
            </w:r>
          </w:p>
        </w:tc>
        <w:tc>
          <w:tcPr>
            <w:tcW w:type="dxa" w:w="640"/>
            <w:tcBorders>
              <w:top w:sz="8.0" w:val="single" w:color="#7F7F7F"/>
              <w:bottom w:sz="8.0" w:val="single" w:color="#7F7F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118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60"/>
            <w:tcBorders>
              <w:top w:sz="8.0" w:val="single" w:color="#7F7F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363 </w:t>
            </w:r>
          </w:p>
        </w:tc>
        <w:tc>
          <w:tcPr>
            <w:tcW w:type="dxa" w:w="1260"/>
            <w:tcBorders>
              <w:top w:sz="8.0" w:val="single" w:color="#7F7F7F"/>
              <w:bottom w:sz="8.0" w:val="single" w:color="#7F7F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$ 32,384 </w:t>
            </w:r>
          </w:p>
        </w:tc>
        <w:tc>
          <w:tcPr>
            <w:tcW w:type="dxa" w:w="1180"/>
            <w:gridSpan w:val="2"/>
            <w:tcBorders>
              <w:top w:sz="8.0" w:val="single" w:color="#7F7F7F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162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100</w:t>
            </w:r>
          </w:p>
        </w:tc>
        <w:tc>
          <w:tcPr>
            <w:tcW w:type="dxa" w:w="230"/>
            <w:tcBorders>
              <w:top w:sz="8.0" w:val="single" w:color="#7F7F7F"/>
              <w:bottom w:sz="8.0" w:val="single" w:color="#7F7F7F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%</w:t>
            </w:r>
          </w:p>
        </w:tc>
      </w:tr>
    </w:tbl>
    <w:p>
      <w:pPr>
        <w:autoSpaceDN w:val="0"/>
        <w:autoSpaceDE w:val="0"/>
        <w:widowControl/>
        <w:spacing w:line="184" w:lineRule="exact" w:before="266" w:after="0"/>
        <w:ind w:left="144" w:right="30" w:hanging="134"/>
        <w:jc w:val="both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a. Average rating is calculated using available ratings from the three major rating agencies; however, if ratings are not available from </w:t>
      </w:r>
      <w:r>
        <w:rPr>
          <w:rFonts w:ascii="Arial" w:hAnsi="Arial" w:eastAsia="Arial"/>
          <w:b w:val="0"/>
          <w:i/>
          <w:color w:val="000000"/>
          <w:sz w:val="16"/>
        </w:rPr>
        <w:t xml:space="preserve"> each of the three rating agencies, IDA uses the average of the ratings available from any of such rating agencies or a single rating </w:t>
      </w:r>
      <w:r>
        <w:rPr>
          <w:rFonts w:ascii="Arial" w:hAnsi="Arial" w:eastAsia="Arial"/>
          <w:b w:val="0"/>
          <w:i/>
          <w:color w:val="000000"/>
          <w:sz w:val="16"/>
        </w:rPr>
        <w:t xml:space="preserve"> to the extent that an instrument or issuer (as applicable) is rated by only one rating agency. </w:t>
      </w:r>
    </w:p>
    <w:p>
      <w:pPr>
        <w:autoSpaceDN w:val="0"/>
        <w:autoSpaceDE w:val="0"/>
        <w:widowControl/>
        <w:spacing w:line="230" w:lineRule="exact" w:before="17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For the contractual value, notional amounts and related credit risk exposure amounts by instrument, see Notes to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Financial Statements for the year ended June 30, 2024, Note F - Derivative Instruments. </w:t>
      </w:r>
    </w:p>
    <w:p>
      <w:pPr>
        <w:autoSpaceDN w:val="0"/>
        <w:autoSpaceDE w:val="0"/>
        <w:widowControl/>
        <w:spacing w:line="222" w:lineRule="exact" w:before="244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Credit and Debit Valuation Adjustments</w:t>
      </w:r>
    </w:p>
    <w:p>
      <w:pPr>
        <w:autoSpaceDN w:val="0"/>
        <w:autoSpaceDE w:val="0"/>
        <w:widowControl/>
        <w:spacing w:line="240" w:lineRule="exact" w:before="64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Most outstanding derivative positions are transacted over-the-counter and therefore valued using internally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developed valuation models. For commercial and non-commercial counterparties where IDA has a net exposure (net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receivable position), IDA calculates a Credit Valuation Adjustment (CVA) to reflect credit risk. For net derivative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positions with commercial and non-commercial counterparties where IDA is in a net payable position, IDA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calculates a Debit Valuation Adjustment (DVA) to reflect its own credit risk. 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CVA is calculated using future projected exposures of the derivative contracts, net of collateral received under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credit support agreements, and the probability of counterparty default based on the Credit Default Swaps (CDS)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spread and, where applicable, proxy CDS spreads. IDA does not currently hedge this exposure.  The DVA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calculation is generally consistent with the CVA methodology and incorporates IDA’s own credit spread as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observed through the CDS market. As of June 30, 2024, IDA recorded a CVA on its balance sheet of $92 million,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and a DVA of $20 million.</w:t>
      </w:r>
    </w:p>
    <w:p>
      <w:pPr>
        <w:autoSpaceDN w:val="0"/>
        <w:autoSpaceDE w:val="0"/>
        <w:widowControl/>
        <w:spacing w:line="244" w:lineRule="exact" w:before="130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Market Risk</w:t>
      </w:r>
    </w:p>
    <w:p>
      <w:pPr>
        <w:autoSpaceDN w:val="0"/>
        <w:autoSpaceDE w:val="0"/>
        <w:widowControl/>
        <w:spacing w:line="240" w:lineRule="exact" w:before="13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is exposed to changes in interest and exchange rates and uses derivatives to manage its exposure to market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risks. Derivatives are used to align the interest and currency composition of its assets (loan and investment trading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portfolios) with that of its liabilities (borrowing portfolio) and equity, with the exception of the long-term fixed rate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market debt that is used to fund fixed rate loans. Figure 15 below illustrates the use of derivatives for market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borrowing portfolios. The loan, investment and borrowing portfolios are largely maintained in SDR and its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component currencies.</w:t>
      </w:r>
    </w:p>
    <w:p>
      <w:pPr>
        <w:autoSpaceDN w:val="0"/>
        <w:tabs>
          <w:tab w:pos="9094" w:val="left"/>
        </w:tabs>
        <w:autoSpaceDE w:val="0"/>
        <w:widowControl/>
        <w:spacing w:line="224" w:lineRule="exact" w:before="2550" w:after="0"/>
        <w:ind w:left="32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Management's Discussion and Analysis: 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47</w:t>
      </w:r>
    </w:p>
    <w:p>
      <w:pPr>
        <w:sectPr>
          <w:pgSz w:w="12240" w:h="15840"/>
          <w:pgMar w:top="360" w:right="1370" w:bottom="424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7"/>
        <w:gridCol w:w="4717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IX: Risk Management</w:t>
            </w:r>
          </w:p>
        </w:tc>
      </w:tr>
    </w:tbl>
    <w:p>
      <w:pPr>
        <w:autoSpaceDN w:val="0"/>
        <w:autoSpaceDE w:val="0"/>
        <w:widowControl/>
        <w:spacing w:line="178" w:lineRule="exact" w:before="408" w:after="0"/>
        <w:ind w:left="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Figure 15: Use of Derivatives for Market Borrowings at fair value</w:t>
      </w:r>
    </w:p>
    <w:p>
      <w:pPr>
        <w:autoSpaceDN w:val="0"/>
        <w:autoSpaceDE w:val="0"/>
        <w:widowControl/>
        <w:spacing w:line="240" w:lineRule="auto" w:before="102" w:after="0"/>
        <w:ind w:left="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667000" cy="1524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5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2" w:lineRule="exact" w:before="180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Interest Rate Risk</w:t>
      </w:r>
    </w:p>
    <w:p>
      <w:pPr>
        <w:autoSpaceDN w:val="0"/>
        <w:autoSpaceDE w:val="0"/>
        <w:widowControl/>
        <w:spacing w:line="240" w:lineRule="exact" w:before="12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is exposed to interest rate risk due to mismatches between its assets (loan and investment portfolios) and its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liabilities (borrowing portfolio) both in terms of maturity and instrument type. Given IDA’s lengthy disbursement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profile, the weighted average maturity of IDA’s loans is relatively long (11 years). This long maturity, combined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with volatility in market interest rates, results in significant year-on-year variability in the fair value of loans.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However, since the loan portfolio is not reported at fair value under U.S. GAAP, the impact of this variability 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IDA’s Balance Sheet is not fully evident. IDA’s investment-trading portfolio (liquid asset portfolio) has a relatively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low sensitivity to interest rates with a duration of 5 months as of June 30, 2024.</w:t>
      </w:r>
    </w:p>
    <w:p>
      <w:pPr>
        <w:autoSpaceDN w:val="0"/>
        <w:autoSpaceDE w:val="0"/>
        <w:widowControl/>
        <w:spacing w:line="222" w:lineRule="exact" w:before="138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Under its integrated financial model, IDA employs the following strategies to manage interest rate risk: </w:t>
      </w:r>
    </w:p>
    <w:p>
      <w:pPr>
        <w:autoSpaceDN w:val="0"/>
        <w:tabs>
          <w:tab w:pos="724" w:val="left"/>
        </w:tabs>
        <w:autoSpaceDE w:val="0"/>
        <w:widowControl/>
        <w:spacing w:line="224" w:lineRule="exact" w:before="142" w:after="0"/>
        <w:ind w:left="364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capital adequacy policies factor in the sensitivity to interest rates. </w:t>
      </w:r>
    </w:p>
    <w:p>
      <w:pPr>
        <w:autoSpaceDN w:val="0"/>
        <w:tabs>
          <w:tab w:pos="724" w:val="left"/>
        </w:tabs>
        <w:autoSpaceDE w:val="0"/>
        <w:widowControl/>
        <w:spacing w:line="224" w:lineRule="exact" w:before="76" w:after="0"/>
        <w:ind w:left="364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Matching interest rates between assets and related funding to minimize open interest rate positions. </w:t>
      </w:r>
    </w:p>
    <w:p>
      <w:pPr>
        <w:autoSpaceDN w:val="0"/>
        <w:tabs>
          <w:tab w:pos="724" w:val="left"/>
        </w:tabs>
        <w:autoSpaceDE w:val="0"/>
        <w:widowControl/>
        <w:spacing w:line="240" w:lineRule="exact" w:before="60" w:after="0"/>
        <w:ind w:left="364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funding risk related to the mismatch between the maturity profile of the debt funding and the related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assets is monitored through duration measurements and adjustments to capital requirements to cover this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risk.</w:t>
      </w:r>
    </w:p>
    <w:p>
      <w:pPr>
        <w:autoSpaceDN w:val="0"/>
        <w:autoSpaceDE w:val="0"/>
        <w:widowControl/>
        <w:spacing w:line="222" w:lineRule="exact" w:before="132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Alternative Reference Rate</w:t>
      </w:r>
    </w:p>
    <w:p>
      <w:pPr>
        <w:autoSpaceDN w:val="0"/>
        <w:autoSpaceDE w:val="0"/>
        <w:widowControl/>
        <w:spacing w:line="240" w:lineRule="exact" w:before="12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of June 30, 2023, all the LIBOR rates ceased to be provided by any administrator or were no longer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representative, in line with previous announcements by the Financial Conduct Authority (FCA), the regulator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LIBOR. In consideration of the regulatory guidance and in preparation for the global markets’ transition away from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LIBOR, IDA took the necessary steps to facilitate a smooth and orderly transition of its financial instruments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alternative reference rates. This transition started on January 1, 2022 and was completed as of December 31, 2023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for all applicable portfolios.</w:t>
      </w:r>
    </w:p>
    <w:p>
      <w:pPr>
        <w:autoSpaceDN w:val="0"/>
        <w:autoSpaceDE w:val="0"/>
        <w:widowControl/>
        <w:spacing w:line="222" w:lineRule="exact" w:before="138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Exchange Rate Risk</w:t>
      </w:r>
    </w:p>
    <w:p>
      <w:pPr>
        <w:autoSpaceDN w:val="0"/>
        <w:autoSpaceDE w:val="0"/>
        <w:widowControl/>
        <w:spacing w:line="240" w:lineRule="exact" w:before="120" w:after="0"/>
        <w:ind w:left="4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faces foreign exchange rate risk exposure as a result of the currency mismatch between its commitments for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loans and grants, which are mainly denominated in SDRs; equity contributions from members, which are typically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denominated in national currencies; and the portion of IDA’s internal resources and expenditures that are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denominated in U.S. dollars.</w:t>
      </w:r>
    </w:p>
    <w:p>
      <w:pPr>
        <w:autoSpaceDN w:val="0"/>
        <w:autoSpaceDE w:val="0"/>
        <w:widowControl/>
        <w:spacing w:line="240" w:lineRule="exact" w:before="12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Changes in exchange rates affect the capital adequacy of IDA when the currency of the equity supporting the loan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portfolio and other assets is different from that of the risk exposure. Accordingly, the primary objective of IDA’s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currency risk management is to protect IDA’s financial capacity from exchange rate movements, as measured by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capital adequacy framework. To achieve this, IDA’s balance sheet is managed in multiple currencies: SDR and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currencies comprising the SDR basket. The exchange rate risk management methodology includes the hedging of: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(i) currency risk arising from settlement of loan disbursements, loan repayments and donor contributions; (ii) debt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funding; (iii) IDA loans; (iv) donor contributions; and (v) administrative budget.</w:t>
      </w:r>
    </w:p>
    <w:p>
      <w:pPr>
        <w:autoSpaceDN w:val="0"/>
        <w:autoSpaceDE w:val="0"/>
        <w:widowControl/>
        <w:spacing w:line="240" w:lineRule="exact" w:before="12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reported levels of its assets, liabilities, income, and expenses in the financial statements are affected by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exchange rate movements in all the currencies in which IDA transacts, relative to its reporting currency, the U.S.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dollar. These movements are shown as currency translation adjustments. Translation adjustments relating to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revaluation of assets and liabilities denominated in SDR and SDR component currencies, (IDA’s functional </w:t>
      </w:r>
    </w:p>
    <w:p>
      <w:pPr>
        <w:autoSpaceDN w:val="0"/>
        <w:tabs>
          <w:tab w:pos="656" w:val="left"/>
        </w:tabs>
        <w:autoSpaceDE w:val="0"/>
        <w:widowControl/>
        <w:spacing w:line="224" w:lineRule="exact" w:before="432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48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Management's Discussion and Analysis:  June 30, 2024</w:t>
      </w:r>
    </w:p>
    <w:p>
      <w:pPr>
        <w:sectPr>
          <w:pgSz w:w="12240" w:h="15840"/>
          <w:pgMar w:top="360" w:right="1370" w:bottom="424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7"/>
        <w:gridCol w:w="4717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IX: Risk Management</w:t>
            </w:r>
          </w:p>
        </w:tc>
      </w:tr>
    </w:tbl>
    <w:p>
      <w:pPr>
        <w:autoSpaceDN w:val="0"/>
        <w:autoSpaceDE w:val="0"/>
        <w:widowControl/>
        <w:spacing w:line="240" w:lineRule="exact" w:before="378" w:after="0"/>
        <w:ind w:left="4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currencies), are reflected in Accumulated Other Comprehensive Loss, in equity. Translation adjustments relating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non-functional currencies are reported in IDA’s Statements of Income (see Notes to the Financial Statements for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year ended June 30, 2024, Note A – Summary of Significant Accounting and Related Policies).</w:t>
      </w:r>
    </w:p>
    <w:p>
      <w:pPr>
        <w:autoSpaceDN w:val="0"/>
        <w:autoSpaceDE w:val="0"/>
        <w:widowControl/>
        <w:spacing w:line="240" w:lineRule="exact" w:before="120" w:after="0"/>
        <w:ind w:left="4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uses currency forward contracts to convert future inflows from members’ receivables provided in national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currencies into the five currencies of the SDR basket, thereby aligning the currency composition of member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contributions with the net cash outflows relating to loans and grants, which are primarily denominated in SDR.</w:t>
      </w:r>
    </w:p>
    <w:p>
      <w:pPr>
        <w:autoSpaceDN w:val="0"/>
        <w:autoSpaceDE w:val="0"/>
        <w:widowControl/>
        <w:spacing w:line="240" w:lineRule="exact" w:before="12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payable leg of the currency forward contracts economically hedging member equity contribution pledges is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denominated in non-functional currencies. IDA pays the market counterparty in a non-SDR currency. Accordingly,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depreciation or appreciation of the non-SDR currencies against the U.S. dollar results in exchange rate gains 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losses, which are reported in the Statements of Income. The translation adjustment on future inflows from members,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even though they are not recorded in the balance sheet, is the economic offset to the translation adjustment 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nonfunctional currencies of currency forward contracts.</w:t>
      </w:r>
    </w:p>
    <w:p>
      <w:pPr>
        <w:autoSpaceDN w:val="0"/>
        <w:autoSpaceDE w:val="0"/>
        <w:widowControl/>
        <w:spacing w:line="220" w:lineRule="exact" w:before="136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Liquidity Risk</w:t>
      </w:r>
    </w:p>
    <w:p>
      <w:pPr>
        <w:autoSpaceDN w:val="0"/>
        <w:autoSpaceDE w:val="0"/>
        <w:widowControl/>
        <w:spacing w:line="240" w:lineRule="exact" w:before="124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Liquidity risk arises in the general funding of IDA’s activities and in managing its financial position. It includes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risk of IDA being unable to fund its portfolio of assets at appropriate maturities and rates, and the risk of being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unable to liquidate a position in a timely manner at a reasonable price. </w:t>
      </w:r>
    </w:p>
    <w:p>
      <w:pPr>
        <w:autoSpaceDN w:val="0"/>
        <w:autoSpaceDE w:val="0"/>
        <w:widowControl/>
        <w:spacing w:line="240" w:lineRule="exact" w:before="12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IDA’s aggregate liquid asset holdings are kept above a specified prudential minimum to safeguard against cash flow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interruptions. The Prudential Minimum is equal to 80% of 24 months of projected net outflows. For FY24,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prudential minimum was $24.7 billion. For FY25, the prudential minimum has been set at $29.5 billion. As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June 30, 2024, IDA’s liquid assets were $33.4 billion, 135% of the FY24 prudential minimum.</w:t>
      </w:r>
    </w:p>
    <w:p>
      <w:pPr>
        <w:autoSpaceDN w:val="0"/>
        <w:autoSpaceDE w:val="0"/>
        <w:widowControl/>
        <w:spacing w:line="240" w:lineRule="exact" w:before="120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will hold liquidity above the prudential minimum to ensure sufficient liquidity under a wide range of shock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scenarios as well as to give it flexibility in timing its borrowing transactions and to meet working capital needs.</w:t>
      </w:r>
    </w:p>
    <w:p>
      <w:pPr>
        <w:autoSpaceDN w:val="0"/>
        <w:autoSpaceDE w:val="0"/>
        <w:widowControl/>
        <w:spacing w:line="244" w:lineRule="exact" w:before="130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Operational Risk</w:t>
      </w:r>
    </w:p>
    <w:p>
      <w:pPr>
        <w:autoSpaceDN w:val="0"/>
        <w:autoSpaceDE w:val="0"/>
        <w:widowControl/>
        <w:spacing w:line="240" w:lineRule="exact" w:before="130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Operational risk is defined as the risk of financial loss, or damage to IDA’s reputation resulting from inadequate 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failed internal processes, people, and systems, or from external events. </w:t>
      </w:r>
    </w:p>
    <w:p>
      <w:pPr>
        <w:autoSpaceDN w:val="0"/>
        <w:autoSpaceDE w:val="0"/>
        <w:widowControl/>
        <w:spacing w:line="240" w:lineRule="exact" w:before="12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recognizes the importance of operational risk management activities, which are embedded in its financial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operations. As part of its business activities, IDA is exposed to a range of operational risks including physical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security, staff health and safety, information security and data privacy, business continuity, and third party risks.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IDA’s approach to identifying and managing operational risk includes a dedicated program for these risks and 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robust process that includes identifying, assessing, and prioritizing operational risks, monitoring, and reporting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relevant key risk indicators, aggregating and analyzing internal and external events, and identifying emerging risks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that may affect business units and developing risk response and mitigating actions.</w:t>
      </w:r>
    </w:p>
    <w:p>
      <w:pPr>
        <w:autoSpaceDN w:val="0"/>
        <w:tabs>
          <w:tab w:pos="9088" w:val="left"/>
        </w:tabs>
        <w:autoSpaceDE w:val="0"/>
        <w:widowControl/>
        <w:spacing w:line="224" w:lineRule="exact" w:before="4600" w:after="0"/>
        <w:ind w:left="329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Management's Discussion and Analysis: 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49</w:t>
      </w:r>
    </w:p>
    <w:p>
      <w:pPr>
        <w:sectPr>
          <w:pgSz w:w="12240" w:h="15840"/>
          <w:pgMar w:top="360" w:right="1370" w:bottom="424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0"/>
        <w:gridCol w:w="4720"/>
      </w:tblGrid>
      <w:tr>
        <w:trPr>
          <w:trHeight w:hRule="exact" w:val="286"/>
        </w:trPr>
        <w:tc>
          <w:tcPr>
            <w:tcW w:type="dxa" w:w="3970"/>
            <w:tcBorders>
              <w:bottom w:sz="8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IX: Risk Management</w:t>
            </w:r>
          </w:p>
        </w:tc>
      </w:tr>
    </w:tbl>
    <w:p>
      <w:pPr>
        <w:autoSpaceDN w:val="0"/>
        <w:autoSpaceDE w:val="0"/>
        <w:widowControl/>
        <w:spacing w:line="220" w:lineRule="exact" w:before="392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Cybersecurity Risk Management</w:t>
      </w:r>
    </w:p>
    <w:p>
      <w:pPr>
        <w:autoSpaceDN w:val="0"/>
        <w:autoSpaceDE w:val="0"/>
        <w:widowControl/>
        <w:spacing w:line="240" w:lineRule="exact" w:before="124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IDA’s operations rely on the secure processing, storage, and transmission of confidential and other information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computer systems and networks. Like other financial institutions, cybersecurity risk continues to be significant for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due to the evolving sophistication and complexity of the cyber threat landscape. These risks are unavoidable,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and IDA seeks to manage them on a cost-effective basis consistent with its risk appetite.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To protect the security of its computer systems, software, networks and other technology assets, IDA has developed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its cybersecurity risk management program, aligned with its’s Operational Risk Management Framework. This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program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consists of cybersecurity policies, procedures, compliance, and awareness programs. A multi-layered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approach for cybersecurity risk management is employed to prevent and detect malicious activity, both from within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organization and from external sources. In response to emerging cyber threats such as malware including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ransomware, denial of service,  phishing attacks and artificial intelligence related risks, IDA adapts its technical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process-level controls and enhances user awareness to mitigate the risk. When relying on third-party vendors for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technology-enabled services, additional meaningful and diligent measures are applied to gain assurance regarding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security of its information and technology assets including, as appropriate, legal and cybersecurity contractual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safeguards in third-party vendor agreements and review and monitoring of third-party control environments. </w:t>
      </w:r>
    </w:p>
    <w:p>
      <w:pPr>
        <w:autoSpaceDN w:val="0"/>
        <w:autoSpaceDE w:val="0"/>
        <w:widowControl/>
        <w:spacing w:line="240" w:lineRule="exact" w:before="240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periodically assesses the maturity and effectiveness of its cyber defenses through risk mitigation techniques,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including but not limited to, targeted testing, internal and external audits, incident response desktop exercises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industry benchmarking. </w:t>
      </w:r>
    </w:p>
    <w:p>
      <w:pPr>
        <w:autoSpaceDN w:val="0"/>
        <w:tabs>
          <w:tab w:pos="662" w:val="left"/>
        </w:tabs>
        <w:autoSpaceDE w:val="0"/>
        <w:widowControl/>
        <w:spacing w:line="224" w:lineRule="exact" w:before="8584" w:after="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50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Management's Discussion and Analysis:  June 30, 2024</w:t>
      </w:r>
    </w:p>
    <w:p>
      <w:pPr>
        <w:sectPr>
          <w:pgSz w:w="12240" w:h="15840"/>
          <w:pgMar w:top="360" w:right="1370" w:bottom="424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20"/>
        <w:gridCol w:w="4720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 xml:space="preserve">Section X: </w:t>
            </w:r>
            <w:r>
              <w:rPr>
                <w:rFonts w:ascii="ArialMT" w:hAnsi="ArialMT" w:eastAsia="ArialMT"/>
                <w:b w:val="0"/>
                <w:i w:val="0"/>
                <w:color w:val="808080"/>
                <w:sz w:val="18"/>
              </w:rPr>
              <w:t>Critical Accounting Policies and the Use of Estimates</w:t>
            </w:r>
          </w:p>
        </w:tc>
      </w:tr>
    </w:tbl>
    <w:p>
      <w:pPr>
        <w:autoSpaceDN w:val="0"/>
        <w:autoSpaceDE w:val="0"/>
        <w:widowControl/>
        <w:spacing w:line="314" w:lineRule="exact" w:before="438" w:after="0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Section X: Critical Accounting Policies and the Use of Estimates</w:t>
      </w:r>
    </w:p>
    <w:p>
      <w:pPr>
        <w:autoSpaceDN w:val="0"/>
        <w:autoSpaceDE w:val="0"/>
        <w:widowControl/>
        <w:spacing w:line="240" w:lineRule="exact" w:before="206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IDA’s significant accounting policies, as well as estimates made by management, are integral to its financial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reporting. While all of these policies require a certain level of judgment and estimates, significant policies require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management to make highly difficult, complex, and subjective judgments as these relate to matters inherently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uncertain and susceptible to change. Note A to the financial statements contains a summary of IDA’s significant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accounting policies including a discussion of recently issued accounting pronouncements. </w:t>
      </w:r>
    </w:p>
    <w:p>
      <w:pPr>
        <w:autoSpaceDN w:val="0"/>
        <w:autoSpaceDE w:val="0"/>
        <w:widowControl/>
        <w:spacing w:line="268" w:lineRule="exact" w:before="136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Fair Value of Financial Instruments</w:t>
      </w:r>
    </w:p>
    <w:p>
      <w:pPr>
        <w:autoSpaceDN w:val="0"/>
        <w:autoSpaceDE w:val="0"/>
        <w:widowControl/>
        <w:spacing w:line="240" w:lineRule="exact" w:before="124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All fair value adjustments are recognized through the Statements of Income, except for changes in the fair value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debt related to IDA’s own credit, which are reported in Other Comprehensive Income. The fair values of financial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instruments are based on a three-level hierarchy.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For financial instruments classified as Level 1 or 2, less judgment is applied in arriving at fair value measures as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inputs are based on observable market data. For financial instruments classified as Level 3, unobservable inputs are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used. These require management to make important assumptions and judgments in determining fair value measures. 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Derivative contracts generally include currency forward contracts, to-be-announced (TBA) securities, swaptions,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exchange traded options and futures contracts, currency swaps, and interest rate swaps. Plain vanilla swaps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structured swaps are valued using the standard discounted cash flow methods using observable market inputs such as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yield curves, foreign exchange rates and basis spreads.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instances where management relies on instrument valuations supplied by external pricing vendors, there are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procedures in place to validate the appropriateness of the models used as well as the inputs applied in determining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those values.</w:t>
      </w:r>
    </w:p>
    <w:p>
      <w:pPr>
        <w:autoSpaceDN w:val="0"/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IDA’s financial instruments recorded at fair value are classified as either Level 1 or Level 2 as of June 30, 2024, as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inputs are based on observable market data and less judgment is applied in arriving at fair value measures.</w:t>
      </w:r>
    </w:p>
    <w:p>
      <w:pPr>
        <w:autoSpaceDN w:val="0"/>
        <w:autoSpaceDE w:val="0"/>
        <w:widowControl/>
        <w:spacing w:line="240" w:lineRule="exact" w:before="120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On a quarterly basis, the methodology, inputs, and assumptions are reviewed to assess the appropriateness of the fair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value hierarchy classification of each financial instrument. All the financial models used for input to IDA’s financial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statements are subject to both internal and periodic external verification and review by qualified personnel. </w:t>
      </w:r>
    </w:p>
    <w:p>
      <w:pPr>
        <w:autoSpaceDN w:val="0"/>
        <w:autoSpaceDE w:val="0"/>
        <w:widowControl/>
        <w:spacing w:line="268" w:lineRule="exact" w:before="136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Provision for Losses on Loans and Other Exposures</w:t>
      </w:r>
    </w:p>
    <w:p>
      <w:pPr>
        <w:autoSpaceDN w:val="0"/>
        <w:autoSpaceDE w:val="0"/>
        <w:widowControl/>
        <w:spacing w:line="240" w:lineRule="exact" w:before="124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IDA’s accumulated provision for losses on loans and other exposures reflects the expected losses inherent in its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nonaccrual and accrual portfolios after taking into consideration the expected relief under the HIPC Debt Initiative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and MDRI and any provision for losses on the buy-down of loans.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Adjustments to the accumulated provision are recorded as a charge to or a release of provision in the Statements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Income. Actual losses may differ from expected losses due to unforeseen changes in any of the factors that affect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borrowers’ creditworthiness.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Credit Risk Committee monitors aspects of country credit risk, in particular, reviewing the provision for losses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on loans and guarantees taking into account, among other factors, any changes in exposure, risk ratings of borrowing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member countries, or movements between the accrual and nonaccrual portfolios.</w:t>
      </w:r>
    </w:p>
    <w:p>
      <w:pPr>
        <w:autoSpaceDN w:val="0"/>
        <w:autoSpaceDE w:val="0"/>
        <w:widowControl/>
        <w:spacing w:line="240" w:lineRule="exact" w:before="120" w:after="0"/>
        <w:ind w:left="10" w:right="24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Additional information on IDA’s provisioning policy and the status of nonaccrual loans can be found in the Notes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Financial Statements for the year ended June 30, 2024, Note A - Summary of Significant Accounting and Related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Policies and Note D - Loans and Other Exposures.</w:t>
      </w:r>
    </w:p>
    <w:p>
      <w:pPr>
        <w:autoSpaceDN w:val="0"/>
        <w:tabs>
          <w:tab w:pos="9094" w:val="left"/>
        </w:tabs>
        <w:autoSpaceDE w:val="0"/>
        <w:widowControl/>
        <w:spacing w:line="224" w:lineRule="exact" w:before="2388" w:after="0"/>
        <w:ind w:left="329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Management's Discussion and Analysis: 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51</w:t>
      </w:r>
    </w:p>
    <w:p>
      <w:pPr>
        <w:sectPr>
          <w:pgSz w:w="12240" w:h="15840"/>
          <w:pgMar w:top="360" w:right="1370" w:bottom="424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20"/>
        <w:gridCol w:w="4720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XI: Governance and Internal Controls</w:t>
            </w:r>
          </w:p>
        </w:tc>
      </w:tr>
    </w:tbl>
    <w:p>
      <w:pPr>
        <w:autoSpaceDN w:val="0"/>
        <w:autoSpaceDE w:val="0"/>
        <w:widowControl/>
        <w:spacing w:line="314" w:lineRule="exact" w:before="438" w:after="0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Section XI: Governance and Internal Controls</w:t>
      </w:r>
    </w:p>
    <w:p>
      <w:pPr>
        <w:autoSpaceDN w:val="0"/>
        <w:autoSpaceDE w:val="0"/>
        <w:widowControl/>
        <w:spacing w:line="268" w:lineRule="exact" w:before="222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Business Conduct </w:t>
      </w:r>
    </w:p>
    <w:p>
      <w:pPr>
        <w:autoSpaceDN w:val="0"/>
        <w:autoSpaceDE w:val="0"/>
        <w:widowControl/>
        <w:spacing w:line="240" w:lineRule="exact" w:before="124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WBG promotes a positive work environment in which staff members understand their ethical obligations to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institution. In support of this commitment, the institution has a Code of Conduct in place. The WBG has both an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Ethics Helpline and a Fraud and Corruption hotline. A third-party service offers many methods of worldwide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communication. Reporting channels include telephone, mail, email, or confidential submission through a website. </w:t>
      </w:r>
    </w:p>
    <w:p>
      <w:pPr>
        <w:autoSpaceDN w:val="0"/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has in place procedures for receiving, retaining, and handling recommendations and concerns relating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business conduct identified during the accounting, internal control, and auditing processes.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WBG staff rules clarify and codify the staff’s obligations in reporting suspected fraud, corruption, or other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misconduct that may threaten the operations or governance of the WBG. These rules also offer protection from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retaliation.</w:t>
      </w:r>
    </w:p>
    <w:p>
      <w:pPr>
        <w:autoSpaceDN w:val="0"/>
        <w:autoSpaceDE w:val="0"/>
        <w:widowControl/>
        <w:spacing w:line="268" w:lineRule="exact" w:before="136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General Governance</w:t>
      </w:r>
    </w:p>
    <w:p>
      <w:pPr>
        <w:autoSpaceDN w:val="0"/>
        <w:autoSpaceDE w:val="0"/>
        <w:widowControl/>
        <w:spacing w:line="178" w:lineRule="exact" w:before="154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Figure 16: Governance Structure</w:t>
      </w:r>
    </w:p>
    <w:p>
      <w:pPr>
        <w:autoSpaceDN w:val="0"/>
        <w:autoSpaceDE w:val="0"/>
        <w:widowControl/>
        <w:spacing w:line="240" w:lineRule="auto" w:before="102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215138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1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exact" w:before="162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IDA’s decision-making structure consists of the Board of Governors, the Executive Directors (the Board),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President, management, and staff. The Board of Governors is the highest decision-making authority. Governors are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appointed by their member governments for a five-year term, which is renewable. The Board of Governors may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delegate authority to the Executive Directors (referred to as the Board in this document) to exercise any of its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powers, except for certain powers enumerated in IDA's Articles. IDA has its own policies and frameworks that are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carried out by staff that share responsibilities for both IDA and IBRD.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addition, IBRD and IDA have joint internal institutional oversight units which play an assurance role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shareholders and management that IDA’s work is impactful and accountable, informed by best practices,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delivered to the highest ethical standards with risk management controls and governance processes that are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functioning effectively.</w:t>
      </w:r>
    </w:p>
    <w:p>
      <w:pPr>
        <w:autoSpaceDN w:val="0"/>
        <w:autoSpaceDE w:val="0"/>
        <w:widowControl/>
        <w:spacing w:line="244" w:lineRule="exact" w:before="132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 xml:space="preserve">Executive Directors </w:t>
      </w:r>
    </w:p>
    <w:p>
      <w:pPr>
        <w:autoSpaceDN w:val="0"/>
        <w:autoSpaceDE w:val="0"/>
        <w:widowControl/>
        <w:spacing w:line="240" w:lineRule="exact" w:before="128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accordance with the Articles, Executive Directors are appointed or elected every two years by their member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governments. The Board currently has 25 Executive Directors who represent all 174-member countries. Executive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Directors are neither officers nor staff of IDA. The President is the only member of the Board from management,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and he serves as a non-voting member and as Chairman of the Board. </w:t>
      </w:r>
    </w:p>
    <w:p>
      <w:pPr>
        <w:autoSpaceDN w:val="0"/>
        <w:autoSpaceDE w:val="0"/>
        <w:widowControl/>
        <w:spacing w:line="240" w:lineRule="exact" w:before="120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Board is required to consider proposals made by the President on IDA loans, grants, and guarantees and 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other policies that affect its general operations. The Board is also responsible for presenting to the Board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Governors, at the Annual Meetings, audited accounts, an administrative budget, and an annual report on operations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and policies and other matters.</w:t>
      </w:r>
    </w:p>
    <w:p>
      <w:pPr>
        <w:autoSpaceDN w:val="0"/>
        <w:tabs>
          <w:tab w:pos="662" w:val="left"/>
        </w:tabs>
        <w:autoSpaceDE w:val="0"/>
        <w:widowControl/>
        <w:spacing w:line="224" w:lineRule="exact" w:before="544" w:after="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52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Management's Discussion and Analysis:  June 30, 2024</w:t>
      </w:r>
    </w:p>
    <w:p>
      <w:pPr>
        <w:sectPr>
          <w:pgSz w:w="12240" w:h="15840"/>
          <w:pgMar w:top="360" w:right="1370" w:bottom="424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7"/>
        <w:gridCol w:w="4717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XI: Governance and Internal Controls</w:t>
            </w:r>
          </w:p>
        </w:tc>
      </w:tr>
    </w:tbl>
    <w:p>
      <w:pPr>
        <w:autoSpaceDN w:val="0"/>
        <w:autoSpaceDE w:val="0"/>
        <w:widowControl/>
        <w:spacing w:line="240" w:lineRule="exact" w:before="378" w:after="0"/>
        <w:ind w:left="4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Board and its committees are in continuous sessions based in Washington DC, as business requires. Each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committee's terms of reference establish its respective roles and responsibilities. As committees do not vote 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issues, their role is primarily to serve the Board in discharging its responsibilities.</w:t>
      </w:r>
    </w:p>
    <w:p>
      <w:pPr>
        <w:autoSpaceDN w:val="0"/>
        <w:autoSpaceDE w:val="0"/>
        <w:widowControl/>
        <w:spacing w:line="240" w:lineRule="exact" w:before="120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committees are made up of eight members and function under their respective terms of reference. These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committees are as follows:</w:t>
      </w:r>
    </w:p>
    <w:p>
      <w:pPr>
        <w:autoSpaceDN w:val="0"/>
        <w:tabs>
          <w:tab w:pos="364" w:val="left"/>
          <w:tab w:pos="376" w:val="left"/>
        </w:tabs>
        <w:autoSpaceDE w:val="0"/>
        <w:widowControl/>
        <w:spacing w:line="240" w:lineRule="exact" w:before="120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•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Audit Committee - assists the Boards in overseeing IDA’s finances, accounting, risk management and internal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controls (See further explanation below).</w:t>
      </w:r>
    </w:p>
    <w:p>
      <w:pPr>
        <w:autoSpaceDN w:val="0"/>
        <w:tabs>
          <w:tab w:pos="364" w:val="left"/>
          <w:tab w:pos="368" w:val="left"/>
        </w:tabs>
        <w:autoSpaceDE w:val="0"/>
        <w:widowControl/>
        <w:spacing w:line="240" w:lineRule="exact" w:before="60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• </w:t>
      </w:r>
      <w:r>
        <w:tab/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Budget Committee - assists the Boards in approving the World Bank’s budget and in overseeing the preparation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and execution of IDA’s business plans. The committee provides guidance to management on strategic directions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of IDA.</w:t>
      </w:r>
    </w:p>
    <w:p>
      <w:pPr>
        <w:autoSpaceDN w:val="0"/>
        <w:tabs>
          <w:tab w:pos="364" w:val="left"/>
          <w:tab w:pos="370" w:val="left"/>
        </w:tabs>
        <w:autoSpaceDE w:val="0"/>
        <w:widowControl/>
        <w:spacing w:line="240" w:lineRule="exact" w:before="60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•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Committee on Development Effectiveness - supports the Boards in assessing IDA’s development effectiveness,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providing guidance on strategic directions of IDA, monitoring the quality and results of operations.</w:t>
      </w:r>
    </w:p>
    <w:p>
      <w:pPr>
        <w:autoSpaceDN w:val="0"/>
        <w:tabs>
          <w:tab w:pos="364" w:val="left"/>
          <w:tab w:pos="404" w:val="left"/>
        </w:tabs>
        <w:autoSpaceDE w:val="0"/>
        <w:widowControl/>
        <w:spacing w:line="240" w:lineRule="exact" w:before="60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• </w:t>
      </w:r>
      <w:r>
        <w:tab/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Committee on Governance and Executive Directors’ Administrative Matters - assists the Boards in issues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related to the governance of IDA, the Boards’ own effectiveness, and the administrative policy applicable to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Executive Directors’ offices.</w:t>
      </w:r>
    </w:p>
    <w:p>
      <w:pPr>
        <w:autoSpaceDN w:val="0"/>
        <w:tabs>
          <w:tab w:pos="364" w:val="left"/>
          <w:tab w:pos="396" w:val="left"/>
        </w:tabs>
        <w:autoSpaceDE w:val="0"/>
        <w:widowControl/>
        <w:spacing w:line="240" w:lineRule="exact" w:before="60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•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Human Resources Committee - strengthens the efficiency and effectiveness of the Board in discharging its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oversight responsibility on the World Bank’s human resources strategy, policies and practices, and their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alignment with the business needs of the organization.</w:t>
      </w:r>
    </w:p>
    <w:p>
      <w:pPr>
        <w:autoSpaceDN w:val="0"/>
        <w:autoSpaceDE w:val="0"/>
        <w:widowControl/>
        <w:spacing w:line="268" w:lineRule="exact" w:before="136" w:after="0"/>
        <w:ind w:left="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Audit Committee</w:t>
      </w:r>
    </w:p>
    <w:p>
      <w:pPr>
        <w:autoSpaceDN w:val="0"/>
        <w:autoSpaceDE w:val="0"/>
        <w:widowControl/>
        <w:spacing w:line="244" w:lineRule="exact" w:before="134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Membership</w:t>
      </w:r>
    </w:p>
    <w:p>
      <w:pPr>
        <w:autoSpaceDN w:val="0"/>
        <w:autoSpaceDE w:val="0"/>
        <w:widowControl/>
        <w:spacing w:line="240" w:lineRule="exact" w:before="13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Audit Committee consists of eight Executive Directors. Membership in the Audit Committee is determined by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Board, based on nominations by the Chairman of the Board, following informal consultation with Executive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Directors. </w:t>
      </w:r>
    </w:p>
    <w:p>
      <w:pPr>
        <w:autoSpaceDN w:val="0"/>
        <w:autoSpaceDE w:val="0"/>
        <w:widowControl/>
        <w:spacing w:line="244" w:lineRule="exact" w:before="130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Key Responsibilities</w:t>
      </w:r>
    </w:p>
    <w:p>
      <w:pPr>
        <w:autoSpaceDN w:val="0"/>
        <w:autoSpaceDE w:val="0"/>
        <w:widowControl/>
        <w:spacing w:line="240" w:lineRule="exact" w:before="130" w:after="0"/>
        <w:ind w:left="0" w:right="0" w:firstLine="0"/>
        <w:jc w:val="center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Audit Committee is appointed by the Board for the primary purpose of assisting the Board in overseeing IDA’s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finances, accounting, risk management, internal controls, and institutional integrity. Specific responsibilities include:</w:t>
      </w:r>
    </w:p>
    <w:p>
      <w:pPr>
        <w:autoSpaceDN w:val="0"/>
        <w:tabs>
          <w:tab w:pos="364" w:val="left"/>
        </w:tabs>
        <w:autoSpaceDE w:val="0"/>
        <w:widowControl/>
        <w:spacing w:line="222" w:lineRule="exact" w:before="138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Oversight of the integrity of IDA’s financial statements. </w:t>
      </w:r>
    </w:p>
    <w:p>
      <w:pPr>
        <w:autoSpaceDN w:val="0"/>
        <w:tabs>
          <w:tab w:pos="364" w:val="left"/>
        </w:tabs>
        <w:autoSpaceDE w:val="0"/>
        <w:widowControl/>
        <w:spacing w:line="222" w:lineRule="exact" w:before="78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Appointment, qualifications, independence, and performance of the External Auditor. </w:t>
      </w:r>
    </w:p>
    <w:p>
      <w:pPr>
        <w:autoSpaceDN w:val="0"/>
        <w:tabs>
          <w:tab w:pos="364" w:val="left"/>
        </w:tabs>
        <w:autoSpaceDE w:val="0"/>
        <w:widowControl/>
        <w:spacing w:line="222" w:lineRule="exact" w:before="78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Performance of the Group Internal Audit Vice Presidency. </w:t>
      </w:r>
    </w:p>
    <w:p>
      <w:pPr>
        <w:autoSpaceDN w:val="0"/>
        <w:tabs>
          <w:tab w:pos="364" w:val="left"/>
        </w:tabs>
        <w:autoSpaceDE w:val="0"/>
        <w:widowControl/>
        <w:spacing w:line="240" w:lineRule="exact" w:before="60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Adequacy and effectiveness of financial and accounting policies and internal controls and the mechanisms to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deter, prevent and penalize fraud and corruption in IDA operations and corporate procurement. </w:t>
      </w:r>
    </w:p>
    <w:p>
      <w:pPr>
        <w:autoSpaceDN w:val="0"/>
        <w:tabs>
          <w:tab w:pos="364" w:val="left"/>
        </w:tabs>
        <w:autoSpaceDE w:val="0"/>
        <w:widowControl/>
        <w:spacing w:line="222" w:lineRule="exact" w:before="78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Effective management of financial, fiduciary and compliance risks in IDA. </w:t>
      </w:r>
    </w:p>
    <w:p>
      <w:pPr>
        <w:autoSpaceDN w:val="0"/>
        <w:tabs>
          <w:tab w:pos="364" w:val="left"/>
        </w:tabs>
        <w:autoSpaceDE w:val="0"/>
        <w:widowControl/>
        <w:spacing w:line="222" w:lineRule="exact" w:before="78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Oversight of the institutional arrangements and processes for risk management across IDA.</w:t>
      </w:r>
    </w:p>
    <w:p>
      <w:pPr>
        <w:autoSpaceDN w:val="0"/>
        <w:autoSpaceDE w:val="0"/>
        <w:widowControl/>
        <w:spacing w:line="240" w:lineRule="exact" w:before="12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carrying out its role, the Audit Committee discusses financial issues and policies that affect IDA’s financial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position and capital adequacy, with management, external auditors, and internal auditors. It also recommends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annual audited financial statements for approval to the Board. The Audit Committee monitors and reviews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developments in corporate governance and its own role on an ongoing basis.</w:t>
      </w:r>
    </w:p>
    <w:p>
      <w:pPr>
        <w:autoSpaceDN w:val="0"/>
        <w:autoSpaceDE w:val="0"/>
        <w:widowControl/>
        <w:spacing w:line="244" w:lineRule="exact" w:before="130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Executive Sessions</w:t>
      </w:r>
    </w:p>
    <w:p>
      <w:pPr>
        <w:autoSpaceDN w:val="0"/>
        <w:autoSpaceDE w:val="0"/>
        <w:widowControl/>
        <w:spacing w:line="240" w:lineRule="exact" w:before="130" w:after="0"/>
        <w:ind w:left="4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Under the Audit Committee's terms of reference, it may convene an executive session at any time, without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management’s presence.  The Audit Committee meets separately in executive session with the external and internal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auditors. </w:t>
      </w:r>
    </w:p>
    <w:p>
      <w:pPr>
        <w:autoSpaceDN w:val="0"/>
        <w:tabs>
          <w:tab w:pos="9088" w:val="left"/>
        </w:tabs>
        <w:autoSpaceDE w:val="0"/>
        <w:widowControl/>
        <w:spacing w:line="224" w:lineRule="exact" w:before="1564" w:after="0"/>
        <w:ind w:left="329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Management's Discussion and Analysis: 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53</w:t>
      </w:r>
    </w:p>
    <w:p>
      <w:pPr>
        <w:sectPr>
          <w:pgSz w:w="12240" w:h="15840"/>
          <w:pgMar w:top="360" w:right="1370" w:bottom="424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7"/>
        <w:gridCol w:w="4717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XI: Governance and Internal Controls</w:t>
            </w:r>
          </w:p>
        </w:tc>
      </w:tr>
    </w:tbl>
    <w:p>
      <w:pPr>
        <w:autoSpaceDN w:val="0"/>
        <w:autoSpaceDE w:val="0"/>
        <w:widowControl/>
        <w:spacing w:line="244" w:lineRule="exact" w:before="388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Access to Resources and to Management</w:t>
      </w:r>
    </w:p>
    <w:p>
      <w:pPr>
        <w:autoSpaceDN w:val="0"/>
        <w:autoSpaceDE w:val="0"/>
        <w:widowControl/>
        <w:spacing w:line="240" w:lineRule="exact" w:before="130" w:after="0"/>
        <w:ind w:left="4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Throughout the year, the Audit Committee receives a large volume of information to enable it to carry out its duties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and meets both formally and informally throughout the year to discuss relevant matters. It has complete access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management, and reviews and discusses with management topics considered in its terms of reference. </w:t>
      </w:r>
    </w:p>
    <w:p>
      <w:pPr>
        <w:autoSpaceDN w:val="0"/>
        <w:autoSpaceDE w:val="0"/>
        <w:widowControl/>
        <w:spacing w:line="240" w:lineRule="exact" w:before="120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Audit Committee has the authority to seek advice and assistance from outside legal, accounting, or other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advisors as it deems necessary. </w:t>
      </w:r>
    </w:p>
    <w:p>
      <w:pPr>
        <w:autoSpaceDN w:val="0"/>
        <w:autoSpaceDE w:val="0"/>
        <w:widowControl/>
        <w:spacing w:line="244" w:lineRule="exact" w:before="130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Auditor Independence</w:t>
      </w:r>
    </w:p>
    <w:p>
      <w:pPr>
        <w:autoSpaceDN w:val="0"/>
        <w:autoSpaceDE w:val="0"/>
        <w:widowControl/>
        <w:spacing w:line="222" w:lineRule="exact" w:before="148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appointment of the external auditor for IDA is governed by a set of Board-approved principles. These include:</w:t>
      </w:r>
    </w:p>
    <w:p>
      <w:pPr>
        <w:autoSpaceDN w:val="0"/>
        <w:tabs>
          <w:tab w:pos="364" w:val="left"/>
        </w:tabs>
        <w:autoSpaceDE w:val="0"/>
        <w:widowControl/>
        <w:spacing w:line="222" w:lineRule="exact" w:before="138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Limits on the external auditor’s provision of non-audit-related services;</w:t>
      </w:r>
    </w:p>
    <w:p>
      <w:pPr>
        <w:autoSpaceDN w:val="0"/>
        <w:tabs>
          <w:tab w:pos="364" w:val="left"/>
        </w:tabs>
        <w:autoSpaceDE w:val="0"/>
        <w:widowControl/>
        <w:spacing w:line="240" w:lineRule="exact" w:before="120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Requiring all audit-related services to be pre-approved on a case-by-case basis by the Board, upon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recommendation of the Audit Committee; and</w:t>
      </w:r>
    </w:p>
    <w:p>
      <w:pPr>
        <w:autoSpaceDN w:val="0"/>
        <w:tabs>
          <w:tab w:pos="364" w:val="left"/>
        </w:tabs>
        <w:autoSpaceDE w:val="0"/>
        <w:widowControl/>
        <w:spacing w:line="240" w:lineRule="exact" w:before="120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Renewal of the external audit contract every five years, with a limit of two consecutive terms and mandatory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rotation thereafter.</w:t>
      </w:r>
    </w:p>
    <w:p>
      <w:pPr>
        <w:autoSpaceDN w:val="0"/>
        <w:autoSpaceDE w:val="0"/>
        <w:widowControl/>
        <w:spacing w:line="222" w:lineRule="exact" w:before="138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external auditor may provide non-prohibited, non-audit related services subject to monetary limits. </w:t>
      </w:r>
    </w:p>
    <w:p>
      <w:pPr>
        <w:autoSpaceDN w:val="0"/>
        <w:autoSpaceDE w:val="0"/>
        <w:widowControl/>
        <w:spacing w:line="240" w:lineRule="exact" w:before="12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Broadly, the list of prohibited non-audit services includes those that would put the external auditor in the roles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typically performed by management and in a position of auditing their own work, such as accounting services,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internal audit services, and provision of investment advice. The total non-audit services fees over the term of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relevant external audit contract shall not exceed 70% of the audit fees over the same period.</w:t>
      </w:r>
    </w:p>
    <w:p>
      <w:pPr>
        <w:autoSpaceDN w:val="0"/>
        <w:autoSpaceDE w:val="0"/>
        <w:widowControl/>
        <w:spacing w:line="240" w:lineRule="exact" w:before="12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Communication between the external auditor and the Audit Committee is ongoing and carried out as often as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deemed necessary by either party. The Audit Committee meets periodically with the external auditor and individual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committee members have independent access to the external auditor. IDA’s external auditors also follow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communication requirements with the Audit Committee set out under generally accepted auditing standards in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United States.</w:t>
      </w:r>
    </w:p>
    <w:p>
      <w:pPr>
        <w:autoSpaceDN w:val="0"/>
        <w:autoSpaceDE w:val="0"/>
        <w:widowControl/>
        <w:spacing w:line="268" w:lineRule="exact" w:before="136" w:after="0"/>
        <w:ind w:left="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External Auditors</w:t>
      </w:r>
    </w:p>
    <w:p>
      <w:pPr>
        <w:autoSpaceDN w:val="0"/>
        <w:autoSpaceDE w:val="0"/>
        <w:widowControl/>
        <w:spacing w:line="240" w:lineRule="exact" w:before="124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external auditor is appointed to a five-year term, with a limit of two consecutive terms, and is subject to annual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reappointment based on the recommendation of the Audit Committee and approval of a resolution by the Board.</w:t>
      </w:r>
    </w:p>
    <w:p>
      <w:pPr>
        <w:autoSpaceDN w:val="0"/>
        <w:autoSpaceDE w:val="0"/>
        <w:widowControl/>
        <w:spacing w:line="240" w:lineRule="exact" w:before="120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May 2022, IDA’s Board approved Deloitte &amp; Touche LLP as IDA’s external auditor for a second five-year term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commencing in FY24.</w:t>
      </w:r>
    </w:p>
    <w:p>
      <w:pPr>
        <w:autoSpaceDN w:val="0"/>
        <w:autoSpaceDE w:val="0"/>
        <w:widowControl/>
        <w:spacing w:line="268" w:lineRule="exact" w:before="136" w:after="0"/>
        <w:ind w:left="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Senior Management Changes</w:t>
      </w:r>
    </w:p>
    <w:p>
      <w:pPr>
        <w:autoSpaceDN w:val="0"/>
        <w:autoSpaceDE w:val="0"/>
        <w:widowControl/>
        <w:spacing w:line="224" w:lineRule="exact" w:before="140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On February 20, 2024, Wencai Zhang was appointed as Managing Director and WBG Chief Administrative Officer,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effective March 18, 2024, replacing Shaolin Yang who was previously in this role.</w:t>
      </w:r>
    </w:p>
    <w:p>
      <w:pPr>
        <w:autoSpaceDN w:val="0"/>
        <w:autoSpaceDE w:val="0"/>
        <w:widowControl/>
        <w:spacing w:line="268" w:lineRule="exact" w:before="224" w:after="0"/>
        <w:ind w:left="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Internal Controls</w:t>
      </w:r>
    </w:p>
    <w:p>
      <w:pPr>
        <w:autoSpaceDN w:val="0"/>
        <w:autoSpaceDE w:val="0"/>
        <w:widowControl/>
        <w:spacing w:line="244" w:lineRule="exact" w:before="134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Internal Control over Financial Reporting</w:t>
      </w:r>
    </w:p>
    <w:p>
      <w:pPr>
        <w:autoSpaceDN w:val="0"/>
        <w:autoSpaceDE w:val="0"/>
        <w:widowControl/>
        <w:spacing w:line="240" w:lineRule="exact" w:before="13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Each fiscal year, management evaluates the internal control over financial reporting to determine whether any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changes made in these controls during the fiscal year materially affect, or would be reasonably likely to materially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affect, IDA’s internal control over financial reporting. The internal control framework promulgated by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Committee of Sponsoring Organizations of the Treadway Commission (COSO), “Internal Control - Integrated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Framework (2013)” provides guidance for designing, implementing, and conducting internal control and assessing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its effectiveness. IDA uses the 2013 COSO framework to assess the effectiveness of the internal control over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financial reporting. As of June 30, 2024, management maintained effective internal control over financial reporting. </w:t>
      </w:r>
    </w:p>
    <w:p>
      <w:pPr>
        <w:autoSpaceDN w:val="0"/>
        <w:autoSpaceDE w:val="0"/>
        <w:widowControl/>
        <w:spacing w:line="222" w:lineRule="exact" w:before="18" w:after="0"/>
        <w:ind w:left="4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See “Management’s report regarding effectiveness of Internal Control over Financial Reporting” on page 58.</w:t>
      </w:r>
    </w:p>
    <w:p>
      <w:pPr>
        <w:autoSpaceDN w:val="0"/>
        <w:tabs>
          <w:tab w:pos="656" w:val="left"/>
        </w:tabs>
        <w:autoSpaceDE w:val="0"/>
        <w:widowControl/>
        <w:spacing w:line="224" w:lineRule="exact" w:before="1096" w:after="0"/>
        <w:ind w:left="5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54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Management's Discussion and Analysis:  June 30, 2024</w:t>
      </w:r>
    </w:p>
    <w:p>
      <w:pPr>
        <w:sectPr>
          <w:pgSz w:w="12240" w:h="15840"/>
          <w:pgMar w:top="360" w:right="1370" w:bottom="424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7"/>
        <w:gridCol w:w="4717"/>
      </w:tblGrid>
      <w:tr>
        <w:trPr>
          <w:trHeight w:hRule="exact" w:val="284"/>
        </w:trPr>
        <w:tc>
          <w:tcPr>
            <w:tcW w:type="dxa" w:w="3964"/>
            <w:tcBorders>
              <w:bottom w:sz="4.0" w:val="single" w:color="#000000"/>
            </w:tcBorders>
            <w:shd w:fill="7f7f7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56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Management’s Discussion and Analysis</w:t>
            </w:r>
          </w:p>
        </w:tc>
        <w:tc>
          <w:tcPr>
            <w:tcW w:type="dxa" w:w="5404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808080"/>
                <w:sz w:val="20"/>
              </w:rPr>
              <w:t>Section XI: Governance and Internal Controls</w:t>
            </w:r>
          </w:p>
        </w:tc>
      </w:tr>
    </w:tbl>
    <w:p>
      <w:pPr>
        <w:autoSpaceDN w:val="0"/>
        <w:autoSpaceDE w:val="0"/>
        <w:widowControl/>
        <w:spacing w:line="240" w:lineRule="exact" w:before="378" w:after="0"/>
        <w:ind w:left="4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IDA’s internal control over financial reporting was audited by Deloitte &amp; Touche LLP, and their report expresses an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unqualified opinion on the effectiveness of IDA’s internal control over financial reporting as of June 30, 2024. See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Independent Auditor’s Report on page 62.</w:t>
      </w:r>
    </w:p>
    <w:p>
      <w:pPr>
        <w:autoSpaceDN w:val="0"/>
        <w:autoSpaceDE w:val="0"/>
        <w:widowControl/>
        <w:spacing w:line="244" w:lineRule="exact" w:before="130" w:after="0"/>
        <w:ind w:left="4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Disclosure Controls and Procedures</w:t>
      </w:r>
    </w:p>
    <w:p>
      <w:pPr>
        <w:autoSpaceDN w:val="0"/>
        <w:autoSpaceDE w:val="0"/>
        <w:widowControl/>
        <w:spacing w:line="240" w:lineRule="exact" w:before="130" w:after="0"/>
        <w:ind w:left="4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Disclosure controls and procedures are designed to ensure that information required to be disclosed is gathered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communicated to management as appropriate, to allow timely decisions regarding required disclosure by IDA.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Management conducted an evaluation of the effectiveness of such controls and procedures and the President and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MDCFO have concluded that these controls and procedures were effective as of June 30, 2024.</w:t>
      </w:r>
    </w:p>
    <w:p>
      <w:pPr>
        <w:autoSpaceDN w:val="0"/>
        <w:tabs>
          <w:tab w:pos="9088" w:val="left"/>
        </w:tabs>
        <w:autoSpaceDE w:val="0"/>
        <w:widowControl/>
        <w:spacing w:line="224" w:lineRule="exact" w:before="11200" w:after="0"/>
        <w:ind w:left="329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Management's Discussion and Analysis: 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55</w:t>
      </w:r>
    </w:p>
    <w:p>
      <w:pPr>
        <w:sectPr>
          <w:pgSz w:w="12240" w:h="15840"/>
          <w:pgMar w:top="360" w:right="1370" w:bottom="424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314" w:lineRule="exact" w:before="0" w:after="0"/>
        <w:ind w:left="11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>Appendix</w:t>
      </w:r>
    </w:p>
    <w:p>
      <w:pPr>
        <w:autoSpaceDN w:val="0"/>
        <w:autoSpaceDE w:val="0"/>
        <w:widowControl/>
        <w:spacing w:line="268" w:lineRule="exact" w:before="222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>Glossary of Terms</w:t>
      </w:r>
    </w:p>
    <w:p>
      <w:pPr>
        <w:autoSpaceDN w:val="0"/>
        <w:autoSpaceDE w:val="0"/>
        <w:widowControl/>
        <w:spacing w:line="240" w:lineRule="exact" w:before="124" w:after="0"/>
        <w:ind w:left="10" w:right="24" w:firstLine="0"/>
        <w:jc w:val="both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 xml:space="preserve">Blend Borrower: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Member that is eligible to borrow from IDA on the basis of per capita income and is also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eligible to borrow from IBRD. Given the access to both sources of funds, blend borrowers are expected to limit IDA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funding to social sector projects and to use IBRD resources for projects in the other sectors.</w:t>
      </w:r>
    </w:p>
    <w:p>
      <w:pPr>
        <w:autoSpaceDN w:val="0"/>
        <w:autoSpaceDE w:val="0"/>
        <w:widowControl/>
        <w:spacing w:line="222" w:lineRule="exact" w:before="78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 xml:space="preserve">Board: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Executive Directors as established by IDA’s Articles of Agreement.</w:t>
      </w:r>
    </w:p>
    <w:p>
      <w:pPr>
        <w:autoSpaceDN w:val="0"/>
        <w:autoSpaceDE w:val="0"/>
        <w:widowControl/>
        <w:spacing w:line="240" w:lineRule="exact" w:before="60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Replenishment Envelope: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 Total value of resources available during a particular replenishment including member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equity contributions, borrowings, internal resources, IBRD transfers, IFC grants and other resources.</w:t>
      </w:r>
    </w:p>
    <w:p>
      <w:pPr>
        <w:autoSpaceDN w:val="0"/>
        <w:autoSpaceDE w:val="0"/>
        <w:widowControl/>
        <w:spacing w:line="240" w:lineRule="exact" w:before="60" w:after="0"/>
        <w:ind w:left="10" w:right="20" w:firstLine="0"/>
        <w:jc w:val="both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Completion Point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:  When conditions specified in the legal notification sent to a country are met and the country’s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other creditors have confirmed their full participation in the HIPC debt relief initiative. When a country reaches its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Completion Point, IDA’s commitment to provide the total debt relief for which the country is eligible, becomes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irrevocable.</w:t>
      </w:r>
    </w:p>
    <w:p>
      <w:pPr>
        <w:autoSpaceDN w:val="0"/>
        <w:autoSpaceDE w:val="0"/>
        <w:widowControl/>
        <w:spacing w:line="240" w:lineRule="exact" w:before="60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Consultative Loss Limit: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 Reflects a level of IDA’s tolerance for risk of underperforming the benchmark in any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fiscal year. </w:t>
      </w:r>
    </w:p>
    <w:p>
      <w:pPr>
        <w:autoSpaceDN w:val="0"/>
        <w:autoSpaceDE w:val="0"/>
        <w:widowControl/>
        <w:spacing w:line="240" w:lineRule="exact" w:before="60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Credit Valuation Adjustment (CVA):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 The CVA represents the counterparty credit risk exposure and is reflected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fair value of derivative instruments.</w:t>
      </w:r>
    </w:p>
    <w:p>
      <w:pPr>
        <w:autoSpaceDN w:val="0"/>
        <w:autoSpaceDE w:val="0"/>
        <w:widowControl/>
        <w:spacing w:line="240" w:lineRule="exact" w:before="60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 xml:space="preserve">Debit Valuation Adjustment (DVA):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DVA on Fair Value Option (FVO) Elected Liabilities that corresponds to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change in fair value of the liability presented under the FVO that relate to the instrument specific credit risk (“own-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credit risk”).</w:t>
      </w:r>
    </w:p>
    <w:p>
      <w:pPr>
        <w:autoSpaceDN w:val="0"/>
        <w:autoSpaceDE w:val="0"/>
        <w:widowControl/>
        <w:spacing w:line="222" w:lineRule="exact" w:before="78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Deputies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: Representatives of IDA’s contributing partners, known as “the IDA Deputies”.</w:t>
      </w:r>
    </w:p>
    <w:p>
      <w:pPr>
        <w:autoSpaceDN w:val="0"/>
        <w:autoSpaceDE w:val="0"/>
        <w:widowControl/>
        <w:spacing w:line="222" w:lineRule="exact" w:before="78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Duration: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 Provides an indication of the sensitivity of underlying yield to changes in interest rates.</w:t>
      </w:r>
    </w:p>
    <w:p>
      <w:pPr>
        <w:autoSpaceDN w:val="0"/>
        <w:autoSpaceDE w:val="0"/>
        <w:widowControl/>
        <w:spacing w:line="240" w:lineRule="exact" w:before="60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Encashment: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 Draw down (payment in cash) of a demand note in accordance with a schedule agreed for each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replenishment.</w:t>
      </w:r>
    </w:p>
    <w:p>
      <w:pPr>
        <w:autoSpaceDN w:val="0"/>
        <w:autoSpaceDE w:val="0"/>
        <w:widowControl/>
        <w:spacing w:line="240" w:lineRule="exact" w:before="60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 xml:space="preserve">Externally Financed Output (EFO):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 instrument for receiving external contributions to support the Bank’s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work program, typically, for amounts under $1 million, however larger amounts can also be received.</w:t>
      </w:r>
    </w:p>
    <w:p>
      <w:pPr>
        <w:autoSpaceDN w:val="0"/>
        <w:autoSpaceDE w:val="0"/>
        <w:widowControl/>
        <w:spacing w:line="240" w:lineRule="exact" w:before="60" w:after="0"/>
        <w:ind w:left="10" w:right="22" w:firstLine="0"/>
        <w:jc w:val="both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Graduate Member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: A member country that was once eligible to borrow from IDA, however due to improvements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the member’s economic results is no longer eligible to borrow from IDA and is deemed to have “graduated”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IBRD.</w:t>
      </w:r>
    </w:p>
    <w:p>
      <w:pPr>
        <w:autoSpaceDN w:val="0"/>
        <w:autoSpaceDE w:val="0"/>
        <w:widowControl/>
        <w:spacing w:line="240" w:lineRule="exact" w:before="60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 xml:space="preserve">Instrument of Commitment (IoC):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 The instrument through which a government commits to make a subscription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or a subscription and contribution to IDA’s resources. </w:t>
      </w:r>
    </w:p>
    <w:p>
      <w:pPr>
        <w:autoSpaceDN w:val="0"/>
        <w:autoSpaceDE w:val="0"/>
        <w:widowControl/>
        <w:spacing w:line="240" w:lineRule="exact" w:before="60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 xml:space="preserve">Lending operations: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Total projects from a fiscal year based on project approval date as of June 30 of the fiscal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year.</w:t>
      </w:r>
    </w:p>
    <w:p>
      <w:pPr>
        <w:autoSpaceDN w:val="0"/>
        <w:autoSpaceDE w:val="0"/>
        <w:widowControl/>
        <w:spacing w:line="240" w:lineRule="exact" w:before="60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Net Commitments: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 Commitments of Loans, grants and guarantees, net of full cancellations and terminations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relating to commitments approved in the same fiscal year.</w:t>
      </w:r>
    </w:p>
    <w:p>
      <w:pPr>
        <w:autoSpaceDN w:val="0"/>
        <w:autoSpaceDE w:val="0"/>
        <w:widowControl/>
        <w:spacing w:line="222" w:lineRule="exact" w:before="78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Net Disbursements: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  Loans and grant disbursements net of repayments and prepayments.</w:t>
      </w:r>
    </w:p>
    <w:p>
      <w:pPr>
        <w:autoSpaceDN w:val="0"/>
        <w:autoSpaceDE w:val="0"/>
        <w:widowControl/>
        <w:spacing w:line="240" w:lineRule="exact" w:before="60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Prudential Minimum: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 The minimum amount of liquidity that IDA is required to hold.  It represents 80% of twenty-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four months coverage as calculated at the start of every fiscal year.</w:t>
      </w:r>
    </w:p>
    <w:p>
      <w:pPr>
        <w:autoSpaceDN w:val="0"/>
        <w:autoSpaceDE w:val="0"/>
        <w:widowControl/>
        <w:spacing w:line="240" w:lineRule="exact" w:before="60" w:after="0"/>
        <w:ind w:left="10" w:right="22" w:firstLine="0"/>
        <w:jc w:val="both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Replenishment: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  The process of regular review of the adequacy of IDA resources and authorization of additional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subscriptions</w:t>
      </w:r>
      <w:r>
        <w:rPr>
          <w:rFonts w:ascii="TimesNewRoman" w:hAnsi="TimesNewRoman" w:eastAsia="TimesNewRoman"/>
          <w:b/>
          <w:i w:val="0"/>
          <w:color w:val="000000"/>
          <w:sz w:val="20"/>
        </w:rPr>
        <w:t xml:space="preserve">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Under IDA’s Articles, replenishments are required to be approved by IDA’s Board of Governors by 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two-thirds majority of the total voting power. </w:t>
      </w:r>
    </w:p>
    <w:p>
      <w:pPr>
        <w:autoSpaceDN w:val="0"/>
        <w:autoSpaceDE w:val="0"/>
        <w:widowControl/>
        <w:spacing w:line="240" w:lineRule="exact" w:before="60" w:after="0"/>
        <w:ind w:left="10" w:right="20" w:firstLine="0"/>
        <w:jc w:val="both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Special Drawing Rights (SDR):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  The SDR is an international reserve asset, created by the International Monetary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Fund in 1969 to supplement the existing official reserves of member countries. The SDR is defined as a basket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currencies, consisting of the Chinese Renminbi, Euro, Japanese Yen, Pound Sterling, and U.S. dollar. The basket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composition is reviewed every five years to ensure that it reflects the relative importance of currencies in the world’s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trading and financial systems. </w:t>
      </w:r>
    </w:p>
    <w:p>
      <w:pPr>
        <w:autoSpaceDN w:val="0"/>
        <w:autoSpaceDE w:val="0"/>
        <w:widowControl/>
        <w:spacing w:line="222" w:lineRule="exact" w:before="78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Voting Rights: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 IDA’s voting rights consist of a combination of membership and subscription votes.</w:t>
      </w:r>
    </w:p>
    <w:p>
      <w:pPr>
        <w:autoSpaceDN w:val="0"/>
        <w:autoSpaceDE w:val="0"/>
        <w:widowControl/>
        <w:spacing w:line="222" w:lineRule="exact" w:before="78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 xml:space="preserve">World Bank (WB):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World Bank consists of IBRD and IDA.</w:t>
      </w:r>
    </w:p>
    <w:p>
      <w:pPr>
        <w:autoSpaceDN w:val="0"/>
        <w:autoSpaceDE w:val="0"/>
        <w:widowControl/>
        <w:spacing w:line="222" w:lineRule="exact" w:before="78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World Bank Group (WBG):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 The World Bank Group consists of the IBRD, IDA, IFC, MIGA and ICSID.</w:t>
      </w:r>
    </w:p>
    <w:p>
      <w:pPr>
        <w:autoSpaceDN w:val="0"/>
        <w:tabs>
          <w:tab w:pos="662" w:val="left"/>
        </w:tabs>
        <w:autoSpaceDE w:val="0"/>
        <w:widowControl/>
        <w:spacing w:line="224" w:lineRule="exact" w:before="96" w:after="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56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Management's Discussion and Analysis:  June 30, 2024</w:t>
      </w:r>
    </w:p>
    <w:p>
      <w:pPr>
        <w:sectPr>
          <w:pgSz w:w="12240" w:h="15840"/>
          <w:pgMar w:top="720" w:right="1370" w:bottom="424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4"/>
        <w:ind w:left="0" w:right="0"/>
      </w:pPr>
    </w:p>
    <w:p>
      <w:pPr>
        <w:autoSpaceDN w:val="0"/>
        <w:autoSpaceDE w:val="0"/>
        <w:widowControl/>
        <w:spacing w:line="314" w:lineRule="exact" w:before="0" w:after="0"/>
        <w:ind w:left="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>INTERNATIONAL DEVELOPMENT ASSOCIATION</w:t>
      </w:r>
    </w:p>
    <w:p>
      <w:pPr>
        <w:autoSpaceDN w:val="0"/>
        <w:autoSpaceDE w:val="0"/>
        <w:widowControl/>
        <w:spacing w:line="314" w:lineRule="exact" w:before="298" w:after="0"/>
        <w:ind w:left="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>FINANCIAL STATEMENTS AND INTERNAL CONTROL REPORTS</w:t>
      </w:r>
    </w:p>
    <w:p>
      <w:pPr>
        <w:autoSpaceDN w:val="0"/>
        <w:autoSpaceDE w:val="0"/>
        <w:widowControl/>
        <w:spacing w:line="314" w:lineRule="exact" w:before="22" w:after="0"/>
        <w:ind w:left="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>June 30, 2024</w:t>
      </w:r>
    </w:p>
    <w:p>
      <w:pPr>
        <w:autoSpaceDN w:val="0"/>
        <w:tabs>
          <w:tab w:pos="9084" w:val="left"/>
        </w:tabs>
        <w:autoSpaceDE w:val="0"/>
        <w:widowControl/>
        <w:spacing w:line="224" w:lineRule="exact" w:before="396" w:after="0"/>
        <w:ind w:left="5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Management’s Report Regarding Effectiveness of Internal Control Over Financial Reporting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>58</w:t>
      </w:r>
    </w:p>
    <w:p>
      <w:pPr>
        <w:autoSpaceDN w:val="0"/>
        <w:tabs>
          <w:tab w:pos="9084" w:val="left"/>
        </w:tabs>
        <w:autoSpaceDE w:val="0"/>
        <w:widowControl/>
        <w:spacing w:line="224" w:lineRule="exact" w:before="182" w:after="0"/>
        <w:ind w:left="5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Independent Auditor's Report on Effectiveness of Internal Control Over Financial Reporting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>60</w:t>
      </w:r>
    </w:p>
    <w:p>
      <w:pPr>
        <w:autoSpaceDN w:val="0"/>
        <w:tabs>
          <w:tab w:pos="9084" w:val="left"/>
        </w:tabs>
        <w:autoSpaceDE w:val="0"/>
        <w:widowControl/>
        <w:spacing w:line="224" w:lineRule="exact" w:before="180" w:after="0"/>
        <w:ind w:left="5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Independent Auditor's Report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>62</w:t>
      </w:r>
    </w:p>
    <w:p>
      <w:pPr>
        <w:autoSpaceDN w:val="0"/>
        <w:tabs>
          <w:tab w:pos="9084" w:val="left"/>
        </w:tabs>
        <w:autoSpaceDE w:val="0"/>
        <w:widowControl/>
        <w:spacing w:line="224" w:lineRule="exact" w:before="182" w:after="0"/>
        <w:ind w:left="5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Balance Sheets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>66</w:t>
      </w:r>
    </w:p>
    <w:p>
      <w:pPr>
        <w:autoSpaceDN w:val="0"/>
        <w:tabs>
          <w:tab w:pos="9084" w:val="left"/>
        </w:tabs>
        <w:autoSpaceDE w:val="0"/>
        <w:widowControl/>
        <w:spacing w:line="224" w:lineRule="exact" w:before="180" w:after="0"/>
        <w:ind w:left="5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Statements of Income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>68</w:t>
      </w:r>
    </w:p>
    <w:p>
      <w:pPr>
        <w:autoSpaceDN w:val="0"/>
        <w:tabs>
          <w:tab w:pos="9084" w:val="left"/>
        </w:tabs>
        <w:autoSpaceDE w:val="0"/>
        <w:widowControl/>
        <w:spacing w:line="224" w:lineRule="exact" w:before="182" w:after="0"/>
        <w:ind w:left="5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Statements of Comprehensive Income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>69</w:t>
      </w:r>
    </w:p>
    <w:p>
      <w:pPr>
        <w:autoSpaceDN w:val="0"/>
        <w:tabs>
          <w:tab w:pos="9084" w:val="left"/>
        </w:tabs>
        <w:autoSpaceDE w:val="0"/>
        <w:widowControl/>
        <w:spacing w:line="224" w:lineRule="exact" w:before="180" w:after="0"/>
        <w:ind w:left="5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Statements of Changes in Accumulated Deficit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>69</w:t>
      </w:r>
    </w:p>
    <w:p>
      <w:pPr>
        <w:autoSpaceDN w:val="0"/>
        <w:tabs>
          <w:tab w:pos="9084" w:val="left"/>
        </w:tabs>
        <w:autoSpaceDE w:val="0"/>
        <w:widowControl/>
        <w:spacing w:line="224" w:lineRule="exact" w:before="182" w:after="0"/>
        <w:ind w:left="5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Statements of Cash Flows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>70</w:t>
      </w:r>
    </w:p>
    <w:p>
      <w:pPr>
        <w:autoSpaceDN w:val="0"/>
        <w:autoSpaceDE w:val="0"/>
        <w:widowControl/>
        <w:spacing w:line="224" w:lineRule="exact" w:before="180" w:after="0"/>
        <w:ind w:left="5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Supplementary Information</w:t>
      </w:r>
    </w:p>
    <w:p>
      <w:pPr>
        <w:autoSpaceDN w:val="0"/>
        <w:tabs>
          <w:tab w:pos="9084" w:val="left"/>
        </w:tabs>
        <w:autoSpaceDE w:val="0"/>
        <w:widowControl/>
        <w:spacing w:line="224" w:lineRule="exact" w:before="182" w:after="0"/>
        <w:ind w:left="41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Summary Statement of Loans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>72</w:t>
      </w:r>
    </w:p>
    <w:p>
      <w:pPr>
        <w:autoSpaceDN w:val="0"/>
        <w:tabs>
          <w:tab w:pos="9084" w:val="left"/>
        </w:tabs>
        <w:autoSpaceDE w:val="0"/>
        <w:widowControl/>
        <w:spacing w:line="224" w:lineRule="exact" w:before="180" w:after="0"/>
        <w:ind w:left="41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Statement of Voting Power and Subscriptions and Contributions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>75</w:t>
      </w:r>
    </w:p>
    <w:p>
      <w:pPr>
        <w:autoSpaceDN w:val="0"/>
        <w:tabs>
          <w:tab w:pos="9084" w:val="left"/>
        </w:tabs>
        <w:autoSpaceDE w:val="0"/>
        <w:widowControl/>
        <w:spacing w:line="224" w:lineRule="exact" w:before="182" w:after="0"/>
        <w:ind w:left="5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Notes to Financial Statements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>80</w:t>
      </w:r>
    </w:p>
    <w:p>
      <w:pPr>
        <w:autoSpaceDN w:val="0"/>
        <w:tabs>
          <w:tab w:pos="9084" w:val="left"/>
        </w:tabs>
        <w:autoSpaceDE w:val="0"/>
        <w:widowControl/>
        <w:spacing w:line="224" w:lineRule="exact" w:before="7848" w:after="0"/>
        <w:ind w:left="498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Financial Statements: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57</w:t>
      </w:r>
    </w:p>
    <w:p>
      <w:pPr>
        <w:sectPr>
          <w:pgSz w:w="12240" w:h="15840"/>
          <w:pgMar w:top="516" w:right="1440" w:bottom="2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8"/>
        <w:ind w:left="0" w:right="0"/>
      </w:pPr>
    </w:p>
    <w:p>
      <w:pPr>
        <w:autoSpaceDN w:val="0"/>
        <w:autoSpaceDE w:val="0"/>
        <w:widowControl/>
        <w:spacing w:line="324" w:lineRule="exact" w:before="0" w:after="0"/>
        <w:ind w:left="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Management's Report on Effectiveness of Internal Control Over Financial </w:t>
      </w:r>
      <w:r>
        <w:rPr>
          <w:rFonts w:ascii="ArialMT" w:hAnsi="ArialMT" w:eastAsia="ArialMT"/>
          <w:b w:val="0"/>
          <w:i w:val="0"/>
          <w:color w:val="000000"/>
          <w:sz w:val="28"/>
        </w:rPr>
        <w:t>Reporting</w:t>
      </w:r>
    </w:p>
    <w:p>
      <w:pPr>
        <w:autoSpaceDN w:val="0"/>
        <w:autoSpaceDE w:val="0"/>
        <w:widowControl/>
        <w:spacing w:line="240" w:lineRule="auto" w:before="234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3600" cy="770763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0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tabs>
          <w:tab w:pos="758" w:val="left"/>
        </w:tabs>
        <w:autoSpaceDE w:val="0"/>
        <w:widowControl/>
        <w:spacing w:line="224" w:lineRule="exact" w:before="1638" w:after="0"/>
        <w:ind w:left="5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58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Financial Statements: June 30, 2024</w:t>
      </w:r>
    </w:p>
    <w:p>
      <w:pPr>
        <w:sectPr>
          <w:pgSz w:w="12240" w:h="15840"/>
          <w:pgMar w:top="278" w:right="1338" w:bottom="2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66725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72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tabs>
          <w:tab w:pos="9084" w:val="left"/>
        </w:tabs>
        <w:autoSpaceDE w:val="0"/>
        <w:widowControl/>
        <w:spacing w:line="224" w:lineRule="exact" w:before="3268" w:after="0"/>
        <w:ind w:left="498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Financial Statements: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59</w:t>
      </w:r>
    </w:p>
    <w:p>
      <w:pPr>
        <w:sectPr>
          <w:pgSz w:w="12240" w:h="15840"/>
          <w:pgMar w:top="720" w:right="1420" w:bottom="2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8"/>
        <w:ind w:left="0" w:right="0"/>
      </w:pPr>
    </w:p>
    <w:p>
      <w:pPr>
        <w:autoSpaceDN w:val="0"/>
        <w:autoSpaceDE w:val="0"/>
        <w:widowControl/>
        <w:spacing w:line="324" w:lineRule="exact" w:before="0" w:after="0"/>
        <w:ind w:left="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Independent Auditor's Report on Effectiveness of Internal Control Over </w:t>
      </w:r>
      <w:r>
        <w:rPr>
          <w:rFonts w:ascii="ArialMT" w:hAnsi="ArialMT" w:eastAsia="ArialMT"/>
          <w:b w:val="0"/>
          <w:i w:val="0"/>
          <w:color w:val="000000"/>
          <w:sz w:val="28"/>
        </w:rPr>
        <w:t>Financial Reporting</w:t>
      </w:r>
    </w:p>
    <w:p>
      <w:pPr>
        <w:autoSpaceDN w:val="0"/>
        <w:autoSpaceDE w:val="0"/>
        <w:widowControl/>
        <w:spacing w:line="240" w:lineRule="auto" w:before="234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943600" cy="80518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5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tabs>
          <w:tab w:pos="758" w:val="left"/>
        </w:tabs>
        <w:autoSpaceDE w:val="0"/>
        <w:widowControl/>
        <w:spacing w:line="224" w:lineRule="exact" w:before="1096" w:after="0"/>
        <w:ind w:left="5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60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Financial Statements: June 30, 2024</w:t>
      </w:r>
    </w:p>
    <w:p>
      <w:pPr>
        <w:sectPr>
          <w:pgSz w:w="12240" w:h="15840"/>
          <w:pgMar w:top="278" w:right="1338" w:bottom="2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475488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tabs>
          <w:tab w:pos="9084" w:val="left"/>
        </w:tabs>
        <w:autoSpaceDE w:val="0"/>
        <w:widowControl/>
        <w:spacing w:line="224" w:lineRule="exact" w:before="6288" w:after="0"/>
        <w:ind w:left="498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Financial Statements: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61</w:t>
      </w:r>
    </w:p>
    <w:p>
      <w:pPr>
        <w:sectPr>
          <w:pgSz w:w="12240" w:h="15840"/>
          <w:pgMar w:top="720" w:right="1420" w:bottom="2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8"/>
        <w:ind w:left="0" w:right="0"/>
      </w:pPr>
    </w:p>
    <w:p>
      <w:pPr>
        <w:autoSpaceDN w:val="0"/>
        <w:autoSpaceDE w:val="0"/>
        <w:widowControl/>
        <w:spacing w:line="314" w:lineRule="exact" w:before="0" w:after="0"/>
        <w:ind w:left="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>Independent Auditor's Report</w:t>
      </w:r>
    </w:p>
    <w:p>
      <w:pPr>
        <w:autoSpaceDN w:val="0"/>
        <w:autoSpaceDE w:val="0"/>
        <w:widowControl/>
        <w:spacing w:line="240" w:lineRule="auto" w:before="57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799592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9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tabs>
          <w:tab w:pos="758" w:val="left"/>
        </w:tabs>
        <w:autoSpaceDE w:val="0"/>
        <w:widowControl/>
        <w:spacing w:line="224" w:lineRule="exact" w:before="1184" w:after="0"/>
        <w:ind w:left="5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62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Financial Statements: June 30, 2024</w:t>
      </w:r>
    </w:p>
    <w:p>
      <w:pPr>
        <w:sectPr>
          <w:pgSz w:w="12240" w:h="15840"/>
          <w:pgMar w:top="278" w:right="1420" w:bottom="2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79044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04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tabs>
          <w:tab w:pos="9084" w:val="left"/>
        </w:tabs>
        <w:autoSpaceDE w:val="0"/>
        <w:widowControl/>
        <w:spacing w:line="224" w:lineRule="exact" w:before="1328" w:after="0"/>
        <w:ind w:left="498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Financial Statements: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63</w:t>
      </w:r>
    </w:p>
    <w:p>
      <w:pPr>
        <w:sectPr>
          <w:pgSz w:w="12240" w:h="15840"/>
          <w:pgMar w:top="720" w:right="1420" w:bottom="2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8"/>
        <w:ind w:left="0" w:right="0"/>
      </w:pPr>
    </w:p>
    <w:p>
      <w:pPr>
        <w:autoSpaceDN w:val="0"/>
        <w:autoSpaceDE w:val="0"/>
        <w:widowControl/>
        <w:spacing w:line="314" w:lineRule="exact" w:before="0" w:after="0"/>
        <w:ind w:left="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>Independent Auditor's Report</w:t>
      </w:r>
    </w:p>
    <w:p>
      <w:pPr>
        <w:autoSpaceDN w:val="0"/>
        <w:autoSpaceDE w:val="0"/>
        <w:widowControl/>
        <w:spacing w:line="240" w:lineRule="auto" w:before="57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16865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tabs>
          <w:tab w:pos="758" w:val="left"/>
        </w:tabs>
        <w:autoSpaceDE w:val="0"/>
        <w:widowControl/>
        <w:spacing w:line="224" w:lineRule="exact" w:before="8786" w:after="0"/>
        <w:ind w:left="5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64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Financial Statements: June 30, 2024</w:t>
      </w:r>
    </w:p>
    <w:p>
      <w:pPr>
        <w:sectPr>
          <w:pgSz w:w="12240" w:h="15840"/>
          <w:pgMar w:top="278" w:right="1420" w:bottom="2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50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288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INTERNATIONAL DEVELOPMENT ASSOCIATION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FINANCIAL STATEMENTS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28"/>
        </w:rPr>
        <w:t>June 30, 2024</w:t>
      </w:r>
    </w:p>
    <w:p>
      <w:pPr>
        <w:autoSpaceDN w:val="0"/>
        <w:tabs>
          <w:tab w:pos="9084" w:val="left"/>
        </w:tabs>
        <w:autoSpaceDE w:val="0"/>
        <w:widowControl/>
        <w:spacing w:line="224" w:lineRule="exact" w:before="13014" w:after="0"/>
        <w:ind w:left="498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Financial Statements: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65</w:t>
      </w:r>
    </w:p>
    <w:p>
      <w:pPr>
        <w:sectPr>
          <w:pgSz w:w="12240" w:h="15840"/>
          <w:pgMar w:top="470" w:right="1440" w:bottom="2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4"/>
        <w:ind w:left="0" w:right="0"/>
      </w:pPr>
    </w:p>
    <w:p>
      <w:pPr>
        <w:autoSpaceDN w:val="0"/>
        <w:autoSpaceDE w:val="0"/>
        <w:widowControl/>
        <w:spacing w:line="260" w:lineRule="exact" w:before="54" w:after="0"/>
        <w:ind w:left="0" w:right="6336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BALANCE SHEETS </w:t>
      </w:r>
      <w:r>
        <w:br/>
      </w:r>
      <w:r>
        <w:rPr>
          <w:rFonts w:ascii="Arial" w:hAnsi="Arial" w:eastAsia="Arial"/>
          <w:b w:val="0"/>
          <w:i/>
          <w:color w:val="000000"/>
          <w:sz w:val="20"/>
        </w:rPr>
        <w:t>June 30, 2024 and June 30, 2023</w:t>
      </w:r>
    </w:p>
    <w:p>
      <w:pPr>
        <w:autoSpaceDN w:val="0"/>
        <w:autoSpaceDE w:val="0"/>
        <w:widowControl/>
        <w:spacing w:line="202" w:lineRule="exact" w:before="316" w:after="308"/>
        <w:ind w:left="5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8"/>
        </w:rPr>
        <w:t>Expressed 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990.0" w:type="dxa"/>
      </w:tblPr>
      <w:tblGrid>
        <w:gridCol w:w="4708"/>
        <w:gridCol w:w="4708"/>
      </w:tblGrid>
      <w:tr>
        <w:trPr>
          <w:trHeight w:hRule="exact" w:val="290"/>
        </w:trPr>
        <w:tc>
          <w:tcPr>
            <w:tcW w:type="dxa" w:w="162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2024</w:t>
            </w:r>
          </w:p>
        </w:tc>
        <w:tc>
          <w:tcPr>
            <w:tcW w:type="dxa" w:w="175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0" w:after="0"/>
              <w:ind w:left="0" w:right="612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2023</w:t>
            </w:r>
          </w:p>
        </w:tc>
      </w:tr>
    </w:tbl>
    <w:p>
      <w:pPr>
        <w:autoSpaceDN w:val="0"/>
        <w:autoSpaceDE w:val="0"/>
        <w:widowControl/>
        <w:spacing w:line="200" w:lineRule="exact" w:before="26" w:after="0"/>
        <w:ind w:left="5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8"/>
        </w:rPr>
        <w:t>Assets</w:t>
      </w:r>
    </w:p>
    <w:p>
      <w:pPr>
        <w:autoSpaceDN w:val="0"/>
        <w:autoSpaceDE w:val="0"/>
        <w:widowControl/>
        <w:spacing w:line="202" w:lineRule="exact" w:before="54" w:after="26"/>
        <w:ind w:left="52" w:right="0" w:firstLine="0"/>
        <w:jc w:val="left"/>
      </w:pPr>
      <w:r>
        <w:rPr>
          <w:rFonts w:ascii="Arial" w:hAnsi="Arial" w:eastAsia="Arial"/>
          <w:b/>
          <w:i/>
          <w:color w:val="000000"/>
          <w:sz w:val="18"/>
        </w:rPr>
        <w:t>Due from banks—Notes C and J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1883"/>
        <w:gridCol w:w="1883"/>
        <w:gridCol w:w="1883"/>
        <w:gridCol w:w="1883"/>
        <w:gridCol w:w="1883"/>
      </w:tblGrid>
      <w:tr>
        <w:trPr>
          <w:trHeight w:hRule="exact" w:val="252"/>
        </w:trPr>
        <w:tc>
          <w:tcPr>
            <w:tcW w:type="dxa" w:w="5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Unrestricted cash</w:t>
            </w:r>
          </w:p>
        </w:tc>
        <w:tc>
          <w:tcPr>
            <w:tcW w:type="dxa" w:w="71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9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563 </w:t>
            </w:r>
          </w:p>
        </w:tc>
        <w:tc>
          <w:tcPr>
            <w:tcW w:type="dxa" w:w="84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19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9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665 </w:t>
            </w:r>
          </w:p>
        </w:tc>
      </w:tr>
      <w:tr>
        <w:trPr>
          <w:trHeight w:hRule="exact" w:val="260"/>
        </w:trPr>
        <w:tc>
          <w:tcPr>
            <w:tcW w:type="dxa" w:w="58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0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Restricted cash</w:t>
            </w:r>
          </w:p>
        </w:tc>
        <w:tc>
          <w:tcPr>
            <w:tcW w:type="dxa" w:w="1883"/>
            <w:vMerge/>
            <w:tcBorders>
              <w:bottom w:sz="8.0" w:val="single" w:color="#000000"/>
            </w:tcBorders>
          </w:tcPr>
          <w:p/>
        </w:tc>
        <w:tc>
          <w:tcPr>
            <w:tcW w:type="dxa" w:w="91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0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23 </w:t>
            </w:r>
          </w:p>
        </w:tc>
        <w:tc>
          <w:tcPr>
            <w:tcW w:type="dxa" w:w="1883"/>
            <w:vMerge/>
            <w:tcBorders>
              <w:bottom w:sz="8.0" w:val="single" w:color="#000000"/>
            </w:tcBorders>
          </w:tcPr>
          <w:p/>
        </w:tc>
        <w:tc>
          <w:tcPr>
            <w:tcW w:type="dxa" w:w="9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24 </w:t>
            </w:r>
          </w:p>
        </w:tc>
      </w:tr>
      <w:tr>
        <w:trPr>
          <w:trHeight w:hRule="exact" w:val="256"/>
        </w:trPr>
        <w:tc>
          <w:tcPr>
            <w:tcW w:type="dxa" w:w="58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1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586 </w:t>
            </w:r>
          </w:p>
        </w:tc>
        <w:tc>
          <w:tcPr>
            <w:tcW w:type="dxa" w:w="8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689 </w:t>
            </w:r>
          </w:p>
        </w:tc>
      </w:tr>
    </w:tbl>
    <w:p>
      <w:pPr>
        <w:autoSpaceDN w:val="0"/>
        <w:tabs>
          <w:tab w:pos="142" w:val="left"/>
        </w:tabs>
        <w:autoSpaceDE w:val="0"/>
        <w:widowControl/>
        <w:spacing w:line="216" w:lineRule="exact" w:before="342" w:after="8"/>
        <w:ind w:left="52" w:right="3456" w:firstLine="0"/>
        <w:jc w:val="left"/>
      </w:pPr>
      <w:r>
        <w:rPr>
          <w:rFonts w:ascii="Arial" w:hAnsi="Arial" w:eastAsia="Arial"/>
          <w:b/>
          <w:i/>
          <w:color w:val="000000"/>
          <w:sz w:val="18"/>
        </w:rPr>
        <w:t xml:space="preserve">Investments (including securities transferred under repurchase or </w:t>
      </w:r>
      <w:r>
        <w:rPr>
          <w:rFonts w:ascii="Arial" w:hAnsi="Arial" w:eastAsia="Arial"/>
          <w:b/>
          <w:i/>
          <w:color w:val="000000"/>
          <w:sz w:val="18"/>
        </w:rPr>
        <w:t xml:space="preserve">securities lending agreements of $69 million—June 30, 2024; $217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3139"/>
        <w:gridCol w:w="3139"/>
        <w:gridCol w:w="3139"/>
      </w:tblGrid>
      <w:tr>
        <w:trPr>
          <w:trHeight w:hRule="exact" w:val="382"/>
        </w:trPr>
        <w:tc>
          <w:tcPr>
            <w:tcW w:type="dxa" w:w="6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22" w:right="0" w:firstLine="0"/>
              <w:jc w:val="left"/>
            </w:pPr>
            <w:r>
              <w:rPr>
                <w:rFonts w:ascii="Arial" w:hAnsi="Arial" w:eastAsia="Arial"/>
                <w:b/>
                <w:i/>
                <w:color w:val="000000"/>
                <w:sz w:val="18"/>
              </w:rPr>
              <w:t>million—June 30, 2023) —Notes C, H and J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5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34,377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31,822 </w:t>
            </w:r>
          </w:p>
        </w:tc>
      </w:tr>
      <w:tr>
        <w:trPr>
          <w:trHeight w:hRule="exact" w:val="580"/>
        </w:trPr>
        <w:tc>
          <w:tcPr>
            <w:tcW w:type="dxa" w:w="6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96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/>
                <w:color w:val="000000"/>
                <w:sz w:val="18"/>
              </w:rPr>
              <w:t>Securities Purchased Under Resale Agreements—Notes C and J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96" w:after="0"/>
              <w:ind w:left="0" w:right="5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58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96" w:after="0"/>
              <w:ind w:left="0" w:right="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168 </w:t>
            </w:r>
          </w:p>
        </w:tc>
      </w:tr>
      <w:tr>
        <w:trPr>
          <w:trHeight w:hRule="exact" w:val="560"/>
        </w:trPr>
        <w:tc>
          <w:tcPr>
            <w:tcW w:type="dxa" w:w="6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86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/>
                <w:color w:val="000000"/>
                <w:sz w:val="18"/>
              </w:rPr>
              <w:t>Derivative assets, net—Notes C, F, H and J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86" w:after="0"/>
              <w:ind w:left="0" w:right="5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363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86" w:after="0"/>
              <w:ind w:left="0" w:right="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364 </w:t>
            </w:r>
          </w:p>
        </w:tc>
      </w:tr>
      <w:tr>
        <w:trPr>
          <w:trHeight w:hRule="exact" w:val="456"/>
        </w:trPr>
        <w:tc>
          <w:tcPr>
            <w:tcW w:type="dxa" w:w="6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96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/>
                <w:color w:val="000000"/>
                <w:sz w:val="18"/>
              </w:rPr>
              <w:t>Receivable from affiliated organization—Note H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96" w:after="0"/>
              <w:ind w:left="0" w:right="5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1,395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96" w:after="0"/>
              <w:ind w:left="0" w:right="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1,291 </w:t>
            </w:r>
          </w:p>
        </w:tc>
      </w:tr>
    </w:tbl>
    <w:p>
      <w:pPr>
        <w:autoSpaceDN w:val="0"/>
        <w:autoSpaceDE w:val="0"/>
        <w:widowControl/>
        <w:spacing w:line="200" w:lineRule="exact" w:before="310" w:after="26"/>
        <w:ind w:left="52" w:right="0" w:firstLine="0"/>
        <w:jc w:val="left"/>
      </w:pPr>
      <w:r>
        <w:rPr>
          <w:rFonts w:ascii="Arial" w:hAnsi="Arial" w:eastAsia="Arial"/>
          <w:b/>
          <w:i/>
          <w:color w:val="000000"/>
          <w:sz w:val="18"/>
        </w:rPr>
        <w:t>Other Receivables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3139"/>
        <w:gridCol w:w="3139"/>
        <w:gridCol w:w="3139"/>
      </w:tblGrid>
      <w:tr>
        <w:trPr>
          <w:trHeight w:hRule="exact" w:val="248"/>
        </w:trPr>
        <w:tc>
          <w:tcPr>
            <w:tcW w:type="dxa" w:w="5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8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Receivables from investment securities traded—</w:t>
            </w: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Note C</w:t>
            </w:r>
          </w:p>
        </w:tc>
        <w:tc>
          <w:tcPr>
            <w:tcW w:type="dxa" w:w="17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8" w:after="0"/>
              <w:ind w:left="0" w:right="1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9 </w:t>
            </w:r>
          </w:p>
        </w:tc>
        <w:tc>
          <w:tcPr>
            <w:tcW w:type="dxa" w:w="16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 </w:t>
            </w:r>
          </w:p>
        </w:tc>
      </w:tr>
      <w:tr>
        <w:trPr>
          <w:trHeight w:hRule="exact" w:val="266"/>
        </w:trPr>
        <w:tc>
          <w:tcPr>
            <w:tcW w:type="dxa" w:w="58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Accrued interest and commitment charges</w:t>
            </w:r>
          </w:p>
        </w:tc>
        <w:tc>
          <w:tcPr>
            <w:tcW w:type="dxa" w:w="175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0" w:right="1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726 </w:t>
            </w:r>
          </w:p>
        </w:tc>
        <w:tc>
          <w:tcPr>
            <w:tcW w:type="dxa" w:w="162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669 </w:t>
            </w:r>
          </w:p>
        </w:tc>
      </w:tr>
      <w:tr>
        <w:trPr>
          <w:trHeight w:hRule="exact" w:val="254"/>
        </w:trPr>
        <w:tc>
          <w:tcPr>
            <w:tcW w:type="dxa" w:w="58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5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1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735 </w:t>
            </w:r>
          </w:p>
        </w:tc>
        <w:tc>
          <w:tcPr>
            <w:tcW w:type="dxa" w:w="162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672 </w:t>
            </w:r>
          </w:p>
        </w:tc>
      </w:tr>
    </w:tbl>
    <w:p>
      <w:pPr>
        <w:autoSpaceDN w:val="0"/>
        <w:autoSpaceDE w:val="0"/>
        <w:widowControl/>
        <w:spacing w:line="202" w:lineRule="exact" w:before="250" w:after="28"/>
        <w:ind w:left="52" w:right="0" w:firstLine="0"/>
        <w:jc w:val="left"/>
      </w:pPr>
      <w:r>
        <w:rPr>
          <w:rFonts w:ascii="Arial" w:hAnsi="Arial" w:eastAsia="Arial"/>
          <w:b/>
          <w:i/>
          <w:color w:val="000000"/>
          <w:sz w:val="18"/>
        </w:rPr>
        <w:t>Loans outstanding—Notes D, H and J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.0" w:type="dxa"/>
      </w:tblPr>
      <w:tblGrid>
        <w:gridCol w:w="3139"/>
        <w:gridCol w:w="3139"/>
        <w:gridCol w:w="3139"/>
      </w:tblGrid>
      <w:tr>
        <w:trPr>
          <w:trHeight w:hRule="exact" w:val="262"/>
        </w:trPr>
        <w:tc>
          <w:tcPr>
            <w:tcW w:type="dxa" w:w="4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Total loans approved</w:t>
            </w:r>
          </w:p>
        </w:tc>
        <w:tc>
          <w:tcPr>
            <w:tcW w:type="dxa" w:w="3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0" w:right="5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278,107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0" w:right="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269,364 </w:t>
            </w:r>
          </w:p>
        </w:tc>
      </w:tr>
    </w:tbl>
    <w:p>
      <w:pPr>
        <w:autoSpaceDN w:val="0"/>
        <w:tabs>
          <w:tab w:pos="452" w:val="left"/>
        </w:tabs>
        <w:autoSpaceDE w:val="0"/>
        <w:widowControl/>
        <w:spacing w:line="216" w:lineRule="exact" w:before="22" w:after="6"/>
        <w:ind w:left="152" w:right="360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8"/>
        </w:rPr>
        <w:t xml:space="preserve"> Less: Undisbursed balance (including signed loan commitments of    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8"/>
        </w:rPr>
        <w:t xml:space="preserve"> $68,851 million—June 30, 2024; $68,542 million—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20.0" w:type="dxa"/>
      </w:tblPr>
      <w:tblGrid>
        <w:gridCol w:w="3139"/>
        <w:gridCol w:w="3139"/>
        <w:gridCol w:w="3139"/>
      </w:tblGrid>
      <w:tr>
        <w:trPr>
          <w:trHeight w:hRule="exact" w:val="238"/>
        </w:trPr>
        <w:tc>
          <w:tcPr>
            <w:tcW w:type="dxa" w:w="57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8" w:after="0"/>
              <w:ind w:left="2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 June 30, 2023) </w:t>
            </w:r>
          </w:p>
        </w:tc>
        <w:tc>
          <w:tcPr>
            <w:tcW w:type="dxa" w:w="175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8" w:after="0"/>
              <w:ind w:left="0" w:right="10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(75,559) </w:t>
            </w:r>
          </w:p>
        </w:tc>
        <w:tc>
          <w:tcPr>
            <w:tcW w:type="dxa" w:w="165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8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(77,680) </w:t>
            </w:r>
          </w:p>
        </w:tc>
      </w:tr>
      <w:tr>
        <w:trPr>
          <w:trHeight w:hRule="exact" w:val="252"/>
        </w:trPr>
        <w:tc>
          <w:tcPr>
            <w:tcW w:type="dxa" w:w="577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5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Loans outstanding</w:t>
            </w:r>
          </w:p>
        </w:tc>
        <w:tc>
          <w:tcPr>
            <w:tcW w:type="dxa" w:w="175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1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202,548 </w:t>
            </w:r>
          </w:p>
        </w:tc>
        <w:tc>
          <w:tcPr>
            <w:tcW w:type="dxa" w:w="165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191,684 </w:t>
            </w:r>
          </w:p>
        </w:tc>
      </w:tr>
    </w:tbl>
    <w:p>
      <w:pPr>
        <w:autoSpaceDN w:val="0"/>
        <w:autoSpaceDE w:val="0"/>
        <w:widowControl/>
        <w:spacing w:line="202" w:lineRule="exact" w:before="28" w:after="28"/>
        <w:ind w:left="14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8"/>
        </w:rPr>
        <w:t xml:space="preserve"> Less: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1569"/>
        <w:gridCol w:w="1569"/>
        <w:gridCol w:w="1569"/>
        <w:gridCol w:w="1569"/>
        <w:gridCol w:w="1569"/>
        <w:gridCol w:w="1569"/>
      </w:tblGrid>
      <w:tr>
        <w:trPr>
          <w:trHeight w:hRule="exact" w:val="250"/>
        </w:trPr>
        <w:tc>
          <w:tcPr>
            <w:tcW w:type="dxa" w:w="59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4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 Accumulated provision for loan losses</w:t>
            </w:r>
          </w:p>
        </w:tc>
        <w:tc>
          <w:tcPr>
            <w:tcW w:type="dxa" w:w="55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2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0" w:right="10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(4,065) </w:t>
            </w:r>
          </w:p>
        </w:tc>
        <w:tc>
          <w:tcPr>
            <w:tcW w:type="dxa" w:w="53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(3,993) </w:t>
            </w:r>
          </w:p>
        </w:tc>
      </w:tr>
      <w:tr>
        <w:trPr>
          <w:trHeight w:hRule="exact" w:val="260"/>
        </w:trPr>
        <w:tc>
          <w:tcPr>
            <w:tcW w:type="dxa" w:w="597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0" w:after="0"/>
              <w:ind w:left="4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 Deferred loan income </w:t>
            </w:r>
          </w:p>
        </w:tc>
        <w:tc>
          <w:tcPr>
            <w:tcW w:type="dxa" w:w="1569"/>
            <w:vMerge/>
            <w:tcBorders>
              <w:bottom w:sz="8.0" w:val="single" w:color="#000000"/>
            </w:tcBorders>
          </w:tcPr>
          <w:p/>
        </w:tc>
        <w:tc>
          <w:tcPr>
            <w:tcW w:type="dxa" w:w="120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0" w:after="0"/>
              <w:ind w:left="0" w:right="10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(26) </w:t>
            </w:r>
          </w:p>
        </w:tc>
        <w:tc>
          <w:tcPr>
            <w:tcW w:type="dxa" w:w="1569"/>
            <w:vMerge/>
            <w:tcBorders>
              <w:bottom w:sz="8.0" w:val="single" w:color="#000000"/>
            </w:tcBorders>
          </w:tcPr>
          <w:p/>
        </w:tc>
        <w:tc>
          <w:tcPr>
            <w:tcW w:type="dxa" w:w="11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0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(22) </w:t>
            </w:r>
          </w:p>
        </w:tc>
      </w:tr>
      <w:tr>
        <w:trPr>
          <w:trHeight w:hRule="exact" w:val="256"/>
        </w:trPr>
        <w:tc>
          <w:tcPr>
            <w:tcW w:type="dxa" w:w="597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7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Net loans outstanding</w:t>
            </w:r>
          </w:p>
        </w:tc>
        <w:tc>
          <w:tcPr>
            <w:tcW w:type="dxa" w:w="5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1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198,457 </w:t>
            </w:r>
          </w:p>
        </w:tc>
        <w:tc>
          <w:tcPr>
            <w:tcW w:type="dxa" w:w="5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187,669 </w:t>
            </w:r>
          </w:p>
        </w:tc>
      </w:tr>
      <w:tr>
        <w:trPr>
          <w:trHeight w:hRule="exact" w:val="884"/>
        </w:trPr>
        <w:tc>
          <w:tcPr>
            <w:tcW w:type="dxa" w:w="597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30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/>
                <w:color w:val="000000"/>
                <w:sz w:val="18"/>
              </w:rPr>
              <w:t>Other assets—Notes G and K</w:t>
            </w:r>
          </w:p>
        </w:tc>
        <w:tc>
          <w:tcPr>
            <w:tcW w:type="dxa" w:w="5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30" w:after="0"/>
              <w:ind w:left="0" w:right="1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5,379 </w:t>
            </w:r>
          </w:p>
        </w:tc>
        <w:tc>
          <w:tcPr>
            <w:tcW w:type="dxa" w:w="5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3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4,807 </w:t>
            </w:r>
          </w:p>
        </w:tc>
      </w:tr>
      <w:tr>
        <w:trPr>
          <w:trHeight w:hRule="exact" w:val="236"/>
        </w:trPr>
        <w:tc>
          <w:tcPr>
            <w:tcW w:type="dxa" w:w="597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Total assets</w:t>
            </w:r>
          </w:p>
        </w:tc>
        <w:tc>
          <w:tcPr>
            <w:tcW w:type="dxa" w:w="5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12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1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241,350 </w:t>
            </w:r>
          </w:p>
        </w:tc>
        <w:tc>
          <w:tcPr>
            <w:tcW w:type="dxa" w:w="5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11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227,482 </w:t>
            </w:r>
          </w:p>
        </w:tc>
      </w:tr>
      <w:tr>
        <w:trPr>
          <w:trHeight w:hRule="exact" w:val="3524"/>
        </w:trPr>
        <w:tc>
          <w:tcPr>
            <w:tcW w:type="dxa" w:w="4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3310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66</w:t>
            </w:r>
          </w:p>
        </w:tc>
        <w:tc>
          <w:tcPr>
            <w:tcW w:type="dxa" w:w="54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3310" w:after="0"/>
              <w:ind w:left="25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IDA Financial Statements: June 30, 2024</w:t>
            </w:r>
          </w:p>
        </w:tc>
        <w:tc>
          <w:tcPr>
            <w:tcW w:type="dxa" w:w="5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0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3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516" w:right="1384" w:bottom="2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32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976.0" w:type="dxa"/>
      </w:tblPr>
      <w:tblGrid>
        <w:gridCol w:w="4708"/>
        <w:gridCol w:w="4708"/>
      </w:tblGrid>
      <w:tr>
        <w:trPr>
          <w:trHeight w:hRule="exact" w:val="230"/>
        </w:trPr>
        <w:tc>
          <w:tcPr>
            <w:tcW w:type="dxa" w:w="162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2024</w:t>
            </w:r>
          </w:p>
        </w:tc>
        <w:tc>
          <w:tcPr>
            <w:tcW w:type="dxa" w:w="17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0" w:after="0"/>
              <w:ind w:left="0" w:right="612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2023</w:t>
            </w:r>
          </w:p>
        </w:tc>
      </w:tr>
    </w:tbl>
    <w:p>
      <w:pPr>
        <w:autoSpaceDN w:val="0"/>
        <w:autoSpaceDE w:val="0"/>
        <w:widowControl/>
        <w:spacing w:line="200" w:lineRule="exact" w:before="26" w:after="0"/>
        <w:ind w:left="5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8"/>
        </w:rPr>
        <w:t>Liabilities</w:t>
      </w:r>
    </w:p>
    <w:p>
      <w:pPr>
        <w:autoSpaceDN w:val="0"/>
        <w:autoSpaceDE w:val="0"/>
        <w:widowControl/>
        <w:spacing w:line="202" w:lineRule="exact" w:before="54" w:after="28"/>
        <w:ind w:left="52" w:right="0" w:firstLine="0"/>
        <w:jc w:val="left"/>
      </w:pPr>
      <w:r>
        <w:rPr>
          <w:rFonts w:ascii="Arial" w:hAnsi="Arial" w:eastAsia="Arial"/>
          <w:b/>
          <w:i/>
          <w:color w:val="000000"/>
          <w:sz w:val="18"/>
        </w:rPr>
        <w:t>Borrowings—Notes E and J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1883"/>
        <w:gridCol w:w="1883"/>
        <w:gridCol w:w="1883"/>
        <w:gridCol w:w="1883"/>
        <w:gridCol w:w="1883"/>
      </w:tblGrid>
      <w:tr>
        <w:trPr>
          <w:trHeight w:hRule="exact" w:val="236"/>
        </w:trPr>
        <w:tc>
          <w:tcPr>
            <w:tcW w:type="dxa" w:w="58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Market borrowings, at fair value</w:t>
            </w:r>
          </w:p>
        </w:tc>
        <w:tc>
          <w:tcPr>
            <w:tcW w:type="dxa" w:w="58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26,425 </w:t>
            </w:r>
          </w:p>
        </w:tc>
        <w:tc>
          <w:tcPr>
            <w:tcW w:type="dxa" w:w="74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0" w:right="38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16,786 </w:t>
            </w:r>
          </w:p>
        </w:tc>
      </w:tr>
      <w:tr>
        <w:trPr>
          <w:trHeight w:hRule="exact" w:val="260"/>
        </w:trPr>
        <w:tc>
          <w:tcPr>
            <w:tcW w:type="dxa" w:w="58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4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Market borrowings, at amortized cost</w:t>
            </w:r>
          </w:p>
        </w:tc>
        <w:tc>
          <w:tcPr>
            <w:tcW w:type="dxa" w:w="1883"/>
            <w:vMerge/>
            <w:tcBorders>
              <w:bottom w:sz="8.0" w:val="single" w:color="#000000"/>
            </w:tcBorders>
          </w:tcPr>
          <w:p/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11,494 </w:t>
            </w:r>
          </w:p>
        </w:tc>
        <w:tc>
          <w:tcPr>
            <w:tcW w:type="dxa" w:w="1883"/>
            <w:vMerge/>
            <w:tcBorders>
              <w:bottom w:sz="8.0" w:val="single" w:color="#000000"/>
            </w:tcBorders>
          </w:tcPr>
          <w:p/>
        </w:tc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8,627 </w:t>
            </w:r>
          </w:p>
        </w:tc>
      </w:tr>
      <w:tr>
        <w:trPr>
          <w:trHeight w:hRule="exact" w:val="270"/>
        </w:trPr>
        <w:tc>
          <w:tcPr>
            <w:tcW w:type="dxa" w:w="587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Concessional partner loans, at amortized cost</w:t>
            </w:r>
          </w:p>
        </w:tc>
        <w:tc>
          <w:tcPr>
            <w:tcW w:type="dxa" w:w="1883"/>
            <w:vMerge/>
            <w:tcBorders>
              <w:bottom w:sz="8.0" w:val="single" w:color="#000000"/>
            </w:tcBorders>
          </w:tcPr>
          <w:p/>
        </w:tc>
        <w:tc>
          <w:tcPr>
            <w:tcW w:type="dxa" w:w="10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7,004 </w:t>
            </w:r>
          </w:p>
        </w:tc>
        <w:tc>
          <w:tcPr>
            <w:tcW w:type="dxa" w:w="1883"/>
            <w:vMerge/>
            <w:tcBorders>
              <w:bottom w:sz="8.0" w:val="single" w:color="#000000"/>
            </w:tcBorders>
          </w:tcPr>
          <w:p/>
        </w:tc>
        <w:tc>
          <w:tcPr>
            <w:tcW w:type="dxa" w:w="10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7,154 </w:t>
            </w:r>
          </w:p>
        </w:tc>
      </w:tr>
      <w:tr>
        <w:trPr>
          <w:trHeight w:hRule="exact" w:val="256"/>
        </w:trPr>
        <w:tc>
          <w:tcPr>
            <w:tcW w:type="dxa" w:w="58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8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44,923 </w:t>
            </w:r>
          </w:p>
        </w:tc>
        <w:tc>
          <w:tcPr>
            <w:tcW w:type="dxa" w:w="7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32,567 </w:t>
            </w:r>
          </w:p>
        </w:tc>
      </w:tr>
    </w:tbl>
    <w:p>
      <w:pPr>
        <w:autoSpaceDN w:val="0"/>
        <w:tabs>
          <w:tab w:pos="142" w:val="left"/>
        </w:tabs>
        <w:autoSpaceDE w:val="0"/>
        <w:widowControl/>
        <w:spacing w:line="216" w:lineRule="exact" w:before="252" w:after="6"/>
        <w:ind w:left="52" w:right="3456" w:firstLine="0"/>
        <w:jc w:val="left"/>
      </w:pPr>
      <w:r>
        <w:rPr>
          <w:rFonts w:ascii="Arial" w:hAnsi="Arial" w:eastAsia="Arial"/>
          <w:b/>
          <w:i/>
          <w:color w:val="000000"/>
          <w:sz w:val="18"/>
        </w:rPr>
        <w:t xml:space="preserve">Securities sold under repurchase agreements, securities lent under </w:t>
      </w:r>
      <w:r>
        <w:rPr>
          <w:rFonts w:ascii="Arial" w:hAnsi="Arial" w:eastAsia="Arial"/>
          <w:b/>
          <w:i/>
          <w:color w:val="000000"/>
          <w:sz w:val="18"/>
        </w:rPr>
        <w:t xml:space="preserve">securities lending agreements, and payable for cash collateral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3139"/>
        <w:gridCol w:w="3139"/>
        <w:gridCol w:w="3139"/>
      </w:tblGrid>
      <w:tr>
        <w:trPr>
          <w:trHeight w:hRule="exact" w:val="364"/>
        </w:trPr>
        <w:tc>
          <w:tcPr>
            <w:tcW w:type="dxa" w:w="5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8" w:after="0"/>
              <w:ind w:left="122" w:right="0" w:firstLine="0"/>
              <w:jc w:val="left"/>
            </w:pPr>
            <w:r>
              <w:rPr>
                <w:rFonts w:ascii="Arial" w:hAnsi="Arial" w:eastAsia="Arial"/>
                <w:b/>
                <w:i/>
                <w:color w:val="000000"/>
                <w:sz w:val="18"/>
              </w:rPr>
              <w:t>received—Notes C and J</w:t>
            </w:r>
          </w:p>
        </w:tc>
        <w:tc>
          <w:tcPr>
            <w:tcW w:type="dxa" w:w="2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8" w:after="0"/>
              <w:ind w:left="0" w:right="6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71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8" w:after="0"/>
              <w:ind w:left="0" w:right="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221 </w:t>
            </w:r>
          </w:p>
        </w:tc>
      </w:tr>
      <w:tr>
        <w:trPr>
          <w:trHeight w:hRule="exact" w:val="520"/>
        </w:trPr>
        <w:tc>
          <w:tcPr>
            <w:tcW w:type="dxa" w:w="5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54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/>
                <w:color w:val="000000"/>
                <w:sz w:val="18"/>
              </w:rPr>
              <w:t>Derivative liabilities, net—Notes C, F, H and J</w:t>
            </w:r>
          </w:p>
        </w:tc>
        <w:tc>
          <w:tcPr>
            <w:tcW w:type="dxa" w:w="2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54" w:after="0"/>
              <w:ind w:left="0" w:right="6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667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54" w:after="0"/>
              <w:ind w:left="0" w:right="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1,244 </w:t>
            </w:r>
          </w:p>
        </w:tc>
      </w:tr>
      <w:tr>
        <w:trPr>
          <w:trHeight w:hRule="exact" w:val="540"/>
        </w:trPr>
        <w:tc>
          <w:tcPr>
            <w:tcW w:type="dxa" w:w="5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74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/>
                <w:color w:val="000000"/>
                <w:sz w:val="18"/>
              </w:rPr>
              <w:t>Payable for development grants</w:t>
            </w:r>
          </w:p>
        </w:tc>
        <w:tc>
          <w:tcPr>
            <w:tcW w:type="dxa" w:w="2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74" w:after="0"/>
              <w:ind w:left="0" w:right="6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1,706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74" w:after="0"/>
              <w:ind w:left="0" w:right="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3,092 </w:t>
            </w:r>
          </w:p>
        </w:tc>
      </w:tr>
      <w:tr>
        <w:trPr>
          <w:trHeight w:hRule="exact" w:val="436"/>
        </w:trPr>
        <w:tc>
          <w:tcPr>
            <w:tcW w:type="dxa" w:w="5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74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/>
                <w:color w:val="000000"/>
                <w:sz w:val="18"/>
              </w:rPr>
              <w:t>Payable to affiliated organization—Note H</w:t>
            </w:r>
          </w:p>
        </w:tc>
        <w:tc>
          <w:tcPr>
            <w:tcW w:type="dxa" w:w="2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74" w:after="0"/>
              <w:ind w:left="0" w:right="6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279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74" w:after="0"/>
              <w:ind w:left="0" w:right="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594 </w:t>
            </w:r>
          </w:p>
        </w:tc>
      </w:tr>
    </w:tbl>
    <w:p>
      <w:pPr>
        <w:autoSpaceDN w:val="0"/>
        <w:autoSpaceDE w:val="0"/>
        <w:widowControl/>
        <w:spacing w:line="202" w:lineRule="exact" w:before="278" w:after="26"/>
        <w:ind w:left="52" w:right="0" w:firstLine="0"/>
        <w:jc w:val="left"/>
      </w:pPr>
      <w:r>
        <w:rPr>
          <w:rFonts w:ascii="Arial" w:hAnsi="Arial" w:eastAsia="Arial"/>
          <w:b/>
          <w:i/>
          <w:color w:val="000000"/>
          <w:sz w:val="18"/>
        </w:rPr>
        <w:t>Other liabilities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3139"/>
        <w:gridCol w:w="3139"/>
        <w:gridCol w:w="3139"/>
      </w:tblGrid>
      <w:tr>
        <w:trPr>
          <w:trHeight w:hRule="exact" w:val="238"/>
        </w:trPr>
        <w:tc>
          <w:tcPr>
            <w:tcW w:type="dxa" w:w="59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Payable for investment securities purchased—</w:t>
            </w: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Note C</w:t>
            </w:r>
          </w:p>
        </w:tc>
        <w:tc>
          <w:tcPr>
            <w:tcW w:type="dxa" w:w="16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648 </w:t>
            </w:r>
          </w:p>
        </w:tc>
        <w:tc>
          <w:tcPr>
            <w:tcW w:type="dxa" w:w="17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1,322 </w:t>
            </w:r>
          </w:p>
        </w:tc>
      </w:tr>
      <w:tr>
        <w:trPr>
          <w:trHeight w:hRule="exact" w:val="274"/>
        </w:trPr>
        <w:tc>
          <w:tcPr>
            <w:tcW w:type="dxa" w:w="595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4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Accounts payable and miscellaneous liabilities—</w:t>
            </w: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Note D and K</w:t>
            </w:r>
          </w:p>
        </w:tc>
        <w:tc>
          <w:tcPr>
            <w:tcW w:type="dxa" w:w="162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2,755 </w:t>
            </w:r>
          </w:p>
        </w:tc>
        <w:tc>
          <w:tcPr>
            <w:tcW w:type="dxa" w:w="17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2,660 </w:t>
            </w:r>
          </w:p>
        </w:tc>
      </w:tr>
      <w:tr>
        <w:trPr>
          <w:trHeight w:hRule="exact" w:val="256"/>
        </w:trPr>
        <w:tc>
          <w:tcPr>
            <w:tcW w:type="dxa" w:w="59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3,403 </w:t>
            </w:r>
          </w:p>
        </w:tc>
        <w:tc>
          <w:tcPr>
            <w:tcW w:type="dxa" w:w="17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3,982 </w:t>
            </w:r>
          </w:p>
        </w:tc>
      </w:tr>
      <w:tr>
        <w:trPr>
          <w:trHeight w:hRule="exact" w:val="256"/>
        </w:trPr>
        <w:tc>
          <w:tcPr>
            <w:tcW w:type="dxa" w:w="59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Total liabilities</w:t>
            </w:r>
          </w:p>
        </w:tc>
        <w:tc>
          <w:tcPr>
            <w:tcW w:type="dxa" w:w="16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51,049 </w:t>
            </w:r>
          </w:p>
        </w:tc>
        <w:tc>
          <w:tcPr>
            <w:tcW w:type="dxa" w:w="17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41,700 </w:t>
            </w:r>
          </w:p>
        </w:tc>
      </w:tr>
    </w:tbl>
    <w:p>
      <w:pPr>
        <w:autoSpaceDN w:val="0"/>
        <w:autoSpaceDE w:val="0"/>
        <w:widowControl/>
        <w:spacing w:line="202" w:lineRule="exact" w:before="338" w:after="0"/>
        <w:ind w:left="5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8"/>
        </w:rPr>
        <w:t>Equity</w:t>
      </w:r>
    </w:p>
    <w:p>
      <w:pPr>
        <w:autoSpaceDN w:val="0"/>
        <w:autoSpaceDE w:val="0"/>
        <w:widowControl/>
        <w:spacing w:line="200" w:lineRule="exact" w:before="54" w:after="28"/>
        <w:ind w:left="52" w:right="0" w:firstLine="0"/>
        <w:jc w:val="left"/>
      </w:pPr>
      <w:r>
        <w:rPr>
          <w:rFonts w:ascii="Arial" w:hAnsi="Arial" w:eastAsia="Arial"/>
          <w:b/>
          <w:i/>
          <w:color w:val="000000"/>
          <w:sz w:val="18"/>
        </w:rPr>
        <w:t>Members' subscriptions and contributions—Note B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3139"/>
        <w:gridCol w:w="3139"/>
        <w:gridCol w:w="3139"/>
      </w:tblGrid>
      <w:tr>
        <w:trPr>
          <w:trHeight w:hRule="exact" w:val="252"/>
        </w:trPr>
        <w:tc>
          <w:tcPr>
            <w:tcW w:type="dxa" w:w="58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6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Unrestricted</w:t>
            </w:r>
          </w:p>
        </w:tc>
        <w:tc>
          <w:tcPr>
            <w:tcW w:type="dxa" w:w="16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310,663 </w:t>
            </w:r>
          </w:p>
        </w:tc>
        <w:tc>
          <w:tcPr>
            <w:tcW w:type="dxa" w:w="17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310,351 </w:t>
            </w:r>
          </w:p>
        </w:tc>
      </w:tr>
      <w:tr>
        <w:trPr>
          <w:trHeight w:hRule="exact" w:val="260"/>
        </w:trPr>
        <w:tc>
          <w:tcPr>
            <w:tcW w:type="dxa" w:w="587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Restricted</w:t>
            </w:r>
          </w:p>
        </w:tc>
        <w:tc>
          <w:tcPr>
            <w:tcW w:type="dxa" w:w="162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320 </w:t>
            </w:r>
          </w:p>
        </w:tc>
        <w:tc>
          <w:tcPr>
            <w:tcW w:type="dxa" w:w="17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321 </w:t>
            </w:r>
          </w:p>
        </w:tc>
      </w:tr>
      <w:tr>
        <w:trPr>
          <w:trHeight w:hRule="exact" w:val="252"/>
        </w:trPr>
        <w:tc>
          <w:tcPr>
            <w:tcW w:type="dxa" w:w="587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Subscriptions and contributions committed</w:t>
            </w:r>
          </w:p>
        </w:tc>
        <w:tc>
          <w:tcPr>
            <w:tcW w:type="dxa" w:w="162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310,983 </w:t>
            </w:r>
          </w:p>
        </w:tc>
        <w:tc>
          <w:tcPr>
            <w:tcW w:type="dxa" w:w="177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310,672 </w:t>
            </w:r>
          </w:p>
        </w:tc>
      </w:tr>
    </w:tbl>
    <w:p>
      <w:pPr>
        <w:autoSpaceDN w:val="0"/>
        <w:autoSpaceDE w:val="0"/>
        <w:widowControl/>
        <w:spacing w:line="200" w:lineRule="exact" w:before="28" w:after="28"/>
        <w:ind w:left="23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8"/>
        </w:rPr>
        <w:t>Less: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3139"/>
        <w:gridCol w:w="3139"/>
        <w:gridCol w:w="3139"/>
      </w:tblGrid>
      <w:tr>
        <w:trPr>
          <w:trHeight w:hRule="exact" w:val="252"/>
        </w:trPr>
        <w:tc>
          <w:tcPr>
            <w:tcW w:type="dxa" w:w="58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6" w:after="0"/>
              <w:ind w:left="2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Subscriptions and contributions receivable</w:t>
            </w:r>
          </w:p>
        </w:tc>
        <w:tc>
          <w:tcPr>
            <w:tcW w:type="dxa" w:w="176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6" w:after="0"/>
              <w:ind w:left="0" w:right="1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(26,690) </w:t>
            </w:r>
          </w:p>
        </w:tc>
        <w:tc>
          <w:tcPr>
            <w:tcW w:type="dxa" w:w="1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6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(35,201) </w:t>
            </w:r>
          </w:p>
        </w:tc>
      </w:tr>
      <w:tr>
        <w:trPr>
          <w:trHeight w:hRule="exact" w:val="260"/>
        </w:trPr>
        <w:tc>
          <w:tcPr>
            <w:tcW w:type="dxa" w:w="587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Cumulative discounts/credits on subscriptions and contributions, net</w:t>
            </w:r>
          </w:p>
        </w:tc>
        <w:tc>
          <w:tcPr>
            <w:tcW w:type="dxa" w:w="1768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0" w:right="1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(4,220) </w:t>
            </w:r>
          </w:p>
        </w:tc>
        <w:tc>
          <w:tcPr>
            <w:tcW w:type="dxa" w:w="165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(4,213) </w:t>
            </w:r>
          </w:p>
        </w:tc>
      </w:tr>
      <w:tr>
        <w:trPr>
          <w:trHeight w:hRule="exact" w:val="286"/>
        </w:trPr>
        <w:tc>
          <w:tcPr>
            <w:tcW w:type="dxa" w:w="587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Subscriptions and contributions paid-in</w:t>
            </w:r>
          </w:p>
        </w:tc>
        <w:tc>
          <w:tcPr>
            <w:tcW w:type="dxa" w:w="1768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17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280,073 </w:t>
            </w:r>
          </w:p>
        </w:tc>
        <w:tc>
          <w:tcPr>
            <w:tcW w:type="dxa" w:w="165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271,258 </w:t>
            </w:r>
          </w:p>
        </w:tc>
      </w:tr>
    </w:tbl>
    <w:p>
      <w:pPr>
        <w:autoSpaceDN w:val="0"/>
        <w:tabs>
          <w:tab w:pos="126" w:val="left"/>
        </w:tabs>
        <w:autoSpaceDE w:val="0"/>
        <w:widowControl/>
        <w:spacing w:line="180" w:lineRule="exact" w:before="300" w:after="26"/>
        <w:ind w:left="52" w:right="360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8"/>
        </w:rPr>
        <w:t xml:space="preserve">Nonnegotiable, non interest-bearing demand obligations on account of </w:t>
      </w:r>
      <w:r>
        <w:rPr>
          <w:rFonts w:ascii="ArialMT" w:hAnsi="ArialMT" w:eastAsia="ArialMT"/>
          <w:b w:val="0"/>
          <w:i w:val="0"/>
          <w:color w:val="000000"/>
          <w:sz w:val="18"/>
        </w:rPr>
        <w:t>members' subscriptions and contributions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1883"/>
        <w:gridCol w:w="1883"/>
        <w:gridCol w:w="1883"/>
        <w:gridCol w:w="1883"/>
        <w:gridCol w:w="1883"/>
      </w:tblGrid>
      <w:tr>
        <w:trPr>
          <w:trHeight w:hRule="exact" w:val="248"/>
        </w:trPr>
        <w:tc>
          <w:tcPr>
            <w:tcW w:type="dxa" w:w="59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Unrestricted</w:t>
            </w:r>
          </w:p>
        </w:tc>
        <w:tc>
          <w:tcPr>
            <w:tcW w:type="dxa" w:w="54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2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0" w:right="1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(12,508) </w:t>
            </w:r>
          </w:p>
        </w:tc>
        <w:tc>
          <w:tcPr>
            <w:tcW w:type="dxa" w:w="53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(13,431) </w:t>
            </w:r>
          </w:p>
        </w:tc>
      </w:tr>
      <w:tr>
        <w:trPr>
          <w:trHeight w:hRule="exact" w:val="266"/>
        </w:trPr>
        <w:tc>
          <w:tcPr>
            <w:tcW w:type="dxa" w:w="595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4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Restricted</w:t>
            </w:r>
          </w:p>
        </w:tc>
        <w:tc>
          <w:tcPr>
            <w:tcW w:type="dxa" w:w="1883"/>
            <w:vMerge/>
            <w:tcBorders>
              <w:bottom w:sz="8.0" w:val="single" w:color="#000000"/>
            </w:tcBorders>
          </w:tcPr>
          <w:p/>
        </w:tc>
        <w:tc>
          <w:tcPr>
            <w:tcW w:type="dxa" w:w="122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4" w:after="0"/>
              <w:ind w:left="0" w:right="1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(45) </w:t>
            </w:r>
          </w:p>
        </w:tc>
        <w:tc>
          <w:tcPr>
            <w:tcW w:type="dxa" w:w="1883"/>
            <w:vMerge/>
            <w:tcBorders>
              <w:bottom w:sz="8.0" w:val="single" w:color="#000000"/>
            </w:tcBorders>
          </w:tcPr>
          <w:p/>
        </w:tc>
        <w:tc>
          <w:tcPr>
            <w:tcW w:type="dxa" w:w="11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4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(46) </w:t>
            </w:r>
          </w:p>
        </w:tc>
      </w:tr>
      <w:tr>
        <w:trPr>
          <w:trHeight w:hRule="exact" w:val="254"/>
        </w:trPr>
        <w:tc>
          <w:tcPr>
            <w:tcW w:type="dxa" w:w="59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4" w:after="0"/>
              <w:ind w:left="0" w:right="1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(12,553) </w:t>
            </w:r>
          </w:p>
        </w:tc>
        <w:tc>
          <w:tcPr>
            <w:tcW w:type="dxa" w:w="5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4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(13,477) </w:t>
            </w:r>
          </w:p>
        </w:tc>
      </w:tr>
      <w:tr>
        <w:trPr>
          <w:trHeight w:hRule="exact" w:val="680"/>
        </w:trPr>
        <w:tc>
          <w:tcPr>
            <w:tcW w:type="dxa" w:w="595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0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/>
                <w:color w:val="000000"/>
                <w:sz w:val="18"/>
              </w:rPr>
              <w:t>Deferred amounts to maintain value of currency holdings</w:t>
            </w:r>
          </w:p>
        </w:tc>
        <w:tc>
          <w:tcPr>
            <w:tcW w:type="dxa" w:w="54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22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0" w:after="0"/>
              <w:ind w:left="0" w:right="1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(248) </w:t>
            </w:r>
          </w:p>
        </w:tc>
        <w:tc>
          <w:tcPr>
            <w:tcW w:type="dxa" w:w="536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1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0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(247) </w:t>
            </w:r>
          </w:p>
        </w:tc>
      </w:tr>
      <w:tr>
        <w:trPr>
          <w:trHeight w:hRule="exact" w:val="540"/>
        </w:trPr>
        <w:tc>
          <w:tcPr>
            <w:tcW w:type="dxa" w:w="59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70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/>
                <w:color w:val="000000"/>
                <w:sz w:val="18"/>
              </w:rPr>
              <w:t>Accumulated deficit</w:t>
            </w:r>
          </w:p>
        </w:tc>
        <w:tc>
          <w:tcPr>
            <w:tcW w:type="dxa" w:w="1883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2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70" w:after="0"/>
              <w:ind w:left="0" w:right="1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(66,379) </w:t>
            </w:r>
          </w:p>
        </w:tc>
        <w:tc>
          <w:tcPr>
            <w:tcW w:type="dxa" w:w="1883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70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(62,806) </w:t>
            </w:r>
          </w:p>
        </w:tc>
      </w:tr>
      <w:tr>
        <w:trPr>
          <w:trHeight w:hRule="exact" w:val="654"/>
        </w:trPr>
        <w:tc>
          <w:tcPr>
            <w:tcW w:type="dxa" w:w="595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70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/>
                <w:color w:val="000000"/>
                <w:sz w:val="18"/>
              </w:rPr>
              <w:t>Accumulated other comprehensive loss—Note I</w:t>
            </w:r>
          </w:p>
        </w:tc>
        <w:tc>
          <w:tcPr>
            <w:tcW w:type="dxa" w:w="1883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22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70" w:after="0"/>
              <w:ind w:left="0" w:right="1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(10,592) </w:t>
            </w:r>
          </w:p>
        </w:tc>
        <w:tc>
          <w:tcPr>
            <w:tcW w:type="dxa" w:w="1883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1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70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(8,946) </w:t>
            </w:r>
          </w:p>
        </w:tc>
      </w:tr>
      <w:tr>
        <w:trPr>
          <w:trHeight w:hRule="exact" w:val="256"/>
        </w:trPr>
        <w:tc>
          <w:tcPr>
            <w:tcW w:type="dxa" w:w="59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Total equity</w:t>
            </w:r>
          </w:p>
        </w:tc>
        <w:tc>
          <w:tcPr>
            <w:tcW w:type="dxa" w:w="5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17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190,301 </w:t>
            </w:r>
          </w:p>
        </w:tc>
        <w:tc>
          <w:tcPr>
            <w:tcW w:type="dxa" w:w="5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185,782 </w:t>
            </w:r>
          </w:p>
        </w:tc>
      </w:tr>
      <w:tr>
        <w:trPr>
          <w:trHeight w:hRule="exact" w:val="550"/>
        </w:trPr>
        <w:tc>
          <w:tcPr>
            <w:tcW w:type="dxa" w:w="59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30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Total liabilities and equity</w:t>
            </w:r>
          </w:p>
        </w:tc>
        <w:tc>
          <w:tcPr>
            <w:tcW w:type="dxa" w:w="5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3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12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30" w:after="0"/>
              <w:ind w:left="0" w:right="17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241,350 </w:t>
            </w:r>
          </w:p>
        </w:tc>
        <w:tc>
          <w:tcPr>
            <w:tcW w:type="dxa" w:w="5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30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11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3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227,482 </w:t>
            </w:r>
          </w:p>
        </w:tc>
      </w:tr>
      <w:tr>
        <w:trPr>
          <w:trHeight w:hRule="exact" w:val="50"/>
        </w:trPr>
        <w:tc>
          <w:tcPr>
            <w:tcW w:type="dxa" w:w="595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4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2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3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0" w:lineRule="exact" w:before="474" w:after="0"/>
        <w:ind w:left="0" w:right="0" w:firstLine="0"/>
        <w:jc w:val="center"/>
      </w:pPr>
      <w:r>
        <w:rPr>
          <w:rFonts w:ascii="Arial" w:hAnsi="Arial" w:eastAsia="Arial"/>
          <w:b/>
          <w:i/>
          <w:color w:val="000000"/>
          <w:sz w:val="18"/>
        </w:rPr>
        <w:t>The Notes to Financial Statements are an integral part of these Statements.</w:t>
      </w:r>
    </w:p>
    <w:p>
      <w:pPr>
        <w:autoSpaceDN w:val="0"/>
        <w:tabs>
          <w:tab w:pos="9084" w:val="left"/>
        </w:tabs>
        <w:autoSpaceDE w:val="0"/>
        <w:widowControl/>
        <w:spacing w:line="224" w:lineRule="exact" w:before="772" w:after="0"/>
        <w:ind w:left="498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Financial Statements: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67</w:t>
      </w:r>
    </w:p>
    <w:p>
      <w:pPr>
        <w:sectPr>
          <w:pgSz w:w="12240" w:h="15840"/>
          <w:pgMar w:top="552" w:right="1384" w:bottom="2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4"/>
        <w:ind w:left="0" w:right="0"/>
      </w:pPr>
    </w:p>
    <w:p>
      <w:pPr>
        <w:autoSpaceDN w:val="0"/>
        <w:autoSpaceDE w:val="0"/>
        <w:widowControl/>
        <w:spacing w:line="260" w:lineRule="exact" w:before="54" w:after="0"/>
        <w:ind w:left="0" w:right="2592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STATEMENTS OF INCOME </w:t>
      </w:r>
      <w:r>
        <w:br/>
      </w:r>
      <w:r>
        <w:rPr>
          <w:rFonts w:ascii="Arial" w:hAnsi="Arial" w:eastAsia="Arial"/>
          <w:b w:val="0"/>
          <w:i/>
          <w:color w:val="000000"/>
          <w:sz w:val="20"/>
        </w:rPr>
        <w:t>For the fiscal years ended June 30, 2024, June 30, 2023 and June 30, 2022</w:t>
      </w:r>
    </w:p>
    <w:p>
      <w:pPr>
        <w:autoSpaceDN w:val="0"/>
        <w:autoSpaceDE w:val="0"/>
        <w:widowControl/>
        <w:spacing w:line="224" w:lineRule="exact" w:before="400" w:after="38"/>
        <w:ind w:left="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0"/>
        </w:rPr>
        <w:t>Expressed 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990.0" w:type="dxa"/>
      </w:tblPr>
      <w:tblGrid>
        <w:gridCol w:w="3139"/>
        <w:gridCol w:w="3139"/>
        <w:gridCol w:w="3139"/>
      </w:tblGrid>
      <w:tr>
        <w:trPr>
          <w:trHeight w:hRule="exact" w:val="268"/>
        </w:trPr>
        <w:tc>
          <w:tcPr>
            <w:tcW w:type="dxa" w:w="11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2024</w:t>
            </w:r>
          </w:p>
        </w:tc>
        <w:tc>
          <w:tcPr>
            <w:tcW w:type="dxa" w:w="11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2023</w:t>
            </w:r>
          </w:p>
        </w:tc>
        <w:tc>
          <w:tcPr>
            <w:tcW w:type="dxa" w:w="11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2022</w:t>
            </w:r>
          </w:p>
        </w:tc>
      </w:tr>
    </w:tbl>
    <w:p>
      <w:pPr>
        <w:autoSpaceDN w:val="0"/>
        <w:autoSpaceDE w:val="0"/>
        <w:widowControl/>
        <w:spacing w:line="200" w:lineRule="exact" w:before="26" w:after="26"/>
        <w:ind w:left="52" w:right="0" w:firstLine="0"/>
        <w:jc w:val="left"/>
      </w:pPr>
      <w:r>
        <w:rPr>
          <w:rFonts w:ascii="Arial" w:hAnsi="Arial" w:eastAsia="Arial"/>
          <w:b/>
          <w:i/>
          <w:color w:val="000000"/>
          <w:sz w:val="18"/>
        </w:rPr>
        <w:t>Interest revenue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1883"/>
        <w:gridCol w:w="1883"/>
        <w:gridCol w:w="1883"/>
        <w:gridCol w:w="1883"/>
        <w:gridCol w:w="1883"/>
      </w:tblGrid>
      <w:tr>
        <w:trPr>
          <w:trHeight w:hRule="exact" w:val="254"/>
        </w:trPr>
        <w:tc>
          <w:tcPr>
            <w:tcW w:type="dxa" w:w="59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8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Loans, net—</w:t>
            </w: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Note D</w:t>
            </w:r>
          </w:p>
        </w:tc>
        <w:tc>
          <w:tcPr>
            <w:tcW w:type="dxa" w:w="35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2,639 $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2,256 $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8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1,960 </w:t>
            </w:r>
          </w:p>
        </w:tc>
      </w:tr>
      <w:tr>
        <w:trPr>
          <w:trHeight w:hRule="exact" w:val="240"/>
        </w:trPr>
        <w:tc>
          <w:tcPr>
            <w:tcW w:type="dxa" w:w="59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Investments, net—</w:t>
            </w: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Notes C, F, H and J</w:t>
            </w:r>
          </w:p>
        </w:tc>
        <w:tc>
          <w:tcPr>
            <w:tcW w:type="dxa" w:w="1883"/>
            <w:vMerge/>
            <w:tcBorders>
              <w:bottom w:sz="8.0" w:val="single" w:color="#000000"/>
            </w:tcBorders>
          </w:tcPr>
          <w:p/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21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1,317 </w:t>
            </w:r>
          </w:p>
        </w:tc>
        <w:tc>
          <w:tcPr>
            <w:tcW w:type="dxa" w:w="11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19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1,053 </w:t>
            </w:r>
          </w:p>
        </w:tc>
        <w:tc>
          <w:tcPr>
            <w:tcW w:type="dxa" w:w="7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189 </w:t>
            </w:r>
          </w:p>
        </w:tc>
      </w:tr>
      <w:tr>
        <w:trPr>
          <w:trHeight w:hRule="exact" w:val="380"/>
        </w:trPr>
        <w:tc>
          <w:tcPr>
            <w:tcW w:type="dxa" w:w="59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4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Asset-liability management derivatives, net—</w:t>
            </w: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Notes F and J</w:t>
            </w:r>
          </w:p>
        </w:tc>
        <w:tc>
          <w:tcPr>
            <w:tcW w:type="dxa" w:w="1883"/>
            <w:vMerge/>
            <w:tcBorders>
              <w:bottom w:sz="8.0" w:val="single" w:color="#000000"/>
            </w:tcBorders>
          </w:tcPr>
          <w:p/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58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15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4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 </w:t>
            </w:r>
          </w:p>
        </w:tc>
      </w:tr>
      <w:tr>
        <w:trPr>
          <w:trHeight w:hRule="exact" w:val="660"/>
        </w:trPr>
        <w:tc>
          <w:tcPr>
            <w:tcW w:type="dxa" w:w="59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70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/>
                <w:color w:val="000000"/>
                <w:sz w:val="18"/>
              </w:rPr>
              <w:t>Borrowing expenses, net—Note E</w:t>
            </w:r>
          </w:p>
        </w:tc>
        <w:tc>
          <w:tcPr>
            <w:tcW w:type="dxa" w:w="1883"/>
            <w:vMerge/>
            <w:tcBorders>
              <w:bottom w:sz="8.0" w:val="single" w:color="#000000"/>
            </w:tcBorders>
          </w:tcPr>
          <w:p/>
        </w:tc>
        <w:tc>
          <w:tcPr>
            <w:tcW w:type="dxa" w:w="11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74" w:after="0"/>
              <w:ind w:left="1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(1,616) </w:t>
            </w:r>
          </w:p>
        </w:tc>
        <w:tc>
          <w:tcPr>
            <w:tcW w:type="dxa" w:w="11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74" w:after="0"/>
              <w:ind w:left="0" w:right="3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(957) </w:t>
            </w:r>
          </w:p>
        </w:tc>
        <w:tc>
          <w:tcPr>
            <w:tcW w:type="dxa" w:w="7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74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(249) </w:t>
            </w:r>
          </w:p>
        </w:tc>
      </w:tr>
      <w:tr>
        <w:trPr>
          <w:trHeight w:hRule="exact" w:val="254"/>
        </w:trPr>
        <w:tc>
          <w:tcPr>
            <w:tcW w:type="dxa" w:w="59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/>
                <w:color w:val="000000"/>
                <w:sz w:val="18"/>
              </w:rPr>
              <w:t>Interest revenue, net of borrowing expenses</w:t>
            </w:r>
          </w:p>
        </w:tc>
        <w:tc>
          <w:tcPr>
            <w:tcW w:type="dxa" w:w="3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21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2,398 </w:t>
            </w:r>
          </w:p>
        </w:tc>
        <w:tc>
          <w:tcPr>
            <w:tcW w:type="dxa" w:w="11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19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2,367 </w:t>
            </w:r>
          </w:p>
        </w:tc>
        <w:tc>
          <w:tcPr>
            <w:tcW w:type="dxa" w:w="7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1,901 </w:t>
            </w:r>
          </w:p>
        </w:tc>
      </w:tr>
      <w:tr>
        <w:trPr>
          <w:trHeight w:hRule="exact" w:val="542"/>
        </w:trPr>
        <w:tc>
          <w:tcPr>
            <w:tcW w:type="dxa" w:w="597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70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/>
                <w:color w:val="000000"/>
                <w:sz w:val="18"/>
              </w:rPr>
              <w:t>Provision for losses on loans and other exposures—Note D</w:t>
            </w:r>
          </w:p>
        </w:tc>
        <w:tc>
          <w:tcPr>
            <w:tcW w:type="dxa" w:w="3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7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(275) </w:t>
            </w:r>
          </w:p>
        </w:tc>
        <w:tc>
          <w:tcPr>
            <w:tcW w:type="dxa" w:w="11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70" w:after="0"/>
              <w:ind w:left="0" w:right="3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(688) </w:t>
            </w:r>
          </w:p>
        </w:tc>
        <w:tc>
          <w:tcPr>
            <w:tcW w:type="dxa" w:w="7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70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(278) </w:t>
            </w:r>
          </w:p>
        </w:tc>
      </w:tr>
    </w:tbl>
    <w:p>
      <w:pPr>
        <w:autoSpaceDN w:val="0"/>
        <w:autoSpaceDE w:val="0"/>
        <w:widowControl/>
        <w:spacing w:line="202" w:lineRule="exact" w:before="248" w:after="26"/>
        <w:ind w:left="52" w:right="0" w:firstLine="0"/>
        <w:jc w:val="left"/>
      </w:pPr>
      <w:r>
        <w:rPr>
          <w:rFonts w:ascii="Arial" w:hAnsi="Arial" w:eastAsia="Arial"/>
          <w:b/>
          <w:i/>
          <w:color w:val="000000"/>
          <w:sz w:val="18"/>
        </w:rPr>
        <w:t>Non-interest revenue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2354"/>
        <w:gridCol w:w="2354"/>
        <w:gridCol w:w="2354"/>
        <w:gridCol w:w="2354"/>
      </w:tblGrid>
      <w:tr>
        <w:trPr>
          <w:trHeight w:hRule="exact" w:val="248"/>
        </w:trPr>
        <w:tc>
          <w:tcPr>
            <w:tcW w:type="dxa" w:w="5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Revenue from externally funded activities—</w:t>
            </w: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Notes H and K</w:t>
            </w:r>
          </w:p>
        </w:tc>
        <w:tc>
          <w:tcPr>
            <w:tcW w:type="dxa" w:w="11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1,031 </w:t>
            </w:r>
          </w:p>
        </w:tc>
        <w:tc>
          <w:tcPr>
            <w:tcW w:type="dxa" w:w="11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966 </w:t>
            </w:r>
          </w:p>
        </w:tc>
        <w:tc>
          <w:tcPr>
            <w:tcW w:type="dxa" w:w="11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865 </w:t>
            </w:r>
          </w:p>
        </w:tc>
      </w:tr>
      <w:tr>
        <w:trPr>
          <w:trHeight w:hRule="exact" w:val="260"/>
        </w:trPr>
        <w:tc>
          <w:tcPr>
            <w:tcW w:type="dxa" w:w="5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4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Commitment charges—</w:t>
            </w: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Note D</w:t>
            </w:r>
          </w:p>
        </w:tc>
        <w:tc>
          <w:tcPr>
            <w:tcW w:type="dxa" w:w="11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26 </w:t>
            </w:r>
          </w:p>
        </w:tc>
        <w:tc>
          <w:tcPr>
            <w:tcW w:type="dxa" w:w="11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27 </w:t>
            </w:r>
          </w:p>
        </w:tc>
        <w:tc>
          <w:tcPr>
            <w:tcW w:type="dxa" w:w="11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24 </w:t>
            </w:r>
          </w:p>
        </w:tc>
      </w:tr>
      <w:tr>
        <w:trPr>
          <w:trHeight w:hRule="exact" w:val="260"/>
        </w:trPr>
        <w:tc>
          <w:tcPr>
            <w:tcW w:type="dxa" w:w="58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Other</w:t>
            </w:r>
          </w:p>
        </w:tc>
        <w:tc>
          <w:tcPr>
            <w:tcW w:type="dxa" w:w="1100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25 </w:t>
            </w:r>
          </w:p>
        </w:tc>
        <w:tc>
          <w:tcPr>
            <w:tcW w:type="dxa" w:w="1140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31 </w:t>
            </w:r>
          </w:p>
        </w:tc>
        <w:tc>
          <w:tcPr>
            <w:tcW w:type="dxa" w:w="1140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22 </w:t>
            </w:r>
          </w:p>
        </w:tc>
      </w:tr>
      <w:tr>
        <w:trPr>
          <w:trHeight w:hRule="exact" w:val="254"/>
        </w:trPr>
        <w:tc>
          <w:tcPr>
            <w:tcW w:type="dxa" w:w="58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3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1,082 </w:t>
            </w:r>
          </w:p>
        </w:tc>
        <w:tc>
          <w:tcPr>
            <w:tcW w:type="dxa" w:w="11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1,024 </w:t>
            </w:r>
          </w:p>
        </w:tc>
        <w:tc>
          <w:tcPr>
            <w:tcW w:type="dxa" w:w="11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911 </w:t>
            </w:r>
          </w:p>
        </w:tc>
      </w:tr>
    </w:tbl>
    <w:p>
      <w:pPr>
        <w:autoSpaceDN w:val="0"/>
        <w:autoSpaceDE w:val="0"/>
        <w:widowControl/>
        <w:spacing w:line="202" w:lineRule="exact" w:before="340" w:after="26"/>
        <w:ind w:left="52" w:right="0" w:firstLine="0"/>
        <w:jc w:val="left"/>
      </w:pPr>
      <w:r>
        <w:rPr>
          <w:rFonts w:ascii="Arial" w:hAnsi="Arial" w:eastAsia="Arial"/>
          <w:b/>
          <w:i/>
          <w:color w:val="000000"/>
          <w:sz w:val="18"/>
        </w:rPr>
        <w:t>Non-interest expenses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2354"/>
        <w:gridCol w:w="2354"/>
        <w:gridCol w:w="2354"/>
        <w:gridCol w:w="2354"/>
      </w:tblGrid>
      <w:tr>
        <w:trPr>
          <w:trHeight w:hRule="exact" w:val="238"/>
        </w:trPr>
        <w:tc>
          <w:tcPr>
            <w:tcW w:type="dxa" w:w="59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Administrative—</w:t>
            </w: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Notes H and K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0" w:right="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(2,435) </w:t>
            </w:r>
          </w:p>
        </w:tc>
        <w:tc>
          <w:tcPr>
            <w:tcW w:type="dxa" w:w="11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0" w:right="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(2,410) </w:t>
            </w:r>
          </w:p>
        </w:tc>
        <w:tc>
          <w:tcPr>
            <w:tcW w:type="dxa" w:w="113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(2,238) </w:t>
            </w:r>
          </w:p>
        </w:tc>
      </w:tr>
      <w:tr>
        <w:trPr>
          <w:trHeight w:hRule="exact" w:val="260"/>
        </w:trPr>
        <w:tc>
          <w:tcPr>
            <w:tcW w:type="dxa" w:w="59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4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Contribution to special programs—</w:t>
            </w: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Note H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4" w:after="0"/>
              <w:ind w:left="0" w:right="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(20) </w:t>
            </w:r>
          </w:p>
        </w:tc>
        <w:tc>
          <w:tcPr>
            <w:tcW w:type="dxa" w:w="11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4" w:after="0"/>
              <w:ind w:left="0" w:right="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(20) </w:t>
            </w:r>
          </w:p>
        </w:tc>
        <w:tc>
          <w:tcPr>
            <w:tcW w:type="dxa" w:w="113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4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(19) </w:t>
            </w:r>
          </w:p>
        </w:tc>
      </w:tr>
      <w:tr>
        <w:trPr>
          <w:trHeight w:hRule="exact" w:val="270"/>
        </w:trPr>
        <w:tc>
          <w:tcPr>
            <w:tcW w:type="dxa" w:w="59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Other</w:t>
            </w:r>
          </w:p>
        </w:tc>
        <w:tc>
          <w:tcPr>
            <w:tcW w:type="dxa" w:w="11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0" w:right="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(23) </w:t>
            </w:r>
          </w:p>
        </w:tc>
        <w:tc>
          <w:tcPr>
            <w:tcW w:type="dxa" w:w="1140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0" w:right="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(3) </w:t>
            </w:r>
          </w:p>
        </w:tc>
        <w:tc>
          <w:tcPr>
            <w:tcW w:type="dxa" w:w="1130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0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(48) </w:t>
            </w:r>
          </w:p>
        </w:tc>
      </w:tr>
      <w:tr>
        <w:trPr>
          <w:trHeight w:hRule="exact" w:val="256"/>
        </w:trPr>
        <w:tc>
          <w:tcPr>
            <w:tcW w:type="dxa" w:w="59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39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(2,478) </w:t>
            </w:r>
          </w:p>
        </w:tc>
        <w:tc>
          <w:tcPr>
            <w:tcW w:type="dxa" w:w="11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(2,433) </w:t>
            </w:r>
          </w:p>
        </w:tc>
        <w:tc>
          <w:tcPr>
            <w:tcW w:type="dxa" w:w="11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(2,305) </w:t>
            </w:r>
          </w:p>
        </w:tc>
      </w:tr>
      <w:tr>
        <w:trPr>
          <w:trHeight w:hRule="exact" w:val="634"/>
        </w:trPr>
        <w:tc>
          <w:tcPr>
            <w:tcW w:type="dxa" w:w="597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68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/>
                <w:color w:val="000000"/>
                <w:sz w:val="18"/>
              </w:rPr>
              <w:t>Transfers from affiliated organizations and others—Notes H and K</w:t>
            </w:r>
          </w:p>
        </w:tc>
        <w:tc>
          <w:tcPr>
            <w:tcW w:type="dxa" w:w="11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68" w:after="0"/>
              <w:ind w:left="0" w:right="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291 </w:t>
            </w:r>
          </w:p>
        </w:tc>
        <w:tc>
          <w:tcPr>
            <w:tcW w:type="dxa" w:w="11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68" w:after="0"/>
              <w:ind w:left="0" w:right="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117 </w:t>
            </w:r>
          </w:p>
        </w:tc>
        <w:tc>
          <w:tcPr>
            <w:tcW w:type="dxa" w:w="113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68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274 </w:t>
            </w:r>
          </w:p>
        </w:tc>
      </w:tr>
      <w:tr>
        <w:trPr>
          <w:trHeight w:hRule="exact" w:val="500"/>
        </w:trPr>
        <w:tc>
          <w:tcPr>
            <w:tcW w:type="dxa" w:w="59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54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/>
                <w:color w:val="000000"/>
                <w:sz w:val="18"/>
              </w:rPr>
              <w:t>Development grants—Note G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54" w:after="0"/>
              <w:ind w:left="0" w:right="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(5,291)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54" w:after="0"/>
              <w:ind w:left="0" w:right="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(3,946) </w:t>
            </w:r>
          </w:p>
        </w:tc>
        <w:tc>
          <w:tcPr>
            <w:tcW w:type="dxa" w:w="11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54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(2,372) </w:t>
            </w:r>
          </w:p>
        </w:tc>
      </w:tr>
      <w:tr>
        <w:trPr>
          <w:trHeight w:hRule="exact" w:val="540"/>
        </w:trPr>
        <w:tc>
          <w:tcPr>
            <w:tcW w:type="dxa" w:w="59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64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/>
                <w:color w:val="000000"/>
                <w:sz w:val="18"/>
              </w:rPr>
              <w:t>Non-functional currency translation adjustment (losses) gains, net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64" w:after="0"/>
              <w:ind w:left="0" w:right="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(21)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64" w:after="0"/>
              <w:ind w:left="0" w:right="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192 </w:t>
            </w:r>
          </w:p>
        </w:tc>
        <w:tc>
          <w:tcPr>
            <w:tcW w:type="dxa" w:w="11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64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511 </w:t>
            </w:r>
          </w:p>
        </w:tc>
      </w:tr>
      <w:tr>
        <w:trPr>
          <w:trHeight w:hRule="exact" w:val="636"/>
        </w:trPr>
        <w:tc>
          <w:tcPr>
            <w:tcW w:type="dxa" w:w="59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0" w:val="left"/>
              </w:tabs>
              <w:autoSpaceDE w:val="0"/>
              <w:widowControl/>
              <w:spacing w:line="180" w:lineRule="exact" w:before="216" w:after="0"/>
              <w:ind w:left="32" w:right="144" w:firstLine="0"/>
              <w:jc w:val="left"/>
            </w:pPr>
            <w:r>
              <w:rPr>
                <w:rFonts w:ascii="Arial" w:hAnsi="Arial" w:eastAsia="Arial"/>
                <w:b/>
                <w:i/>
                <w:color w:val="000000"/>
                <w:sz w:val="18"/>
              </w:rPr>
              <w:t xml:space="preserve">Unrealized mark-to-market gains (losses) on Investments-Trading </w:t>
            </w:r>
            <w:r>
              <w:rPr>
                <w:rFonts w:ascii="Arial" w:hAnsi="Arial" w:eastAsia="Arial"/>
                <w:b/>
                <w:i/>
                <w:color w:val="000000"/>
                <w:sz w:val="18"/>
              </w:rPr>
              <w:t>portfolio, net—Notes F and J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74" w:after="0"/>
              <w:ind w:left="0" w:right="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316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74" w:after="0"/>
              <w:ind w:left="0" w:right="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(29) </w:t>
            </w:r>
          </w:p>
        </w:tc>
        <w:tc>
          <w:tcPr>
            <w:tcW w:type="dxa" w:w="11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74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(104) </w:t>
            </w:r>
          </w:p>
        </w:tc>
      </w:tr>
    </w:tbl>
    <w:p>
      <w:pPr>
        <w:autoSpaceDN w:val="0"/>
        <w:tabs>
          <w:tab w:pos="130" w:val="left"/>
        </w:tabs>
        <w:autoSpaceDE w:val="0"/>
        <w:widowControl/>
        <w:spacing w:line="180" w:lineRule="exact" w:before="270" w:after="26"/>
        <w:ind w:left="40" w:right="3456" w:firstLine="0"/>
        <w:jc w:val="left"/>
      </w:pPr>
      <w:r>
        <w:rPr>
          <w:rFonts w:ascii="Arial" w:hAnsi="Arial" w:eastAsia="Arial"/>
          <w:b/>
          <w:i/>
          <w:color w:val="000000"/>
          <w:sz w:val="18"/>
        </w:rPr>
        <w:t xml:space="preserve">Unrealized mark-to-market gains (losses) on non-trading portfolios, </w:t>
      </w:r>
      <w:r>
        <w:rPr>
          <w:rFonts w:ascii="Arial" w:hAnsi="Arial" w:eastAsia="Arial"/>
          <w:b/>
          <w:i/>
          <w:color w:val="000000"/>
          <w:sz w:val="18"/>
        </w:rPr>
        <w:t>net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1883"/>
        <w:gridCol w:w="1883"/>
        <w:gridCol w:w="1883"/>
        <w:gridCol w:w="1883"/>
        <w:gridCol w:w="1883"/>
      </w:tblGrid>
      <w:tr>
        <w:trPr>
          <w:trHeight w:hRule="exact" w:val="248"/>
        </w:trPr>
        <w:tc>
          <w:tcPr>
            <w:tcW w:type="dxa" w:w="59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Asset-liability management derivatives—</w:t>
            </w: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Notes F and J</w:t>
            </w:r>
          </w:p>
        </w:tc>
        <w:tc>
          <w:tcPr>
            <w:tcW w:type="dxa" w:w="35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393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143 </w:t>
            </w:r>
          </w:p>
        </w:tc>
        <w:tc>
          <w:tcPr>
            <w:tcW w:type="dxa" w:w="7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1,441 </w:t>
            </w:r>
          </w:p>
        </w:tc>
      </w:tr>
      <w:tr>
        <w:trPr>
          <w:trHeight w:hRule="exact" w:val="266"/>
        </w:trPr>
        <w:tc>
          <w:tcPr>
            <w:tcW w:type="dxa" w:w="59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4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Other non-trading portfolios—</w:t>
            </w: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Note J</w:t>
            </w:r>
          </w:p>
        </w:tc>
        <w:tc>
          <w:tcPr>
            <w:tcW w:type="dxa" w:w="1883"/>
            <w:vMerge/>
            <w:tcBorders>
              <w:bottom w:sz="8.0" w:val="single" w:color="#000000"/>
            </w:tcBorders>
          </w:tcPr>
          <w:p/>
        </w:tc>
        <w:tc>
          <w:tcPr>
            <w:tcW w:type="dxa" w:w="11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12 </w:t>
            </w:r>
          </w:p>
        </w:tc>
        <w:tc>
          <w:tcPr>
            <w:tcW w:type="dxa" w:w="11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4" w:after="0"/>
              <w:ind w:left="0" w:right="3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(9) </w:t>
            </w:r>
          </w:p>
        </w:tc>
        <w:tc>
          <w:tcPr>
            <w:tcW w:type="dxa" w:w="7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33 </w:t>
            </w:r>
          </w:p>
        </w:tc>
      </w:tr>
      <w:tr>
        <w:trPr>
          <w:trHeight w:hRule="exact" w:val="254"/>
        </w:trPr>
        <w:tc>
          <w:tcPr>
            <w:tcW w:type="dxa" w:w="59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4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3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405 </w:t>
            </w:r>
          </w:p>
        </w:tc>
        <w:tc>
          <w:tcPr>
            <w:tcW w:type="dxa" w:w="11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134 </w:t>
            </w:r>
          </w:p>
        </w:tc>
        <w:tc>
          <w:tcPr>
            <w:tcW w:type="dxa" w:w="7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1,474 </w:t>
            </w:r>
          </w:p>
        </w:tc>
      </w:tr>
      <w:tr>
        <w:trPr>
          <w:trHeight w:hRule="exact" w:val="234"/>
        </w:trPr>
        <w:tc>
          <w:tcPr>
            <w:tcW w:type="dxa" w:w="59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2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/>
                <w:color w:val="000000"/>
                <w:sz w:val="18"/>
              </w:rPr>
              <w:t>Net (loss) Income</w:t>
            </w:r>
          </w:p>
        </w:tc>
        <w:tc>
          <w:tcPr>
            <w:tcW w:type="dxa" w:w="3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11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(3,573) $ </w:t>
            </w:r>
          </w:p>
        </w:tc>
        <w:tc>
          <w:tcPr>
            <w:tcW w:type="dxa" w:w="11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(3,262) $ </w:t>
            </w:r>
          </w:p>
        </w:tc>
        <w:tc>
          <w:tcPr>
            <w:tcW w:type="dxa" w:w="7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12 </w:t>
            </w:r>
          </w:p>
        </w:tc>
      </w:tr>
    </w:tbl>
    <w:p>
      <w:pPr>
        <w:autoSpaceDN w:val="0"/>
        <w:autoSpaceDE w:val="0"/>
        <w:widowControl/>
        <w:spacing w:line="200" w:lineRule="exact" w:before="858" w:after="0"/>
        <w:ind w:left="0" w:right="0" w:firstLine="0"/>
        <w:jc w:val="center"/>
      </w:pPr>
      <w:r>
        <w:rPr>
          <w:rFonts w:ascii="Arial" w:hAnsi="Arial" w:eastAsia="Arial"/>
          <w:b/>
          <w:i/>
          <w:color w:val="000000"/>
          <w:sz w:val="18"/>
        </w:rPr>
        <w:t>The Notes to Financial Statements are an integral part of these Statements.</w:t>
      </w:r>
    </w:p>
    <w:p>
      <w:pPr>
        <w:autoSpaceDN w:val="0"/>
        <w:tabs>
          <w:tab w:pos="758" w:val="left"/>
        </w:tabs>
        <w:autoSpaceDE w:val="0"/>
        <w:widowControl/>
        <w:spacing w:line="224" w:lineRule="exact" w:before="1984" w:after="0"/>
        <w:ind w:left="5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68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Financial Statements: June 30, 2024</w:t>
      </w:r>
    </w:p>
    <w:p>
      <w:pPr>
        <w:sectPr>
          <w:pgSz w:w="12240" w:h="15840"/>
          <w:pgMar w:top="516" w:right="1384" w:bottom="2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4"/>
        <w:ind w:left="0" w:right="0"/>
      </w:pPr>
    </w:p>
    <w:p>
      <w:pPr>
        <w:autoSpaceDN w:val="0"/>
        <w:autoSpaceDE w:val="0"/>
        <w:widowControl/>
        <w:spacing w:line="260" w:lineRule="exact" w:before="54" w:after="0"/>
        <w:ind w:left="0" w:right="2592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STATEMENTS OF COMPREHENSIVE INCOME </w:t>
      </w:r>
      <w:r>
        <w:rPr>
          <w:rFonts w:ascii="Arial" w:hAnsi="Arial" w:eastAsia="Arial"/>
          <w:b w:val="0"/>
          <w:i/>
          <w:color w:val="000000"/>
          <w:sz w:val="20"/>
        </w:rPr>
        <w:t>For the fiscal years ended June 30, 2024, June 30, 2023 and June 30, 2022</w:t>
      </w:r>
    </w:p>
    <w:p>
      <w:pPr>
        <w:autoSpaceDN w:val="0"/>
        <w:autoSpaceDE w:val="0"/>
        <w:widowControl/>
        <w:spacing w:line="224" w:lineRule="exact" w:before="256" w:after="38"/>
        <w:ind w:left="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0"/>
        </w:rPr>
        <w:t>Expressed 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1177"/>
        <w:gridCol w:w="1177"/>
        <w:gridCol w:w="1177"/>
        <w:gridCol w:w="1177"/>
        <w:gridCol w:w="1177"/>
        <w:gridCol w:w="1177"/>
        <w:gridCol w:w="1177"/>
        <w:gridCol w:w="1177"/>
      </w:tblGrid>
      <w:tr>
        <w:trPr>
          <w:trHeight w:hRule="exact" w:val="268"/>
        </w:trPr>
        <w:tc>
          <w:tcPr>
            <w:tcW w:type="dxa" w:w="505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2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13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2024</w:t>
            </w:r>
          </w:p>
        </w:tc>
        <w:tc>
          <w:tcPr>
            <w:tcW w:type="dxa" w:w="3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11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2023</w:t>
            </w:r>
          </w:p>
        </w:tc>
        <w:tc>
          <w:tcPr>
            <w:tcW w:type="dxa" w:w="3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2022</w:t>
            </w:r>
          </w:p>
        </w:tc>
        <w:tc>
          <w:tcPr>
            <w:tcW w:type="dxa" w:w="38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68"/>
        </w:trPr>
        <w:tc>
          <w:tcPr>
            <w:tcW w:type="dxa" w:w="505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30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Net (loss) income</w:t>
            </w:r>
          </w:p>
        </w:tc>
        <w:tc>
          <w:tcPr>
            <w:tcW w:type="dxa" w:w="32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11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30" w:after="0"/>
              <w:ind w:left="0" w:right="1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(3,573) </w:t>
            </w:r>
          </w:p>
        </w:tc>
        <w:tc>
          <w:tcPr>
            <w:tcW w:type="dxa" w:w="3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10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30" w:after="0"/>
              <w:ind w:left="0" w:right="1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(3,262) </w:t>
            </w:r>
          </w:p>
        </w:tc>
        <w:tc>
          <w:tcPr>
            <w:tcW w:type="dxa" w:w="3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6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8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12 </w:t>
            </w:r>
          </w:p>
        </w:tc>
      </w:tr>
    </w:tbl>
    <w:p>
      <w:pPr>
        <w:autoSpaceDN w:val="0"/>
        <w:autoSpaceDE w:val="0"/>
        <w:widowControl/>
        <w:spacing w:line="200" w:lineRule="exact" w:before="28" w:after="28"/>
        <w:ind w:left="5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8"/>
        </w:rPr>
        <w:t>Other comprehensive loss—</w:t>
      </w:r>
      <w:r>
        <w:rPr>
          <w:rFonts w:ascii="Arial" w:hAnsi="Arial" w:eastAsia="Arial"/>
          <w:b/>
          <w:i/>
          <w:color w:val="000000"/>
          <w:sz w:val="18"/>
        </w:rPr>
        <w:t>Note I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2354"/>
        <w:gridCol w:w="2354"/>
        <w:gridCol w:w="2354"/>
        <w:gridCol w:w="2354"/>
      </w:tblGrid>
      <w:tr>
        <w:trPr>
          <w:trHeight w:hRule="exact" w:val="258"/>
        </w:trPr>
        <w:tc>
          <w:tcPr>
            <w:tcW w:type="dxa" w:w="5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6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Currency translation adjustments on functional currencies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(1,652) </w:t>
            </w:r>
          </w:p>
        </w:tc>
        <w:tc>
          <w:tcPr>
            <w:tcW w:type="dxa" w:w="12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6" w:after="0"/>
              <w:ind w:left="0" w:right="3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224 </w:t>
            </w:r>
          </w:p>
        </w:tc>
        <w:tc>
          <w:tcPr>
            <w:tcW w:type="dxa" w:w="12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6" w:after="0"/>
              <w:ind w:left="0" w:right="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(10,851) </w:t>
            </w:r>
          </w:p>
        </w:tc>
      </w:tr>
    </w:tbl>
    <w:p>
      <w:pPr>
        <w:autoSpaceDN w:val="0"/>
        <w:autoSpaceDE w:val="0"/>
        <w:widowControl/>
        <w:spacing w:line="202" w:lineRule="exact" w:before="32" w:after="8"/>
        <w:ind w:left="23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8"/>
        </w:rPr>
        <w:t xml:space="preserve">Net Change in Debit Valuation Adjustment (DVA) on Fair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rPr>
          <w:trHeight w:hRule="exact" w:val="236"/>
        </w:trPr>
        <w:tc>
          <w:tcPr>
            <w:tcW w:type="dxa" w:w="505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" w:after="0"/>
              <w:ind w:left="3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Value option elected liabilities</w:t>
            </w:r>
          </w:p>
        </w:tc>
        <w:tc>
          <w:tcPr>
            <w:tcW w:type="dxa" w:w="464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0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" w:after="0"/>
              <w:ind w:left="0" w:right="1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6 </w:t>
            </w:r>
          </w:p>
        </w:tc>
        <w:tc>
          <w:tcPr>
            <w:tcW w:type="dxa" w:w="400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980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" w:after="0"/>
              <w:ind w:left="0" w:right="1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(18) </w:t>
            </w:r>
          </w:p>
        </w:tc>
        <w:tc>
          <w:tcPr>
            <w:tcW w:type="dxa" w:w="420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980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6" w:after="0"/>
              <w:ind w:left="0" w:right="1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43 </w:t>
            </w:r>
          </w:p>
        </w:tc>
      </w:tr>
      <w:tr>
        <w:trPr>
          <w:trHeight w:hRule="exact" w:val="236"/>
        </w:trPr>
        <w:tc>
          <w:tcPr>
            <w:tcW w:type="dxa" w:w="50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Total comprehensive loss</w:t>
            </w:r>
          </w:p>
        </w:tc>
        <w:tc>
          <w:tcPr>
            <w:tcW w:type="dxa" w:w="464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10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1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(5,219) </w:t>
            </w:r>
          </w:p>
        </w:tc>
        <w:tc>
          <w:tcPr>
            <w:tcW w:type="dxa" w:w="400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980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22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(3,056) </w:t>
            </w:r>
          </w:p>
        </w:tc>
        <w:tc>
          <w:tcPr>
            <w:tcW w:type="dxa" w:w="420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980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21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(10,796) </w:t>
            </w:r>
          </w:p>
        </w:tc>
      </w:tr>
      <w:tr>
        <w:trPr>
          <w:trHeight w:hRule="exact" w:val="50"/>
        </w:trPr>
        <w:tc>
          <w:tcPr>
            <w:tcW w:type="dxa" w:w="505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60" w:lineRule="exact" w:before="1034" w:after="0"/>
        <w:ind w:left="0" w:right="1872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STATEMENTS OF CHANGES IN ACCUMULATED DEFICIT </w:t>
      </w:r>
      <w:r>
        <w:rPr>
          <w:rFonts w:ascii="Arial" w:hAnsi="Arial" w:eastAsia="Arial"/>
          <w:b w:val="0"/>
          <w:i/>
          <w:color w:val="000000"/>
          <w:sz w:val="20"/>
        </w:rPr>
        <w:t>For the fiscal years ended June 30, 2024, June 30, 2023 and June 30, 2022</w:t>
      </w:r>
    </w:p>
    <w:p>
      <w:pPr>
        <w:autoSpaceDN w:val="0"/>
        <w:autoSpaceDE w:val="0"/>
        <w:widowControl/>
        <w:spacing w:line="224" w:lineRule="exact" w:before="256" w:after="38"/>
        <w:ind w:left="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0"/>
        </w:rPr>
        <w:t>Expressed 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rPr>
          <w:trHeight w:hRule="exact" w:val="270"/>
        </w:trPr>
        <w:tc>
          <w:tcPr>
            <w:tcW w:type="dxa" w:w="505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2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13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2024</w:t>
            </w:r>
          </w:p>
        </w:tc>
        <w:tc>
          <w:tcPr>
            <w:tcW w:type="dxa" w:w="3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6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14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2023</w:t>
            </w:r>
          </w:p>
        </w:tc>
        <w:tc>
          <w:tcPr>
            <w:tcW w:type="dxa" w:w="33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12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2022</w:t>
            </w:r>
          </w:p>
        </w:tc>
      </w:tr>
      <w:tr>
        <w:trPr>
          <w:trHeight w:hRule="exact" w:val="502"/>
        </w:trPr>
        <w:tc>
          <w:tcPr>
            <w:tcW w:type="dxa" w:w="505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68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Accumulated deficit at beginning of the fiscal year</w:t>
            </w:r>
          </w:p>
        </w:tc>
        <w:tc>
          <w:tcPr>
            <w:tcW w:type="dxa" w:w="32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6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11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68" w:after="0"/>
              <w:ind w:left="0" w:right="1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(62,806) </w:t>
            </w:r>
          </w:p>
        </w:tc>
        <w:tc>
          <w:tcPr>
            <w:tcW w:type="dxa" w:w="32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6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116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68" w:after="0"/>
              <w:ind w:left="0" w:right="1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(59,544) </w:t>
            </w:r>
          </w:p>
        </w:tc>
        <w:tc>
          <w:tcPr>
            <w:tcW w:type="dxa" w:w="336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6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10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68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(59,556) </w:t>
            </w:r>
          </w:p>
        </w:tc>
      </w:tr>
      <w:tr>
        <w:trPr>
          <w:trHeight w:hRule="exact" w:val="262"/>
        </w:trPr>
        <w:tc>
          <w:tcPr>
            <w:tcW w:type="dxa" w:w="505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2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Net (loss) income</w:t>
            </w:r>
          </w:p>
        </w:tc>
        <w:tc>
          <w:tcPr>
            <w:tcW w:type="dxa" w:w="1345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1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2" w:after="0"/>
              <w:ind w:left="0" w:right="1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(3,573) </w:t>
            </w:r>
          </w:p>
        </w:tc>
        <w:tc>
          <w:tcPr>
            <w:tcW w:type="dxa" w:w="1345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164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2" w:after="0"/>
              <w:ind w:left="0" w:right="1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(3,262) </w:t>
            </w:r>
          </w:p>
        </w:tc>
        <w:tc>
          <w:tcPr>
            <w:tcW w:type="dxa" w:w="1345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20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12 </w:t>
            </w:r>
          </w:p>
        </w:tc>
      </w:tr>
      <w:tr>
        <w:trPr>
          <w:trHeight w:hRule="exact" w:val="236"/>
        </w:trPr>
        <w:tc>
          <w:tcPr>
            <w:tcW w:type="dxa" w:w="50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Accumulated deficit at end of the fiscal year</w:t>
            </w:r>
          </w:p>
        </w:tc>
        <w:tc>
          <w:tcPr>
            <w:tcW w:type="dxa" w:w="3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11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1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(66,379) </w:t>
            </w:r>
          </w:p>
        </w:tc>
        <w:tc>
          <w:tcPr>
            <w:tcW w:type="dxa" w:w="3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11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1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(62,806) </w:t>
            </w:r>
          </w:p>
        </w:tc>
        <w:tc>
          <w:tcPr>
            <w:tcW w:type="dxa" w:w="3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10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(59,544) </w:t>
            </w:r>
          </w:p>
        </w:tc>
      </w:tr>
      <w:tr>
        <w:trPr>
          <w:trHeight w:hRule="exact" w:val="50"/>
        </w:trPr>
        <w:tc>
          <w:tcPr>
            <w:tcW w:type="dxa" w:w="505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2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6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0" w:lineRule="exact" w:before="758" w:after="0"/>
        <w:ind w:left="0" w:right="0" w:firstLine="0"/>
        <w:jc w:val="center"/>
      </w:pPr>
      <w:r>
        <w:rPr>
          <w:rFonts w:ascii="Arial" w:hAnsi="Arial" w:eastAsia="Arial"/>
          <w:b/>
          <w:i/>
          <w:color w:val="000000"/>
          <w:sz w:val="18"/>
        </w:rPr>
        <w:t>The Notes to Financial Statements are an integral part of these Statements.</w:t>
      </w:r>
    </w:p>
    <w:p>
      <w:pPr>
        <w:autoSpaceDN w:val="0"/>
        <w:tabs>
          <w:tab w:pos="9084" w:val="left"/>
        </w:tabs>
        <w:autoSpaceDE w:val="0"/>
        <w:widowControl/>
        <w:spacing w:line="224" w:lineRule="exact" w:before="6630" w:after="0"/>
        <w:ind w:left="498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Financial Statements: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69</w:t>
      </w:r>
    </w:p>
    <w:p>
      <w:pPr>
        <w:sectPr>
          <w:pgSz w:w="12240" w:h="15840"/>
          <w:pgMar w:top="516" w:right="1384" w:bottom="2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4"/>
        <w:ind w:left="0" w:right="0"/>
      </w:pPr>
    </w:p>
    <w:p>
      <w:pPr>
        <w:autoSpaceDN w:val="0"/>
        <w:autoSpaceDE w:val="0"/>
        <w:widowControl/>
        <w:spacing w:line="260" w:lineRule="exact" w:before="54" w:after="0"/>
        <w:ind w:left="0" w:right="2592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STATEMENTS OF CASH FLOWS </w:t>
      </w:r>
      <w:r>
        <w:br/>
      </w:r>
      <w:r>
        <w:rPr>
          <w:rFonts w:ascii="Arial" w:hAnsi="Arial" w:eastAsia="Arial"/>
          <w:b w:val="0"/>
          <w:i/>
          <w:color w:val="000000"/>
          <w:sz w:val="20"/>
        </w:rPr>
        <w:t>For the fiscal years ended June 30, 2024, June 30, 2023 and June 30, 2022</w:t>
      </w:r>
    </w:p>
    <w:p>
      <w:pPr>
        <w:autoSpaceDN w:val="0"/>
        <w:autoSpaceDE w:val="0"/>
        <w:widowControl/>
        <w:spacing w:line="224" w:lineRule="exact" w:before="256" w:after="38"/>
        <w:ind w:left="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0"/>
        </w:rPr>
        <w:t xml:space="preserve">Expressed in millions of U.S. dollars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20.0" w:type="dxa"/>
      </w:tblPr>
      <w:tblGrid>
        <w:gridCol w:w="3120"/>
        <w:gridCol w:w="3120"/>
        <w:gridCol w:w="3120"/>
      </w:tblGrid>
      <w:tr>
        <w:trPr>
          <w:trHeight w:hRule="exact" w:val="268"/>
        </w:trPr>
        <w:tc>
          <w:tcPr>
            <w:tcW w:type="dxa" w:w="105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2024</w:t>
            </w:r>
          </w:p>
        </w:tc>
        <w:tc>
          <w:tcPr>
            <w:tcW w:type="dxa" w:w="1108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2023</w:t>
            </w:r>
          </w:p>
        </w:tc>
        <w:tc>
          <w:tcPr>
            <w:tcW w:type="dxa" w:w="1112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2022</w:t>
            </w:r>
          </w:p>
        </w:tc>
      </w:tr>
    </w:tbl>
    <w:p>
      <w:pPr>
        <w:autoSpaceDN w:val="0"/>
        <w:autoSpaceDE w:val="0"/>
        <w:widowControl/>
        <w:spacing w:line="200" w:lineRule="exact" w:before="26" w:after="0"/>
        <w:ind w:left="1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8"/>
        </w:rPr>
        <w:t>Cash flows from investing activities</w:t>
      </w:r>
    </w:p>
    <w:p>
      <w:pPr>
        <w:autoSpaceDN w:val="0"/>
        <w:autoSpaceDE w:val="0"/>
        <w:widowControl/>
        <w:spacing w:line="202" w:lineRule="exact" w:before="54" w:after="26"/>
        <w:ind w:left="30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8"/>
        </w:rPr>
        <w:t>Loans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0.0" w:type="dxa"/>
      </w:tblPr>
      <w:tblGrid>
        <w:gridCol w:w="1872"/>
        <w:gridCol w:w="1872"/>
        <w:gridCol w:w="1872"/>
        <w:gridCol w:w="1872"/>
        <w:gridCol w:w="1872"/>
      </w:tblGrid>
      <w:tr>
        <w:trPr>
          <w:trHeight w:hRule="exact" w:val="242"/>
        </w:trPr>
        <w:tc>
          <w:tcPr>
            <w:tcW w:type="dxa" w:w="3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19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 Disbursements</w:t>
            </w:r>
          </w:p>
        </w:tc>
        <w:tc>
          <w:tcPr>
            <w:tcW w:type="dxa" w:w="2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0" w:right="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(21,093) $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(20,601) $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(15,860) </w:t>
            </w:r>
          </w:p>
        </w:tc>
      </w:tr>
      <w:tr>
        <w:trPr>
          <w:trHeight w:hRule="exact" w:val="268"/>
        </w:trPr>
        <w:tc>
          <w:tcPr>
            <w:tcW w:type="dxa" w:w="3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19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 Principal repayments</w:t>
            </w:r>
          </w:p>
        </w:tc>
        <w:tc>
          <w:tcPr>
            <w:tcW w:type="dxa" w:w="1872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24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8,187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25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7,751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0" w:right="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6,738 </w:t>
            </w:r>
          </w:p>
        </w:tc>
      </w:tr>
    </w:tbl>
    <w:p>
      <w:pPr>
        <w:autoSpaceDN w:val="0"/>
        <w:autoSpaceDE w:val="0"/>
        <w:widowControl/>
        <w:spacing w:line="200" w:lineRule="exact" w:before="28" w:after="28"/>
        <w:ind w:left="30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8"/>
        </w:rPr>
        <w:t>Non-trading securities—Investments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2340"/>
        <w:gridCol w:w="2340"/>
        <w:gridCol w:w="2340"/>
        <w:gridCol w:w="2340"/>
      </w:tblGrid>
      <w:tr>
        <w:trPr>
          <w:trHeight w:hRule="exact" w:val="256"/>
        </w:trPr>
        <w:tc>
          <w:tcPr>
            <w:tcW w:type="dxa" w:w="58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6" w:after="0"/>
              <w:ind w:left="2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Repayments</w:t>
            </w:r>
          </w:p>
        </w:tc>
        <w:tc>
          <w:tcPr>
            <w:tcW w:type="dxa" w:w="11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6" w:after="0"/>
              <w:ind w:left="0" w:right="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77 </w:t>
            </w:r>
          </w:p>
        </w:tc>
        <w:tc>
          <w:tcPr>
            <w:tcW w:type="dxa" w:w="11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6" w:after="0"/>
              <w:ind w:left="0" w:right="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96 </w:t>
            </w:r>
          </w:p>
        </w:tc>
        <w:tc>
          <w:tcPr>
            <w:tcW w:type="dxa" w:w="11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6" w:after="0"/>
              <w:ind w:left="0" w:right="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114 </w:t>
            </w:r>
          </w:p>
        </w:tc>
      </w:tr>
      <w:tr>
        <w:trPr>
          <w:trHeight w:hRule="exact" w:val="271"/>
        </w:trPr>
        <w:tc>
          <w:tcPr>
            <w:tcW w:type="dxa" w:w="58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48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Net cash used in investing activities</w:t>
            </w:r>
          </w:p>
        </w:tc>
        <w:tc>
          <w:tcPr>
            <w:tcW w:type="dxa" w:w="111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(12,829) </w:t>
            </w:r>
          </w:p>
        </w:tc>
        <w:tc>
          <w:tcPr>
            <w:tcW w:type="dxa" w:w="111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(12,754) </w:t>
            </w:r>
          </w:p>
        </w:tc>
        <w:tc>
          <w:tcPr>
            <w:tcW w:type="dxa" w:w="11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(9,008) </w:t>
            </w:r>
          </w:p>
        </w:tc>
      </w:tr>
    </w:tbl>
    <w:p>
      <w:pPr>
        <w:autoSpaceDN w:val="0"/>
        <w:autoSpaceDE w:val="0"/>
        <w:widowControl/>
        <w:spacing w:line="202" w:lineRule="exact" w:before="248" w:after="26"/>
        <w:ind w:left="1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8"/>
        </w:rPr>
        <w:t>Cash flows from financing activities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0.0" w:type="dxa"/>
      </w:tblPr>
      <w:tblGrid>
        <w:gridCol w:w="2340"/>
        <w:gridCol w:w="2340"/>
        <w:gridCol w:w="2340"/>
        <w:gridCol w:w="2340"/>
      </w:tblGrid>
      <w:tr>
        <w:trPr>
          <w:trHeight w:hRule="exact" w:val="256"/>
        </w:trPr>
        <w:tc>
          <w:tcPr>
            <w:tcW w:type="dxa" w:w="4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1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Members' subscriptions and contributions</w:t>
            </w:r>
          </w:p>
        </w:tc>
        <w:tc>
          <w:tcPr>
            <w:tcW w:type="dxa" w:w="2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0" w:right="2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9,739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10,171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8" w:after="0"/>
              <w:ind w:left="0" w:right="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8,589 </w:t>
            </w:r>
          </w:p>
        </w:tc>
      </w:tr>
    </w:tbl>
    <w:p>
      <w:pPr>
        <w:autoSpaceDN w:val="0"/>
        <w:autoSpaceDE w:val="0"/>
        <w:widowControl/>
        <w:spacing w:line="202" w:lineRule="exact" w:before="26" w:after="28"/>
        <w:ind w:left="30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8"/>
        </w:rPr>
        <w:t>Medium and long-term borrowings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2340"/>
        <w:gridCol w:w="2340"/>
        <w:gridCol w:w="2340"/>
        <w:gridCol w:w="2340"/>
      </w:tblGrid>
      <w:tr>
        <w:trPr>
          <w:trHeight w:hRule="exact" w:val="240"/>
        </w:trPr>
        <w:tc>
          <w:tcPr>
            <w:tcW w:type="dxa" w:w="3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24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New issues</w:t>
            </w:r>
          </w:p>
        </w:tc>
        <w:tc>
          <w:tcPr>
            <w:tcW w:type="dxa" w:w="3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0" w:right="3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12,031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2,276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6" w:after="0"/>
              <w:ind w:left="0" w:right="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9,756 </w:t>
            </w:r>
          </w:p>
        </w:tc>
      </w:tr>
      <w:tr>
        <w:trPr>
          <w:trHeight w:hRule="exact" w:val="270"/>
        </w:trPr>
        <w:tc>
          <w:tcPr>
            <w:tcW w:type="dxa" w:w="3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24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Retirements</w:t>
            </w:r>
          </w:p>
        </w:tc>
        <w:tc>
          <w:tcPr>
            <w:tcW w:type="dxa" w:w="3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0" w:right="2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(113)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(1,606)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0" w:right="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(101) </w:t>
            </w:r>
          </w:p>
        </w:tc>
      </w:tr>
    </w:tbl>
    <w:p>
      <w:pPr>
        <w:autoSpaceDN w:val="0"/>
        <w:autoSpaceDE w:val="0"/>
        <w:widowControl/>
        <w:spacing w:line="200" w:lineRule="exact" w:before="26" w:after="26"/>
        <w:ind w:left="30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8"/>
        </w:rPr>
        <w:t>Short-term borrowings (original maturities greater than 90 days)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0.0" w:type="dxa"/>
      </w:tblPr>
      <w:tblGrid>
        <w:gridCol w:w="2340"/>
        <w:gridCol w:w="2340"/>
        <w:gridCol w:w="2340"/>
        <w:gridCol w:w="2340"/>
      </w:tblGrid>
      <w:tr>
        <w:trPr>
          <w:trHeight w:hRule="exact" w:val="238"/>
        </w:trPr>
        <w:tc>
          <w:tcPr>
            <w:tcW w:type="dxa" w:w="5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8" w:after="0"/>
              <w:ind w:left="34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New issues</w:t>
            </w:r>
          </w:p>
        </w:tc>
        <w:tc>
          <w:tcPr>
            <w:tcW w:type="dxa" w:w="11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8" w:after="0"/>
              <w:ind w:left="0" w:right="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8,625 </w:t>
            </w:r>
          </w:p>
        </w:tc>
        <w:tc>
          <w:tcPr>
            <w:tcW w:type="dxa" w:w="11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8" w:after="0"/>
              <w:ind w:left="0" w:right="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6,762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8" w:after="0"/>
              <w:ind w:left="0" w:right="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5,716 </w:t>
            </w:r>
          </w:p>
        </w:tc>
      </w:tr>
      <w:tr>
        <w:trPr>
          <w:trHeight w:hRule="exact" w:val="260"/>
        </w:trPr>
        <w:tc>
          <w:tcPr>
            <w:tcW w:type="dxa" w:w="5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34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Retirements</w:t>
            </w:r>
          </w:p>
        </w:tc>
        <w:tc>
          <w:tcPr>
            <w:tcW w:type="dxa" w:w="11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0" w:right="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(8,581) </w:t>
            </w:r>
          </w:p>
        </w:tc>
        <w:tc>
          <w:tcPr>
            <w:tcW w:type="dxa" w:w="11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0" w:right="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(5,783)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0" w:right="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(8,131) </w:t>
            </w:r>
          </w:p>
        </w:tc>
      </w:tr>
      <w:tr>
        <w:trPr>
          <w:trHeight w:hRule="exact" w:val="260"/>
        </w:trPr>
        <w:tc>
          <w:tcPr>
            <w:tcW w:type="dxa" w:w="5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1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Net short-term borrowings (original maturities less than 90 days)</w:t>
            </w:r>
          </w:p>
        </w:tc>
        <w:tc>
          <w:tcPr>
            <w:tcW w:type="dxa" w:w="11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0" w:right="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— </w:t>
            </w:r>
          </w:p>
        </w:tc>
        <w:tc>
          <w:tcPr>
            <w:tcW w:type="dxa" w:w="11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0" w:right="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(2,187)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0" w:right="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1,890 </w:t>
            </w:r>
          </w:p>
        </w:tc>
      </w:tr>
      <w:tr>
        <w:trPr>
          <w:trHeight w:hRule="exact" w:val="266"/>
        </w:trPr>
        <w:tc>
          <w:tcPr>
            <w:tcW w:type="dxa" w:w="58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1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Net derivatives-borrowings</w:t>
            </w:r>
          </w:p>
        </w:tc>
        <w:tc>
          <w:tcPr>
            <w:tcW w:type="dxa" w:w="11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0" w:right="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34 </w:t>
            </w:r>
          </w:p>
        </w:tc>
        <w:tc>
          <w:tcPr>
            <w:tcW w:type="dxa" w:w="11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0" w:right="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(7) </w:t>
            </w:r>
          </w:p>
        </w:tc>
        <w:tc>
          <w:tcPr>
            <w:tcW w:type="dxa" w:w="11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0" w:right="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8 </w:t>
            </w:r>
          </w:p>
        </w:tc>
      </w:tr>
      <w:tr>
        <w:trPr>
          <w:trHeight w:hRule="exact" w:val="270"/>
        </w:trPr>
        <w:tc>
          <w:tcPr>
            <w:tcW w:type="dxa" w:w="58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52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Net cash provided by financing activities</w:t>
            </w:r>
          </w:p>
        </w:tc>
        <w:tc>
          <w:tcPr>
            <w:tcW w:type="dxa" w:w="111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21,735 </w:t>
            </w:r>
          </w:p>
        </w:tc>
        <w:tc>
          <w:tcPr>
            <w:tcW w:type="dxa" w:w="111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9,626 </w:t>
            </w:r>
          </w:p>
        </w:tc>
        <w:tc>
          <w:tcPr>
            <w:tcW w:type="dxa" w:w="11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17,727 </w:t>
            </w:r>
          </w:p>
        </w:tc>
      </w:tr>
    </w:tbl>
    <w:p>
      <w:pPr>
        <w:autoSpaceDN w:val="0"/>
        <w:autoSpaceDE w:val="0"/>
        <w:widowControl/>
        <w:spacing w:line="200" w:lineRule="exact" w:before="250" w:after="26"/>
        <w:ind w:left="12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8"/>
        </w:rPr>
        <w:t>Cash flows from operating activities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0.0" w:type="dxa"/>
      </w:tblPr>
      <w:tblGrid>
        <w:gridCol w:w="2340"/>
        <w:gridCol w:w="2340"/>
        <w:gridCol w:w="2340"/>
        <w:gridCol w:w="2340"/>
      </w:tblGrid>
      <w:tr>
        <w:trPr>
          <w:trHeight w:hRule="exact" w:val="258"/>
        </w:trPr>
        <w:tc>
          <w:tcPr>
            <w:tcW w:type="dxa" w:w="3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8" w:after="0"/>
              <w:ind w:left="1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Net (loss) income</w:t>
            </w:r>
          </w:p>
        </w:tc>
        <w:tc>
          <w:tcPr>
            <w:tcW w:type="dxa" w:w="3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8" w:after="0"/>
              <w:ind w:left="0" w:right="2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(3,573)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8" w:after="0"/>
              <w:ind w:left="25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(3,262)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8" w:after="0"/>
              <w:ind w:left="0" w:right="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12 </w:t>
            </w:r>
          </w:p>
        </w:tc>
      </w:tr>
    </w:tbl>
    <w:p>
      <w:pPr>
        <w:autoSpaceDN w:val="0"/>
        <w:tabs>
          <w:tab w:pos="398" w:val="left"/>
        </w:tabs>
        <w:autoSpaceDE w:val="0"/>
        <w:widowControl/>
        <w:spacing w:line="180" w:lineRule="exact" w:before="46" w:after="26"/>
        <w:ind w:left="308" w:right="3888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8"/>
        </w:rPr>
        <w:t xml:space="preserve">Adjustments to reconcile net (loss) income to net cash (used in) </w:t>
      </w:r>
      <w:r>
        <w:rPr>
          <w:rFonts w:ascii="ArialMT" w:hAnsi="ArialMT" w:eastAsia="ArialMT"/>
          <w:b w:val="0"/>
          <w:i w:val="0"/>
          <w:color w:val="000000"/>
          <w:sz w:val="18"/>
        </w:rPr>
        <w:t>provided by operating activities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2340"/>
        <w:gridCol w:w="2340"/>
        <w:gridCol w:w="2340"/>
        <w:gridCol w:w="2340"/>
      </w:tblGrid>
      <w:tr>
        <w:trPr>
          <w:trHeight w:hRule="exact" w:val="238"/>
        </w:trPr>
        <w:tc>
          <w:tcPr>
            <w:tcW w:type="dxa" w:w="5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8" w:after="0"/>
              <w:ind w:left="24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Provision for losses on loans and other exposures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8" w:after="0"/>
              <w:ind w:left="0" w:right="3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275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8" w:after="0"/>
              <w:ind w:left="0" w:right="2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688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8" w:after="0"/>
              <w:ind w:left="0" w:right="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278 </w:t>
            </w:r>
          </w:p>
        </w:tc>
      </w:tr>
      <w:tr>
        <w:trPr>
          <w:trHeight w:hRule="exact" w:val="260"/>
        </w:trPr>
        <w:tc>
          <w:tcPr>
            <w:tcW w:type="dxa" w:w="5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24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Non-functional currency translation adjustment losses (gains), net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0" w:right="3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21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0" w:right="2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(192)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0" w:right="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(511) </w:t>
            </w:r>
          </w:p>
        </w:tc>
      </w:tr>
      <w:tr>
        <w:trPr>
          <w:trHeight w:hRule="exact" w:val="260"/>
        </w:trPr>
        <w:tc>
          <w:tcPr>
            <w:tcW w:type="dxa" w:w="5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24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Unrealized mark-to-market gains on non-trading portfolios, net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0" w:right="3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(405)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0" w:right="2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(134)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0" w:right="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(1,474) </w:t>
            </w:r>
          </w:p>
        </w:tc>
      </w:tr>
      <w:tr>
        <w:trPr>
          <w:trHeight w:hRule="exact" w:val="260"/>
        </w:trPr>
        <w:tc>
          <w:tcPr>
            <w:tcW w:type="dxa" w:w="5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24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Other non-interest expenses, net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0" w:right="3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23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0" w:right="2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0" w:right="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48 </w:t>
            </w:r>
          </w:p>
        </w:tc>
      </w:tr>
      <w:tr>
        <w:trPr>
          <w:trHeight w:hRule="exact" w:val="260"/>
        </w:trPr>
        <w:tc>
          <w:tcPr>
            <w:tcW w:type="dxa" w:w="5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0" w:after="0"/>
              <w:ind w:left="24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Amortization of discount on borrowings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0" w:after="0"/>
              <w:ind w:left="0" w:right="3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308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0" w:after="0"/>
              <w:ind w:left="0" w:right="2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175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0" w:after="0"/>
              <w:ind w:left="0" w:right="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105 </w:t>
            </w:r>
          </w:p>
        </w:tc>
      </w:tr>
    </w:tbl>
    <w:p>
      <w:pPr>
        <w:autoSpaceDN w:val="0"/>
        <w:autoSpaceDE w:val="0"/>
        <w:widowControl/>
        <w:spacing w:line="200" w:lineRule="exact" w:before="26" w:after="26"/>
        <w:ind w:left="30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8"/>
        </w:rPr>
        <w:t>Changes in: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2340"/>
        <w:gridCol w:w="2340"/>
        <w:gridCol w:w="2340"/>
        <w:gridCol w:w="2340"/>
      </w:tblGrid>
      <w:tr>
        <w:trPr>
          <w:trHeight w:hRule="exact" w:val="248"/>
        </w:trPr>
        <w:tc>
          <w:tcPr>
            <w:tcW w:type="dxa" w:w="5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8" w:after="0"/>
              <w:ind w:left="24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Investments—Trading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(3,078)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8,651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8" w:after="0"/>
              <w:ind w:left="0" w:right="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(5,936) </w:t>
            </w:r>
          </w:p>
        </w:tc>
      </w:tr>
      <w:tr>
        <w:trPr>
          <w:trHeight w:hRule="exact" w:val="260"/>
        </w:trPr>
        <w:tc>
          <w:tcPr>
            <w:tcW w:type="dxa" w:w="5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Net receivable/payable from investment securities traded/purchased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0" w:right="2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(664)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0" w:right="2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984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0" w:right="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299 </w:t>
            </w:r>
          </w:p>
        </w:tc>
      </w:tr>
      <w:tr>
        <w:trPr>
          <w:trHeight w:hRule="exact" w:val="240"/>
        </w:trPr>
        <w:tc>
          <w:tcPr>
            <w:tcW w:type="dxa" w:w="5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0" w:after="0"/>
              <w:ind w:left="24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Net derivatives—Investments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0" w:after="0"/>
              <w:ind w:left="0" w:right="2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(12)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0" w:after="0"/>
              <w:ind w:left="0" w:right="2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(304)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0" w:after="0"/>
              <w:ind w:left="0" w:right="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973 </w:t>
            </w:r>
          </w:p>
        </w:tc>
      </w:tr>
      <w:tr>
        <w:trPr>
          <w:trHeight w:hRule="exact" w:val="278"/>
        </w:trPr>
        <w:tc>
          <w:tcPr>
            <w:tcW w:type="dxa" w:w="5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24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Net derivatives—Asset-liability management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0" w:right="3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335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0" w:right="2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510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0" w:right="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58 </w:t>
            </w:r>
          </w:p>
        </w:tc>
      </w:tr>
    </w:tbl>
    <w:p>
      <w:pPr>
        <w:autoSpaceDN w:val="0"/>
        <w:autoSpaceDE w:val="0"/>
        <w:widowControl/>
        <w:spacing w:line="200" w:lineRule="exact" w:before="32" w:after="8"/>
        <w:ind w:left="48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8"/>
        </w:rPr>
        <w:t xml:space="preserve">Net securities purchased/sold under resale/repurchase agreements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rHeight w:hRule="exact" w:val="222"/>
        </w:trPr>
        <w:tc>
          <w:tcPr>
            <w:tcW w:type="dxa" w:w="60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55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and payable for cash collateral received</w:t>
            </w:r>
          </w:p>
        </w:tc>
        <w:tc>
          <w:tcPr>
            <w:tcW w:type="dxa" w:w="32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7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419 </w:t>
            </w:r>
          </w:p>
        </w:tc>
        <w:tc>
          <w:tcPr>
            <w:tcW w:type="dxa" w:w="33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(278) </w:t>
            </w:r>
          </w:p>
        </w:tc>
        <w:tc>
          <w:tcPr>
            <w:tcW w:type="dxa" w:w="32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775 </w:t>
            </w:r>
          </w:p>
        </w:tc>
      </w:tr>
      <w:tr>
        <w:trPr>
          <w:trHeight w:hRule="exact" w:val="260"/>
        </w:trPr>
        <w:tc>
          <w:tcPr>
            <w:tcW w:type="dxa" w:w="60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4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Net receivable/payable from/to affiliated organizations</w:t>
            </w:r>
          </w:p>
        </w:tc>
        <w:tc>
          <w:tcPr>
            <w:tcW w:type="dxa" w:w="1170"/>
            <w:vMerge/>
            <w:tcBorders>
              <w:bottom w:sz="8.0" w:val="single" w:color="#000000"/>
            </w:tcBorders>
          </w:tcPr>
          <w:p/>
        </w:tc>
        <w:tc>
          <w:tcPr>
            <w:tcW w:type="dxa" w:w="7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0" w:right="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(419) </w:t>
            </w:r>
          </w:p>
        </w:tc>
        <w:tc>
          <w:tcPr>
            <w:tcW w:type="dxa" w:w="1170"/>
            <w:vMerge/>
            <w:tcBorders>
              <w:bottom w:sz="8.0" w:val="single" w:color="#000000"/>
            </w:tcBorders>
          </w:tcPr>
          <w:p/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0" w:right="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(269) </w:t>
            </w:r>
          </w:p>
        </w:tc>
        <w:tc>
          <w:tcPr>
            <w:tcW w:type="dxa" w:w="1170"/>
            <w:vMerge/>
            <w:tcBorders>
              <w:bottom w:sz="8.0" w:val="single" w:color="#000000"/>
            </w:tcBorders>
          </w:tcPr>
          <w:p/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0" w:right="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(124) </w:t>
            </w:r>
          </w:p>
        </w:tc>
      </w:tr>
      <w:tr>
        <w:trPr>
          <w:trHeight w:hRule="exact" w:val="260"/>
        </w:trPr>
        <w:tc>
          <w:tcPr>
            <w:tcW w:type="dxa" w:w="60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4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Payable for development grants</w:t>
            </w:r>
          </w:p>
        </w:tc>
        <w:tc>
          <w:tcPr>
            <w:tcW w:type="dxa" w:w="1170"/>
            <w:vMerge/>
            <w:tcBorders>
              <w:bottom w:sz="8.0" w:val="single" w:color="#000000"/>
            </w:tcBorders>
          </w:tcPr>
          <w:p/>
        </w:tc>
        <w:tc>
          <w:tcPr>
            <w:tcW w:type="dxa" w:w="7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14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(1,362) </w:t>
            </w:r>
          </w:p>
        </w:tc>
        <w:tc>
          <w:tcPr>
            <w:tcW w:type="dxa" w:w="1170"/>
            <w:vMerge/>
            <w:tcBorders>
              <w:bottom w:sz="8.0" w:val="single" w:color="#000000"/>
            </w:tcBorders>
          </w:tcPr>
          <w:p/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13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(1,526) </w:t>
            </w:r>
          </w:p>
        </w:tc>
        <w:tc>
          <w:tcPr>
            <w:tcW w:type="dxa" w:w="1170"/>
            <w:vMerge/>
            <w:tcBorders>
              <w:bottom w:sz="8.0" w:val="single" w:color="#000000"/>
            </w:tcBorders>
          </w:tcPr>
          <w:p/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14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(1,808) </w:t>
            </w:r>
          </w:p>
        </w:tc>
      </w:tr>
      <w:tr>
        <w:trPr>
          <w:trHeight w:hRule="exact" w:val="240"/>
        </w:trPr>
        <w:tc>
          <w:tcPr>
            <w:tcW w:type="dxa" w:w="60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0" w:after="0"/>
              <w:ind w:left="4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Accrued interest and commitment charges</w:t>
            </w:r>
          </w:p>
        </w:tc>
        <w:tc>
          <w:tcPr>
            <w:tcW w:type="dxa" w:w="1170"/>
            <w:vMerge/>
            <w:tcBorders>
              <w:bottom w:sz="8.0" w:val="single" w:color="#000000"/>
            </w:tcBorders>
          </w:tcPr>
          <w:p/>
        </w:tc>
        <w:tc>
          <w:tcPr>
            <w:tcW w:type="dxa" w:w="7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0" w:after="0"/>
              <w:ind w:left="0" w:right="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(64) </w:t>
            </w:r>
          </w:p>
        </w:tc>
        <w:tc>
          <w:tcPr>
            <w:tcW w:type="dxa" w:w="1170"/>
            <w:vMerge/>
            <w:tcBorders>
              <w:bottom w:sz="8.0" w:val="single" w:color="#000000"/>
            </w:tcBorders>
          </w:tcPr>
          <w:p/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0" w:after="0"/>
              <w:ind w:left="0" w:right="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(135) </w:t>
            </w:r>
          </w:p>
        </w:tc>
        <w:tc>
          <w:tcPr>
            <w:tcW w:type="dxa" w:w="1170"/>
            <w:vMerge/>
            <w:tcBorders>
              <w:bottom w:sz="8.0" w:val="single" w:color="#000000"/>
            </w:tcBorders>
          </w:tcPr>
          <w:p/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0" w:after="0"/>
              <w:ind w:left="0" w:right="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(55) </w:t>
            </w:r>
          </w:p>
        </w:tc>
      </w:tr>
      <w:tr>
        <w:trPr>
          <w:trHeight w:hRule="exact" w:val="260"/>
        </w:trPr>
        <w:tc>
          <w:tcPr>
            <w:tcW w:type="dxa" w:w="60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4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Other assets</w:t>
            </w:r>
          </w:p>
        </w:tc>
        <w:tc>
          <w:tcPr>
            <w:tcW w:type="dxa" w:w="1170"/>
            <w:vMerge/>
            <w:tcBorders>
              <w:bottom w:sz="8.0" w:val="single" w:color="#000000"/>
            </w:tcBorders>
          </w:tcPr>
          <w:p/>
        </w:tc>
        <w:tc>
          <w:tcPr>
            <w:tcW w:type="dxa" w:w="7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0" w:right="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(931) </w:t>
            </w:r>
          </w:p>
        </w:tc>
        <w:tc>
          <w:tcPr>
            <w:tcW w:type="dxa" w:w="1170"/>
            <w:vMerge/>
            <w:tcBorders>
              <w:bottom w:sz="8.0" w:val="single" w:color="#000000"/>
            </w:tcBorders>
          </w:tcPr>
          <w:p/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13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(1,873) </w:t>
            </w:r>
          </w:p>
        </w:tc>
        <w:tc>
          <w:tcPr>
            <w:tcW w:type="dxa" w:w="1170"/>
            <w:vMerge/>
            <w:tcBorders>
              <w:bottom w:sz="8.0" w:val="single" w:color="#000000"/>
            </w:tcBorders>
          </w:tcPr>
          <w:p/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46" w:after="0"/>
              <w:ind w:left="14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(1,171) </w:t>
            </w:r>
          </w:p>
        </w:tc>
      </w:tr>
      <w:tr>
        <w:trPr>
          <w:trHeight w:hRule="exact" w:val="270"/>
        </w:trPr>
        <w:tc>
          <w:tcPr>
            <w:tcW w:type="dxa" w:w="600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4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Accounts payable and miscellaneous liabilities</w:t>
            </w:r>
          </w:p>
        </w:tc>
        <w:tc>
          <w:tcPr>
            <w:tcW w:type="dxa" w:w="1170"/>
            <w:vMerge/>
            <w:tcBorders>
              <w:bottom w:sz="8.0" w:val="single" w:color="#000000"/>
            </w:tcBorders>
          </w:tcPr>
          <w:p/>
        </w:tc>
        <w:tc>
          <w:tcPr>
            <w:tcW w:type="dxa" w:w="7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0" w:right="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133 </w:t>
            </w:r>
          </w:p>
        </w:tc>
        <w:tc>
          <w:tcPr>
            <w:tcW w:type="dxa" w:w="1170"/>
            <w:vMerge/>
            <w:tcBorders>
              <w:bottom w:sz="8.0" w:val="single" w:color="#000000"/>
            </w:tcBorders>
          </w:tcPr>
          <w:p/>
        </w:tc>
        <w:tc>
          <w:tcPr>
            <w:tcW w:type="dxa" w:w="7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0" w:right="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100 </w:t>
            </w:r>
          </w:p>
        </w:tc>
        <w:tc>
          <w:tcPr>
            <w:tcW w:type="dxa" w:w="1170"/>
            <w:vMerge/>
            <w:tcBorders>
              <w:bottom w:sz="8.0" w:val="single" w:color="#000000"/>
            </w:tcBorders>
          </w:tcPr>
          <w:p/>
        </w:tc>
        <w:tc>
          <w:tcPr>
            <w:tcW w:type="dxa" w:w="7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0" w:right="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37 </w:t>
            </w:r>
          </w:p>
        </w:tc>
      </w:tr>
      <w:tr>
        <w:trPr>
          <w:trHeight w:hRule="exact" w:val="256"/>
        </w:trPr>
        <w:tc>
          <w:tcPr>
            <w:tcW w:type="dxa" w:w="600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64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Net cash (used in) provided by operating activities</w:t>
            </w:r>
          </w:p>
        </w:tc>
        <w:tc>
          <w:tcPr>
            <w:tcW w:type="dxa" w:w="3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14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(8,994) </w:t>
            </w:r>
          </w:p>
        </w:tc>
        <w:tc>
          <w:tcPr>
            <w:tcW w:type="dxa" w:w="3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19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3,138 </w:t>
            </w:r>
          </w:p>
        </w:tc>
        <w:tc>
          <w:tcPr>
            <w:tcW w:type="dxa" w:w="3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14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(8,494) </w:t>
            </w:r>
          </w:p>
        </w:tc>
      </w:tr>
      <w:tr>
        <w:trPr>
          <w:trHeight w:hRule="exact" w:val="254"/>
        </w:trPr>
        <w:tc>
          <w:tcPr>
            <w:tcW w:type="dxa" w:w="600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Effect of exchange rate changes on unrestricted and restricted cash</w:t>
            </w:r>
          </w:p>
        </w:tc>
        <w:tc>
          <w:tcPr>
            <w:tcW w:type="dxa" w:w="3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(15) </w:t>
            </w:r>
          </w:p>
        </w:tc>
        <w:tc>
          <w:tcPr>
            <w:tcW w:type="dxa" w:w="3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(7) </w:t>
            </w:r>
          </w:p>
        </w:tc>
        <w:tc>
          <w:tcPr>
            <w:tcW w:type="dxa" w:w="3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4" w:after="0"/>
              <w:ind w:left="0" w:right="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(35) </w:t>
            </w:r>
          </w:p>
        </w:tc>
      </w:tr>
      <w:tr>
        <w:trPr>
          <w:trHeight w:hRule="exact" w:val="240"/>
        </w:trPr>
        <w:tc>
          <w:tcPr>
            <w:tcW w:type="dxa" w:w="6000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10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Net (decrease) increase in unrestricted and restricted cash</w:t>
            </w:r>
          </w:p>
        </w:tc>
        <w:tc>
          <w:tcPr>
            <w:tcW w:type="dxa" w:w="32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7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(103) </w:t>
            </w:r>
          </w:p>
        </w:tc>
        <w:tc>
          <w:tcPr>
            <w:tcW w:type="dxa" w:w="33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7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 </w:t>
            </w:r>
          </w:p>
        </w:tc>
        <w:tc>
          <w:tcPr>
            <w:tcW w:type="dxa" w:w="32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7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190 </w:t>
            </w:r>
          </w:p>
        </w:tc>
      </w:tr>
      <w:tr>
        <w:trPr>
          <w:trHeight w:hRule="exact" w:val="270"/>
        </w:trPr>
        <w:tc>
          <w:tcPr>
            <w:tcW w:type="dxa" w:w="600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10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Unrestricted and restricted cash at beginning of the fiscal year</w:t>
            </w:r>
          </w:p>
        </w:tc>
        <w:tc>
          <w:tcPr>
            <w:tcW w:type="dxa" w:w="1170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7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0" w:right="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689 </w:t>
            </w:r>
          </w:p>
        </w:tc>
        <w:tc>
          <w:tcPr>
            <w:tcW w:type="dxa" w:w="1170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7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0" w:right="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686 </w:t>
            </w:r>
          </w:p>
        </w:tc>
        <w:tc>
          <w:tcPr>
            <w:tcW w:type="dxa" w:w="1170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7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0" w:right="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496 </w:t>
            </w:r>
          </w:p>
        </w:tc>
      </w:tr>
      <w:tr>
        <w:trPr>
          <w:trHeight w:hRule="exact" w:val="236"/>
        </w:trPr>
        <w:tc>
          <w:tcPr>
            <w:tcW w:type="dxa" w:w="600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10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8"/>
              </w:rPr>
              <w:t>Unrestricted and restricted cash at end of the fiscal year</w:t>
            </w:r>
          </w:p>
        </w:tc>
        <w:tc>
          <w:tcPr>
            <w:tcW w:type="dxa" w:w="3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7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586 </w:t>
            </w:r>
          </w:p>
        </w:tc>
        <w:tc>
          <w:tcPr>
            <w:tcW w:type="dxa" w:w="3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7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689 </w:t>
            </w:r>
          </w:p>
        </w:tc>
        <w:tc>
          <w:tcPr>
            <w:tcW w:type="dxa" w:w="3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7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0" w:right="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686 </w:t>
            </w:r>
          </w:p>
        </w:tc>
      </w:tr>
      <w:tr>
        <w:trPr>
          <w:trHeight w:hRule="exact" w:val="1454"/>
        </w:trPr>
        <w:tc>
          <w:tcPr>
            <w:tcW w:type="dxa" w:w="4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240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70</w:t>
            </w:r>
          </w:p>
        </w:tc>
        <w:tc>
          <w:tcPr>
            <w:tcW w:type="dxa" w:w="55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240" w:after="0"/>
              <w:ind w:left="25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IDA Financial Statements: June 30, 2024</w:t>
            </w:r>
          </w:p>
        </w:tc>
        <w:tc>
          <w:tcPr>
            <w:tcW w:type="dxa" w:w="3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3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516" w:right="1440" w:bottom="2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4"/>
        <w:ind w:left="0" w:right="0"/>
      </w:pPr>
    </w:p>
    <w:p>
      <w:pPr>
        <w:autoSpaceDN w:val="0"/>
        <w:autoSpaceDE w:val="0"/>
        <w:widowControl/>
        <w:spacing w:line="260" w:lineRule="exact" w:before="54" w:after="0"/>
        <w:ind w:left="0" w:right="2592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STATEMENTS OF CASH FLOWS </w:t>
      </w:r>
      <w:r>
        <w:br/>
      </w:r>
      <w:r>
        <w:rPr>
          <w:rFonts w:ascii="Arial" w:hAnsi="Arial" w:eastAsia="Arial"/>
          <w:b w:val="0"/>
          <w:i/>
          <w:color w:val="000000"/>
          <w:sz w:val="20"/>
        </w:rPr>
        <w:t>For the fiscal years ended June 30, 2024, June 30, 2023 and June 30, 2022</w:t>
      </w:r>
    </w:p>
    <w:p>
      <w:pPr>
        <w:autoSpaceDN w:val="0"/>
        <w:autoSpaceDE w:val="0"/>
        <w:widowControl/>
        <w:spacing w:line="224" w:lineRule="exact" w:before="256" w:after="38"/>
        <w:ind w:left="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0"/>
        </w:rPr>
        <w:t xml:space="preserve">Expressed in millions of U.S. dollars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944.0" w:type="dxa"/>
      </w:tblPr>
      <w:tblGrid>
        <w:gridCol w:w="3120"/>
        <w:gridCol w:w="3120"/>
        <w:gridCol w:w="3120"/>
      </w:tblGrid>
      <w:tr>
        <w:trPr>
          <w:trHeight w:hRule="exact" w:val="268"/>
        </w:trPr>
        <w:tc>
          <w:tcPr>
            <w:tcW w:type="dxa" w:w="9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2024</w:t>
            </w:r>
          </w:p>
        </w:tc>
        <w:tc>
          <w:tcPr>
            <w:tcW w:type="dxa" w:w="1112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2023</w:t>
            </w:r>
          </w:p>
        </w:tc>
        <w:tc>
          <w:tcPr>
            <w:tcW w:type="dxa" w:w="1108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8"/>
              </w:rPr>
              <w:t>2022</w:t>
            </w:r>
          </w:p>
        </w:tc>
      </w:tr>
    </w:tbl>
    <w:p>
      <w:pPr>
        <w:autoSpaceDN w:val="0"/>
        <w:tabs>
          <w:tab w:pos="232" w:val="left"/>
          <w:tab w:pos="412" w:val="left"/>
        </w:tabs>
        <w:autoSpaceDE w:val="0"/>
        <w:widowControl/>
        <w:spacing w:line="218" w:lineRule="exact" w:before="8" w:after="0"/>
        <w:ind w:left="52" w:right="3456" w:firstLine="0"/>
        <w:jc w:val="left"/>
      </w:pPr>
      <w:r>
        <w:rPr>
          <w:rFonts w:ascii="Arial" w:hAnsi="Arial" w:eastAsia="Arial"/>
          <w:b/>
          <w:i w:val="0"/>
          <w:color w:val="000000"/>
          <w:sz w:val="18"/>
        </w:rPr>
        <w:t xml:space="preserve">Supplemental disclosure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18"/>
        </w:rPr>
        <w:t xml:space="preserve">(Decrease) Increase in ending balances resulting from exchange rate </w:t>
      </w:r>
      <w:r>
        <w:tab/>
      </w:r>
      <w:r>
        <w:tab/>
      </w:r>
      <w:r>
        <w:rPr>
          <w:rFonts w:ascii="ArialMT" w:hAnsi="ArialMT" w:eastAsia="ArialMT"/>
          <w:b w:val="0"/>
          <w:i w:val="0"/>
          <w:color w:val="000000"/>
          <w:sz w:val="18"/>
        </w:rPr>
        <w:t>fluctuations: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274"/>
        </w:trPr>
        <w:tc>
          <w:tcPr>
            <w:tcW w:type="dxa" w:w="5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0" w:after="0"/>
              <w:ind w:left="4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Loans outstanding</w:t>
            </w:r>
          </w:p>
        </w:tc>
        <w:tc>
          <w:tcPr>
            <w:tcW w:type="dxa" w:w="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0" w:after="0"/>
              <w:ind w:left="9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(2,038) $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0" w:after="0"/>
              <w:ind w:left="0" w:right="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767 </w:t>
            </w:r>
          </w:p>
        </w:tc>
        <w:tc>
          <w:tcPr>
            <w:tcW w:type="dxa" w:w="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$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(12,505) </w:t>
            </w:r>
          </w:p>
        </w:tc>
      </w:tr>
      <w:tr>
        <w:trPr>
          <w:trHeight w:hRule="exact" w:val="260"/>
        </w:trPr>
        <w:tc>
          <w:tcPr>
            <w:tcW w:type="dxa" w:w="5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4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Investment portfolio</w:t>
            </w:r>
          </w:p>
        </w:tc>
        <w:tc>
          <w:tcPr>
            <w:tcW w:type="dxa" w:w="1560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24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(331)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0" w:right="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273 </w:t>
            </w:r>
          </w:p>
        </w:tc>
        <w:tc>
          <w:tcPr>
            <w:tcW w:type="dxa" w:w="1560"/>
            <w:vMerge/>
            <w:tcBorders/>
          </w:tcPr>
          <w:p/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19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(2,205) </w:t>
            </w:r>
          </w:p>
        </w:tc>
      </w:tr>
      <w:tr>
        <w:trPr>
          <w:trHeight w:hRule="exact" w:val="260"/>
        </w:trPr>
        <w:tc>
          <w:tcPr>
            <w:tcW w:type="dxa" w:w="5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4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Borrowing</w:t>
            </w:r>
            <w:r>
              <w:rPr>
                <w:rFonts w:ascii="ArialMT" w:hAnsi="ArialMT" w:eastAsia="ArialMT"/>
                <w:b w:val="0"/>
                <w:i w:val="0"/>
                <w:strike/>
                <w:color w:val="000000"/>
                <w:sz w:val="18"/>
              </w:rPr>
              <w:t>s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 portfolio</w:t>
            </w:r>
          </w:p>
        </w:tc>
        <w:tc>
          <w:tcPr>
            <w:tcW w:type="dxa" w:w="1560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24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(474)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0" w:right="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735 </w:t>
            </w:r>
          </w:p>
        </w:tc>
        <w:tc>
          <w:tcPr>
            <w:tcW w:type="dxa" w:w="1560"/>
            <w:vMerge/>
            <w:tcBorders/>
          </w:tcPr>
          <w:p/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6" w:after="0"/>
              <w:ind w:left="19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(2,504) </w:t>
            </w:r>
          </w:p>
        </w:tc>
      </w:tr>
      <w:tr>
        <w:trPr>
          <w:trHeight w:hRule="exact" w:val="240"/>
        </w:trPr>
        <w:tc>
          <w:tcPr>
            <w:tcW w:type="dxa" w:w="5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0" w:after="0"/>
              <w:ind w:left="4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Derivatives—Asset-liability management</w:t>
            </w:r>
          </w:p>
        </w:tc>
        <w:tc>
          <w:tcPr>
            <w:tcW w:type="dxa" w:w="1560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0" w:after="0"/>
              <w:ind w:left="0" w:right="5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151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0" w:after="0"/>
              <w:ind w:left="0" w:right="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190 </w:t>
            </w:r>
          </w:p>
        </w:tc>
        <w:tc>
          <w:tcPr>
            <w:tcW w:type="dxa" w:w="1560"/>
            <w:vMerge/>
            <w:tcBorders/>
          </w:tcPr>
          <w:p/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30" w:after="0"/>
              <w:ind w:left="0" w:right="1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1,253 </w:t>
            </w:r>
          </w:p>
        </w:tc>
      </w:tr>
      <w:tr>
        <w:trPr>
          <w:trHeight w:hRule="exact" w:val="440"/>
        </w:trPr>
        <w:tc>
          <w:tcPr>
            <w:tcW w:type="dxa" w:w="5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12" w:val="left"/>
              </w:tabs>
              <w:autoSpaceDE w:val="0"/>
              <w:widowControl/>
              <w:spacing w:line="180" w:lineRule="exact" w:before="66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Principal repayments written off under Heavily Indebted Poor Countries </w:t>
            </w:r>
            <w:r>
              <w:tab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(HIPC)/Multilateral Debt Relief Initiative (MDRI)</w:t>
            </w:r>
          </w:p>
        </w:tc>
        <w:tc>
          <w:tcPr>
            <w:tcW w:type="dxa" w:w="1560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26" w:after="0"/>
              <w:ind w:left="0" w:right="5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104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26" w:after="0"/>
              <w:ind w:left="0" w:right="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22 </w:t>
            </w:r>
          </w:p>
        </w:tc>
        <w:tc>
          <w:tcPr>
            <w:tcW w:type="dxa" w:w="1560"/>
            <w:vMerge/>
            <w:tcBorders/>
          </w:tcPr>
          <w:p/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26" w:after="0"/>
              <w:ind w:left="0" w:right="1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30 </w:t>
            </w:r>
          </w:p>
        </w:tc>
      </w:tr>
      <w:tr>
        <w:trPr>
          <w:trHeight w:hRule="exact" w:val="302"/>
        </w:trPr>
        <w:tc>
          <w:tcPr>
            <w:tcW w:type="dxa" w:w="5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>Interest paid on borrowing portfolio</w:t>
            </w:r>
          </w:p>
        </w:tc>
        <w:tc>
          <w:tcPr>
            <w:tcW w:type="dxa" w:w="1560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15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1,390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0" w:right="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778 </w:t>
            </w:r>
          </w:p>
        </w:tc>
        <w:tc>
          <w:tcPr>
            <w:tcW w:type="dxa" w:w="1560"/>
            <w:vMerge/>
            <w:tcBorders/>
          </w:tcPr>
          <w:p/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0" w:after="0"/>
              <w:ind w:left="0" w:right="1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8"/>
              </w:rPr>
              <w:t xml:space="preserve">119 </w:t>
            </w:r>
          </w:p>
        </w:tc>
      </w:tr>
    </w:tbl>
    <w:p>
      <w:pPr>
        <w:autoSpaceDN w:val="0"/>
        <w:autoSpaceDE w:val="0"/>
        <w:widowControl/>
        <w:spacing w:line="200" w:lineRule="exact" w:before="1238" w:after="0"/>
        <w:ind w:left="0" w:right="0" w:firstLine="0"/>
        <w:jc w:val="center"/>
      </w:pPr>
      <w:r>
        <w:rPr>
          <w:rFonts w:ascii="Arial" w:hAnsi="Arial" w:eastAsia="Arial"/>
          <w:b/>
          <w:i/>
          <w:color w:val="000000"/>
          <w:sz w:val="18"/>
        </w:rPr>
        <w:t>The Notes to Financial Statements are an integral part of these Statements.</w:t>
      </w:r>
    </w:p>
    <w:p>
      <w:pPr>
        <w:autoSpaceDN w:val="0"/>
        <w:tabs>
          <w:tab w:pos="9084" w:val="left"/>
        </w:tabs>
        <w:autoSpaceDE w:val="0"/>
        <w:widowControl/>
        <w:spacing w:line="224" w:lineRule="exact" w:before="8956" w:after="0"/>
        <w:ind w:left="498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Financial Statements: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71</w:t>
      </w:r>
    </w:p>
    <w:p>
      <w:pPr>
        <w:sectPr>
          <w:pgSz w:w="12240" w:h="15840"/>
          <w:pgMar w:top="516" w:right="1440" w:bottom="2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54"/>
        <w:ind w:left="0" w:right="0"/>
      </w:pPr>
    </w:p>
    <w:p>
      <w:pPr>
        <w:autoSpaceDN w:val="0"/>
        <w:autoSpaceDE w:val="0"/>
        <w:widowControl/>
        <w:spacing w:line="260" w:lineRule="exact" w:before="54" w:after="0"/>
        <w:ind w:left="10" w:right="4608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SUMMARY STATEMENT OF LOANS </w:t>
      </w:r>
      <w:r>
        <w:br/>
      </w:r>
      <w:r>
        <w:rPr>
          <w:rFonts w:ascii="Arial" w:hAnsi="Arial" w:eastAsia="Arial"/>
          <w:b w:val="0"/>
          <w:i/>
          <w:color w:val="000000"/>
          <w:sz w:val="20"/>
        </w:rPr>
        <w:t>June 30, 2024</w:t>
      </w:r>
    </w:p>
    <w:p>
      <w:pPr>
        <w:autoSpaceDN w:val="0"/>
        <w:tabs>
          <w:tab w:pos="4630" w:val="left"/>
        </w:tabs>
        <w:autoSpaceDE w:val="0"/>
        <w:widowControl/>
        <w:spacing w:line="194" w:lineRule="exact" w:before="144" w:after="32"/>
        <w:ind w:left="62" w:right="3168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Amounts expressed in millions of U.S. dollars </w:t>
      </w:r>
      <w:r>
        <w:br/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>Undisbursed balance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52"/>
        <w:gridCol w:w="852"/>
        <w:gridCol w:w="852"/>
        <w:gridCol w:w="852"/>
        <w:gridCol w:w="852"/>
        <w:gridCol w:w="852"/>
        <w:gridCol w:w="852"/>
        <w:gridCol w:w="852"/>
        <w:gridCol w:w="852"/>
        <w:gridCol w:w="852"/>
        <w:gridCol w:w="852"/>
      </w:tblGrid>
      <w:tr>
        <w:trPr>
          <w:trHeight w:hRule="exact" w:val="212"/>
        </w:trPr>
        <w:tc>
          <w:tcPr>
            <w:tcW w:type="dxa" w:w="539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0" w:right="378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Loans </w:t>
            </w:r>
          </w:p>
        </w:tc>
        <w:tc>
          <w:tcPr>
            <w:tcW w:type="dxa" w:w="12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3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Signed loan </w:t>
            </w:r>
          </w:p>
        </w:tc>
        <w:tc>
          <w:tcPr>
            <w:tcW w:type="dxa" w:w="20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32" w:after="0"/>
              <w:ind w:left="20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Loans </w:t>
            </w:r>
          </w:p>
        </w:tc>
        <w:tc>
          <w:tcPr>
            <w:tcW w:type="dxa" w:w="134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88" w:after="0"/>
              <w:ind w:left="0" w:right="144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Percentage of </w:t>
            </w: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total loans </w:t>
            </w:r>
            <w:r>
              <w:br/>
            </w: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outstanding </w:t>
            </w:r>
            <w:r>
              <w:rPr>
                <w:w w:val="103.99999618530273"/>
                <w:rFonts w:ascii="Arial" w:hAnsi="Arial" w:eastAsia="Arial"/>
                <w:b w:val="0"/>
                <w:i/>
                <w:color w:val="000000"/>
                <w:sz w:val="10"/>
              </w:rPr>
              <w:t>a</w:t>
            </w:r>
          </w:p>
        </w:tc>
      </w:tr>
      <w:tr>
        <w:trPr>
          <w:trHeight w:hRule="exact" w:val="100"/>
        </w:trPr>
        <w:tc>
          <w:tcPr>
            <w:tcW w:type="dxa" w:w="271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6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Borrower or guarantor</w:t>
            </w:r>
          </w:p>
        </w:tc>
        <w:tc>
          <w:tcPr>
            <w:tcW w:type="dxa" w:w="13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0" w:right="188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Total loans</w:t>
            </w:r>
          </w:p>
        </w:tc>
        <w:tc>
          <w:tcPr>
            <w:tcW w:type="dxa" w:w="132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21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approved but </w:t>
            </w:r>
          </w:p>
        </w:tc>
        <w:tc>
          <w:tcPr>
            <w:tcW w:type="dxa" w:w="1704"/>
            <w:gridSpan w:val="2"/>
            <w:vMerge/>
            <w:tcBorders/>
          </w:tcPr>
          <w:p/>
        </w:tc>
        <w:tc>
          <w:tcPr>
            <w:tcW w:type="dxa" w:w="852"/>
            <w:vMerge/>
            <w:tcBorders>
              <w:bottom w:sz="8.0" w:val="single" w:color="#000000"/>
            </w:tcBorders>
          </w:tcPr>
          <w:p/>
        </w:tc>
        <w:tc>
          <w:tcPr>
            <w:tcW w:type="dxa" w:w="852"/>
            <w:vMerge/>
            <w:tcBorders/>
          </w:tcPr>
          <w:p/>
        </w:tc>
        <w:tc>
          <w:tcPr>
            <w:tcW w:type="dxa" w:w="852"/>
            <w:vMerge/>
            <w:tcBorders>
              <w:bottom w:sz="8.0" w:val="single" w:color="#000000"/>
            </w:tcBorders>
          </w:tcPr>
          <w:p/>
        </w:tc>
      </w:tr>
      <w:tr>
        <w:trPr>
          <w:trHeight w:hRule="exact" w:val="100"/>
        </w:trPr>
        <w:tc>
          <w:tcPr>
            <w:tcW w:type="dxa" w:w="1704"/>
            <w:gridSpan w:val="2"/>
            <w:vMerge/>
            <w:tcBorders/>
          </w:tcPr>
          <w:p/>
        </w:tc>
        <w:tc>
          <w:tcPr>
            <w:tcW w:type="dxa" w:w="1704"/>
            <w:gridSpan w:val="2"/>
            <w:vMerge/>
            <w:tcBorders/>
          </w:tcPr>
          <w:p/>
        </w:tc>
        <w:tc>
          <w:tcPr>
            <w:tcW w:type="dxa" w:w="1704"/>
            <w:gridSpan w:val="2"/>
            <w:vMerge/>
            <w:tcBorders/>
          </w:tcPr>
          <w:p/>
        </w:tc>
        <w:tc>
          <w:tcPr>
            <w:tcW w:type="dxa" w:w="1260"/>
            <w:gridSpan w:val="2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commitments</w:t>
            </w:r>
          </w:p>
        </w:tc>
        <w:tc>
          <w:tcPr>
            <w:tcW w:type="dxa" w:w="852"/>
            <w:vMerge/>
            <w:tcBorders>
              <w:bottom w:sz="8.0" w:val="single" w:color="#000000"/>
            </w:tcBorders>
          </w:tcPr>
          <w:p/>
        </w:tc>
        <w:tc>
          <w:tcPr>
            <w:tcW w:type="dxa" w:w="108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outstanding</w:t>
            </w:r>
          </w:p>
        </w:tc>
        <w:tc>
          <w:tcPr>
            <w:tcW w:type="dxa" w:w="852"/>
            <w:vMerge/>
            <w:tcBorders>
              <w:bottom w:sz="8.0" w:val="single" w:color="#000000"/>
            </w:tcBorders>
          </w:tcPr>
          <w:p/>
        </w:tc>
      </w:tr>
      <w:tr>
        <w:trPr>
          <w:trHeight w:hRule="exact" w:val="230"/>
        </w:trPr>
        <w:tc>
          <w:tcPr>
            <w:tcW w:type="dxa" w:w="5390"/>
            <w:gridSpan w:val="6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8" w:after="0"/>
              <w:ind w:left="0" w:right="142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not yet signed</w:t>
            </w:r>
          </w:p>
        </w:tc>
        <w:tc>
          <w:tcPr>
            <w:tcW w:type="dxa" w:w="1704"/>
            <w:gridSpan w:val="2"/>
            <w:vMerge/>
            <w:tcBorders>
              <w:bottom w:sz="8.0" w:val="single" w:color="#000000"/>
            </w:tcBorders>
          </w:tcPr>
          <w:p/>
        </w:tc>
        <w:tc>
          <w:tcPr>
            <w:tcW w:type="dxa" w:w="852"/>
            <w:vMerge/>
            <w:tcBorders>
              <w:bottom w:sz="8.0" w:val="single" w:color="#000000"/>
            </w:tcBorders>
          </w:tcPr>
          <w:p/>
        </w:tc>
        <w:tc>
          <w:tcPr>
            <w:tcW w:type="dxa" w:w="852"/>
            <w:vMerge/>
            <w:tcBorders>
              <w:bottom w:sz="8.0" w:val="single" w:color="#000000"/>
            </w:tcBorders>
          </w:tcPr>
          <w:p/>
        </w:tc>
        <w:tc>
          <w:tcPr>
            <w:tcW w:type="dxa" w:w="852"/>
            <w:vMerge/>
            <w:tcBorders>
              <w:bottom w:sz="8.0" w:val="single" w:color="#000000"/>
            </w:tcBorders>
          </w:tcPr>
          <w:p/>
        </w:tc>
      </w:tr>
      <w:tr>
        <w:trPr>
          <w:trHeight w:hRule="exact" w:val="170"/>
        </w:trPr>
        <w:tc>
          <w:tcPr>
            <w:tcW w:type="dxa" w:w="2710"/>
            <w:gridSpan w:val="2"/>
            <w:tcBorders>
              <w:top w:sz="8.0" w:val="single" w:color="#000000"/>
            </w:tcBorders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Afghanistan</w:t>
            </w:r>
          </w:p>
        </w:tc>
        <w:tc>
          <w:tcPr>
            <w:tcW w:type="dxa" w:w="706"/>
            <w:tcBorders>
              <w:top w:sz="8.0" w:val="single" w:color="#000000"/>
            </w:tcBorders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3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54"/>
            <w:tcBorders>
              <w:top w:sz="8.0" w:val="single" w:color="#000000"/>
            </w:tcBorders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286 </w:t>
            </w:r>
          </w:p>
        </w:tc>
        <w:tc>
          <w:tcPr>
            <w:tcW w:type="dxa" w:w="660"/>
            <w:tcBorders>
              <w:top w:sz="8.0" w:val="single" w:color="#000000"/>
            </w:tcBorders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60"/>
            <w:tcBorders>
              <w:top w:sz="8.0" w:val="single" w:color="#000000"/>
            </w:tcBorders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580"/>
            <w:tcBorders>
              <w:top w:sz="8.0" w:val="single" w:color="#000000"/>
            </w:tcBorders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80"/>
            <w:tcBorders>
              <w:top w:sz="8.0" w:val="single" w:color="#000000"/>
            </w:tcBorders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200"/>
            <w:vMerge w:val="restart"/>
            <w:tcBorders>
              <w:top w:sz="8.0" w:val="single" w:color="#000000"/>
            </w:tcBorders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80"/>
            <w:tcBorders>
              <w:top w:sz="8.0" w:val="single" w:color="#000000"/>
            </w:tcBorders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286 </w:t>
            </w:r>
          </w:p>
        </w:tc>
        <w:tc>
          <w:tcPr>
            <w:tcW w:type="dxa" w:w="1344"/>
            <w:tcBorders>
              <w:top w:sz="8.0" w:val="single" w:color="#000000"/>
            </w:tcBorders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0.14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%</w:t>
            </w:r>
          </w:p>
        </w:tc>
      </w:tr>
      <w:tr>
        <w:trPr>
          <w:trHeight w:hRule="exact" w:val="200"/>
        </w:trPr>
        <w:tc>
          <w:tcPr>
            <w:tcW w:type="dxa" w:w="27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Albania</w:t>
            </w:r>
          </w:p>
        </w:tc>
        <w:tc>
          <w:tcPr>
            <w:tcW w:type="dxa" w:w="13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361 </w:t>
            </w:r>
          </w:p>
        </w:tc>
        <w:tc>
          <w:tcPr>
            <w:tcW w:type="dxa" w:w="132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852"/>
            <w:vMerge/>
            <w:tcBorders>
              <w:top w:sz="8.0" w:val="single" w:color="#000000"/>
            </w:tcBorders>
          </w:tcPr>
          <w:p/>
        </w:tc>
        <w:tc>
          <w:tcPr>
            <w:tcW w:type="dxa" w:w="10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361 </w:t>
            </w:r>
          </w:p>
        </w:tc>
        <w:tc>
          <w:tcPr>
            <w:tcW w:type="dxa" w:w="1344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0.18</w:t>
            </w:r>
          </w:p>
        </w:tc>
      </w:tr>
      <w:tr>
        <w:trPr>
          <w:trHeight w:hRule="exact" w:val="180"/>
        </w:trPr>
        <w:tc>
          <w:tcPr>
            <w:tcW w:type="dxa" w:w="27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Angola</w:t>
            </w:r>
          </w:p>
        </w:tc>
        <w:tc>
          <w:tcPr>
            <w:tcW w:type="dxa" w:w="13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311 </w:t>
            </w:r>
          </w:p>
        </w:tc>
        <w:tc>
          <w:tcPr>
            <w:tcW w:type="dxa" w:w="132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852"/>
            <w:vMerge/>
            <w:tcBorders>
              <w:top w:sz="8.0" w:val="single" w:color="#000000"/>
            </w:tcBorders>
          </w:tcPr>
          <w:p/>
        </w:tc>
        <w:tc>
          <w:tcPr>
            <w:tcW w:type="dxa" w:w="10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311 </w:t>
            </w:r>
          </w:p>
        </w:tc>
        <w:tc>
          <w:tcPr>
            <w:tcW w:type="dxa" w:w="1344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0.15</w:t>
            </w:r>
          </w:p>
        </w:tc>
      </w:tr>
      <w:tr>
        <w:trPr>
          <w:trHeight w:hRule="exact" w:val="200"/>
        </w:trPr>
        <w:tc>
          <w:tcPr>
            <w:tcW w:type="dxa" w:w="27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Armenia</w:t>
            </w:r>
          </w:p>
        </w:tc>
        <w:tc>
          <w:tcPr>
            <w:tcW w:type="dxa" w:w="13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689 </w:t>
            </w:r>
          </w:p>
        </w:tc>
        <w:tc>
          <w:tcPr>
            <w:tcW w:type="dxa" w:w="132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852"/>
            <w:vMerge/>
            <w:tcBorders>
              <w:top w:sz="8.0" w:val="single" w:color="#000000"/>
            </w:tcBorders>
          </w:tcPr>
          <w:p/>
        </w:tc>
        <w:tc>
          <w:tcPr>
            <w:tcW w:type="dxa" w:w="10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689 </w:t>
            </w:r>
          </w:p>
        </w:tc>
        <w:tc>
          <w:tcPr>
            <w:tcW w:type="dxa" w:w="1344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0.34</w:t>
            </w:r>
          </w:p>
        </w:tc>
      </w:tr>
      <w:tr>
        <w:trPr>
          <w:trHeight w:hRule="exact" w:val="226"/>
        </w:trPr>
        <w:tc>
          <w:tcPr>
            <w:tcW w:type="dxa" w:w="27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Azerbaijan</w:t>
            </w:r>
          </w:p>
        </w:tc>
        <w:tc>
          <w:tcPr>
            <w:tcW w:type="dxa" w:w="13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145 </w:t>
            </w:r>
          </w:p>
        </w:tc>
        <w:tc>
          <w:tcPr>
            <w:tcW w:type="dxa" w:w="132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852"/>
            <w:vMerge/>
            <w:tcBorders>
              <w:top w:sz="8.0" w:val="single" w:color="#000000"/>
            </w:tcBorders>
          </w:tcPr>
          <w:p/>
        </w:tc>
        <w:tc>
          <w:tcPr>
            <w:tcW w:type="dxa" w:w="10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145 </w:t>
            </w:r>
          </w:p>
        </w:tc>
        <w:tc>
          <w:tcPr>
            <w:tcW w:type="dxa" w:w="1344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0.07</w:t>
            </w:r>
          </w:p>
        </w:tc>
      </w:tr>
      <w:tr>
        <w:trPr>
          <w:trHeight w:hRule="exact" w:val="174"/>
        </w:trPr>
        <w:tc>
          <w:tcPr>
            <w:tcW w:type="dxa" w:w="27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Bangladesh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29,262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1,040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7,725 </w:t>
            </w:r>
          </w:p>
        </w:tc>
        <w:tc>
          <w:tcPr>
            <w:tcW w:type="dxa" w:w="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20,497 </w:t>
            </w:r>
          </w:p>
        </w:tc>
        <w:tc>
          <w:tcPr>
            <w:tcW w:type="dxa" w:w="13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10.12</w:t>
            </w:r>
          </w:p>
        </w:tc>
      </w:tr>
      <w:tr>
        <w:trPr>
          <w:trHeight w:hRule="exact" w:val="180"/>
        </w:trPr>
        <w:tc>
          <w:tcPr>
            <w:tcW w:type="dxa" w:w="27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Benin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3,632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1,429 </w:t>
            </w:r>
          </w:p>
        </w:tc>
        <w:tc>
          <w:tcPr>
            <w:tcW w:type="dxa" w:w="852"/>
            <w:vMerge/>
            <w:tcBorders/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2,203 </w:t>
            </w:r>
          </w:p>
        </w:tc>
        <w:tc>
          <w:tcPr>
            <w:tcW w:type="dxa" w:w="13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1.09</w:t>
            </w:r>
          </w:p>
        </w:tc>
      </w:tr>
      <w:tr>
        <w:trPr>
          <w:trHeight w:hRule="exact" w:val="200"/>
        </w:trPr>
        <w:tc>
          <w:tcPr>
            <w:tcW w:type="dxa" w:w="27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Bhutan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436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 </w:t>
            </w:r>
          </w:p>
        </w:tc>
        <w:tc>
          <w:tcPr>
            <w:tcW w:type="dxa" w:w="852"/>
            <w:vMerge/>
            <w:tcBorders/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427 </w:t>
            </w:r>
          </w:p>
        </w:tc>
        <w:tc>
          <w:tcPr>
            <w:tcW w:type="dxa" w:w="13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0.21</w:t>
            </w:r>
          </w:p>
        </w:tc>
      </w:tr>
      <w:tr>
        <w:trPr>
          <w:trHeight w:hRule="exact" w:val="200"/>
        </w:trPr>
        <w:tc>
          <w:tcPr>
            <w:tcW w:type="dxa" w:w="27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Bolivia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775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65 </w:t>
            </w:r>
          </w:p>
        </w:tc>
        <w:tc>
          <w:tcPr>
            <w:tcW w:type="dxa" w:w="852"/>
            <w:vMerge/>
            <w:tcBorders/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710 </w:t>
            </w:r>
          </w:p>
        </w:tc>
        <w:tc>
          <w:tcPr>
            <w:tcW w:type="dxa" w:w="13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0.35</w:t>
            </w:r>
          </w:p>
        </w:tc>
      </w:tr>
      <w:tr>
        <w:trPr>
          <w:trHeight w:hRule="exact" w:val="222"/>
        </w:trPr>
        <w:tc>
          <w:tcPr>
            <w:tcW w:type="dxa" w:w="27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Bosnia and Herzegovina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569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852"/>
            <w:vMerge/>
            <w:tcBorders/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569 </w:t>
            </w:r>
          </w:p>
        </w:tc>
        <w:tc>
          <w:tcPr>
            <w:tcW w:type="dxa" w:w="13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0.28</w:t>
            </w:r>
          </w:p>
        </w:tc>
      </w:tr>
      <w:tr>
        <w:trPr>
          <w:trHeight w:hRule="exact" w:val="158"/>
        </w:trPr>
        <w:tc>
          <w:tcPr>
            <w:tcW w:type="dxa" w:w="27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Burkina Faso</w:t>
            </w:r>
          </w:p>
        </w:tc>
        <w:tc>
          <w:tcPr>
            <w:tcW w:type="dxa" w:w="13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4,361 </w:t>
            </w:r>
          </w:p>
        </w:tc>
        <w:tc>
          <w:tcPr>
            <w:tcW w:type="dxa" w:w="132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199 </w:t>
            </w:r>
          </w:p>
        </w:tc>
        <w:tc>
          <w:tcPr>
            <w:tcW w:type="dxa" w:w="12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1,633 </w:t>
            </w:r>
          </w:p>
        </w:tc>
        <w:tc>
          <w:tcPr>
            <w:tcW w:type="dxa" w:w="200"/>
            <w:vMerge w:val="restart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2,529 </w:t>
            </w:r>
          </w:p>
        </w:tc>
        <w:tc>
          <w:tcPr>
            <w:tcW w:type="dxa" w:w="1344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1.25</w:t>
            </w:r>
          </w:p>
        </w:tc>
      </w:tr>
      <w:tr>
        <w:trPr>
          <w:trHeight w:hRule="exact" w:val="200"/>
        </w:trPr>
        <w:tc>
          <w:tcPr>
            <w:tcW w:type="dxa" w:w="27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Burundi</w:t>
            </w:r>
          </w:p>
        </w:tc>
        <w:tc>
          <w:tcPr>
            <w:tcW w:type="dxa" w:w="13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113 </w:t>
            </w:r>
          </w:p>
        </w:tc>
        <w:tc>
          <w:tcPr>
            <w:tcW w:type="dxa" w:w="132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852"/>
            <w:vMerge/>
            <w:tcBorders/>
          </w:tcPr>
          <w:p/>
        </w:tc>
        <w:tc>
          <w:tcPr>
            <w:tcW w:type="dxa" w:w="10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113 </w:t>
            </w:r>
          </w:p>
        </w:tc>
        <w:tc>
          <w:tcPr>
            <w:tcW w:type="dxa" w:w="1344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0.05</w:t>
            </w:r>
          </w:p>
        </w:tc>
      </w:tr>
      <w:tr>
        <w:trPr>
          <w:trHeight w:hRule="exact" w:val="200"/>
        </w:trPr>
        <w:tc>
          <w:tcPr>
            <w:tcW w:type="dxa" w:w="27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Cabo Verde, Republic of</w:t>
            </w:r>
          </w:p>
        </w:tc>
        <w:tc>
          <w:tcPr>
            <w:tcW w:type="dxa" w:w="13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722 </w:t>
            </w:r>
          </w:p>
        </w:tc>
        <w:tc>
          <w:tcPr>
            <w:tcW w:type="dxa" w:w="132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164 </w:t>
            </w:r>
          </w:p>
        </w:tc>
        <w:tc>
          <w:tcPr>
            <w:tcW w:type="dxa" w:w="852"/>
            <w:vMerge/>
            <w:tcBorders/>
          </w:tcPr>
          <w:p/>
        </w:tc>
        <w:tc>
          <w:tcPr>
            <w:tcW w:type="dxa" w:w="10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558 </w:t>
            </w:r>
          </w:p>
        </w:tc>
        <w:tc>
          <w:tcPr>
            <w:tcW w:type="dxa" w:w="1344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0.28</w:t>
            </w:r>
          </w:p>
        </w:tc>
      </w:tr>
      <w:tr>
        <w:trPr>
          <w:trHeight w:hRule="exact" w:val="200"/>
        </w:trPr>
        <w:tc>
          <w:tcPr>
            <w:tcW w:type="dxa" w:w="27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Cambodia</w:t>
            </w:r>
          </w:p>
        </w:tc>
        <w:tc>
          <w:tcPr>
            <w:tcW w:type="dxa" w:w="13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2,703 </w:t>
            </w:r>
          </w:p>
        </w:tc>
        <w:tc>
          <w:tcPr>
            <w:tcW w:type="dxa" w:w="132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519 </w:t>
            </w:r>
          </w:p>
        </w:tc>
        <w:tc>
          <w:tcPr>
            <w:tcW w:type="dxa" w:w="12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826 </w:t>
            </w:r>
          </w:p>
        </w:tc>
        <w:tc>
          <w:tcPr>
            <w:tcW w:type="dxa" w:w="852"/>
            <w:vMerge/>
            <w:tcBorders/>
          </w:tcPr>
          <w:p/>
        </w:tc>
        <w:tc>
          <w:tcPr>
            <w:tcW w:type="dxa" w:w="10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1,358 </w:t>
            </w:r>
          </w:p>
        </w:tc>
        <w:tc>
          <w:tcPr>
            <w:tcW w:type="dxa" w:w="1344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0.67</w:t>
            </w:r>
          </w:p>
        </w:tc>
      </w:tr>
      <w:tr>
        <w:trPr>
          <w:trHeight w:hRule="exact" w:val="216"/>
        </w:trPr>
        <w:tc>
          <w:tcPr>
            <w:tcW w:type="dxa" w:w="27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Cameroon</w:t>
            </w:r>
          </w:p>
        </w:tc>
        <w:tc>
          <w:tcPr>
            <w:tcW w:type="dxa" w:w="13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4,953 </w:t>
            </w:r>
          </w:p>
        </w:tc>
        <w:tc>
          <w:tcPr>
            <w:tcW w:type="dxa" w:w="132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375 </w:t>
            </w:r>
          </w:p>
        </w:tc>
        <w:tc>
          <w:tcPr>
            <w:tcW w:type="dxa" w:w="12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2,357 </w:t>
            </w:r>
          </w:p>
        </w:tc>
        <w:tc>
          <w:tcPr>
            <w:tcW w:type="dxa" w:w="852"/>
            <w:vMerge/>
            <w:tcBorders/>
          </w:tcPr>
          <w:p/>
        </w:tc>
        <w:tc>
          <w:tcPr>
            <w:tcW w:type="dxa" w:w="10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2,221 </w:t>
            </w:r>
          </w:p>
        </w:tc>
        <w:tc>
          <w:tcPr>
            <w:tcW w:type="dxa" w:w="1344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1.10</w:t>
            </w:r>
          </w:p>
        </w:tc>
      </w:tr>
      <w:tr>
        <w:trPr>
          <w:trHeight w:hRule="exact" w:val="164"/>
        </w:trPr>
        <w:tc>
          <w:tcPr>
            <w:tcW w:type="dxa" w:w="27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Central African Republic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119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119 </w:t>
            </w:r>
          </w:p>
        </w:tc>
        <w:tc>
          <w:tcPr>
            <w:tcW w:type="dxa" w:w="13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0.06</w:t>
            </w:r>
          </w:p>
        </w:tc>
      </w:tr>
      <w:tr>
        <w:trPr>
          <w:trHeight w:hRule="exact" w:val="200"/>
        </w:trPr>
        <w:tc>
          <w:tcPr>
            <w:tcW w:type="dxa" w:w="27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Chad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144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852"/>
            <w:vMerge/>
            <w:tcBorders/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144 </w:t>
            </w:r>
          </w:p>
        </w:tc>
        <w:tc>
          <w:tcPr>
            <w:tcW w:type="dxa" w:w="13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0.07</w:t>
            </w:r>
          </w:p>
        </w:tc>
      </w:tr>
      <w:tr>
        <w:trPr>
          <w:trHeight w:hRule="exact" w:val="200"/>
        </w:trPr>
        <w:tc>
          <w:tcPr>
            <w:tcW w:type="dxa" w:w="27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China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39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852"/>
            <w:vMerge/>
            <w:tcBorders/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39 </w:t>
            </w:r>
          </w:p>
        </w:tc>
        <w:tc>
          <w:tcPr>
            <w:tcW w:type="dxa" w:w="13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0.02</w:t>
            </w:r>
          </w:p>
        </w:tc>
      </w:tr>
      <w:tr>
        <w:trPr>
          <w:trHeight w:hRule="exact" w:val="180"/>
        </w:trPr>
        <w:tc>
          <w:tcPr>
            <w:tcW w:type="dxa" w:w="27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Comoros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131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80 </w:t>
            </w:r>
          </w:p>
        </w:tc>
        <w:tc>
          <w:tcPr>
            <w:tcW w:type="dxa" w:w="852"/>
            <w:vMerge/>
            <w:tcBorders/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51 </w:t>
            </w:r>
          </w:p>
        </w:tc>
        <w:tc>
          <w:tcPr>
            <w:tcW w:type="dxa" w:w="13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0.03</w:t>
            </w:r>
          </w:p>
        </w:tc>
      </w:tr>
      <w:tr>
        <w:trPr>
          <w:trHeight w:hRule="exact" w:val="232"/>
        </w:trPr>
        <w:tc>
          <w:tcPr>
            <w:tcW w:type="dxa" w:w="27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Congo, Democratic Republic of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6,812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400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3,026 </w:t>
            </w:r>
          </w:p>
        </w:tc>
        <w:tc>
          <w:tcPr>
            <w:tcW w:type="dxa" w:w="852"/>
            <w:vMerge/>
            <w:tcBorders/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3,386 </w:t>
            </w:r>
          </w:p>
        </w:tc>
        <w:tc>
          <w:tcPr>
            <w:tcW w:type="dxa" w:w="13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1.67</w:t>
            </w:r>
          </w:p>
        </w:tc>
      </w:tr>
      <w:tr>
        <w:trPr>
          <w:trHeight w:hRule="exact" w:val="168"/>
        </w:trPr>
        <w:tc>
          <w:tcPr>
            <w:tcW w:type="dxa" w:w="27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Congo, Republic of</w:t>
            </w:r>
          </w:p>
        </w:tc>
        <w:tc>
          <w:tcPr>
            <w:tcW w:type="dxa" w:w="13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906 </w:t>
            </w:r>
          </w:p>
        </w:tc>
        <w:tc>
          <w:tcPr>
            <w:tcW w:type="dxa" w:w="132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59 </w:t>
            </w:r>
          </w:p>
        </w:tc>
        <w:tc>
          <w:tcPr>
            <w:tcW w:type="dxa" w:w="12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312 </w:t>
            </w:r>
          </w:p>
        </w:tc>
        <w:tc>
          <w:tcPr>
            <w:tcW w:type="dxa" w:w="200"/>
            <w:vMerge w:val="restart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535 </w:t>
            </w:r>
          </w:p>
        </w:tc>
        <w:tc>
          <w:tcPr>
            <w:tcW w:type="dxa" w:w="1344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0.26</w:t>
            </w:r>
          </w:p>
        </w:tc>
      </w:tr>
      <w:tr>
        <w:trPr>
          <w:trHeight w:hRule="exact" w:val="200"/>
        </w:trPr>
        <w:tc>
          <w:tcPr>
            <w:tcW w:type="dxa" w:w="27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Côte d'Ivoire</w:t>
            </w:r>
          </w:p>
        </w:tc>
        <w:tc>
          <w:tcPr>
            <w:tcW w:type="dxa" w:w="13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7,556 </w:t>
            </w:r>
          </w:p>
        </w:tc>
        <w:tc>
          <w:tcPr>
            <w:tcW w:type="dxa" w:w="132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3,237 </w:t>
            </w:r>
          </w:p>
        </w:tc>
        <w:tc>
          <w:tcPr>
            <w:tcW w:type="dxa" w:w="852"/>
            <w:vMerge/>
            <w:tcBorders/>
          </w:tcPr>
          <w:p/>
        </w:tc>
        <w:tc>
          <w:tcPr>
            <w:tcW w:type="dxa" w:w="10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4,319 </w:t>
            </w:r>
          </w:p>
        </w:tc>
        <w:tc>
          <w:tcPr>
            <w:tcW w:type="dxa" w:w="1344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2.13</w:t>
            </w:r>
          </w:p>
        </w:tc>
      </w:tr>
      <w:tr>
        <w:trPr>
          <w:trHeight w:hRule="exact" w:val="180"/>
        </w:trPr>
        <w:tc>
          <w:tcPr>
            <w:tcW w:type="dxa" w:w="27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Djibouti</w:t>
            </w:r>
          </w:p>
        </w:tc>
        <w:tc>
          <w:tcPr>
            <w:tcW w:type="dxa" w:w="13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500 </w:t>
            </w:r>
          </w:p>
        </w:tc>
        <w:tc>
          <w:tcPr>
            <w:tcW w:type="dxa" w:w="132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211 </w:t>
            </w:r>
          </w:p>
        </w:tc>
        <w:tc>
          <w:tcPr>
            <w:tcW w:type="dxa" w:w="852"/>
            <w:vMerge/>
            <w:tcBorders/>
          </w:tcPr>
          <w:p/>
        </w:tc>
        <w:tc>
          <w:tcPr>
            <w:tcW w:type="dxa" w:w="10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289 </w:t>
            </w:r>
          </w:p>
        </w:tc>
        <w:tc>
          <w:tcPr>
            <w:tcW w:type="dxa" w:w="1344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0.14</w:t>
            </w:r>
          </w:p>
        </w:tc>
      </w:tr>
      <w:tr>
        <w:trPr>
          <w:trHeight w:hRule="exact" w:val="220"/>
        </w:trPr>
        <w:tc>
          <w:tcPr>
            <w:tcW w:type="dxa" w:w="27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Dominica</w:t>
            </w:r>
          </w:p>
        </w:tc>
        <w:tc>
          <w:tcPr>
            <w:tcW w:type="dxa" w:w="13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260 </w:t>
            </w:r>
          </w:p>
        </w:tc>
        <w:tc>
          <w:tcPr>
            <w:tcW w:type="dxa" w:w="132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 </w:t>
            </w:r>
          </w:p>
        </w:tc>
        <w:tc>
          <w:tcPr>
            <w:tcW w:type="dxa" w:w="12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93 </w:t>
            </w:r>
          </w:p>
        </w:tc>
        <w:tc>
          <w:tcPr>
            <w:tcW w:type="dxa" w:w="852"/>
            <w:vMerge/>
            <w:tcBorders/>
          </w:tcPr>
          <w:p/>
        </w:tc>
        <w:tc>
          <w:tcPr>
            <w:tcW w:type="dxa" w:w="10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159 </w:t>
            </w:r>
          </w:p>
        </w:tc>
        <w:tc>
          <w:tcPr>
            <w:tcW w:type="dxa" w:w="1344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0.08</w:t>
            </w:r>
          </w:p>
        </w:tc>
      </w:tr>
      <w:tr>
        <w:trPr>
          <w:trHeight w:hRule="exact" w:val="252"/>
        </w:trPr>
        <w:tc>
          <w:tcPr>
            <w:tcW w:type="dxa" w:w="27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Egypt, Arab Republic of</w:t>
            </w:r>
          </w:p>
        </w:tc>
        <w:tc>
          <w:tcPr>
            <w:tcW w:type="dxa" w:w="13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113 </w:t>
            </w:r>
          </w:p>
        </w:tc>
        <w:tc>
          <w:tcPr>
            <w:tcW w:type="dxa" w:w="132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852"/>
            <w:vMerge/>
            <w:tcBorders/>
          </w:tcPr>
          <w:p/>
        </w:tc>
        <w:tc>
          <w:tcPr>
            <w:tcW w:type="dxa" w:w="10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113 </w:t>
            </w:r>
          </w:p>
        </w:tc>
        <w:tc>
          <w:tcPr>
            <w:tcW w:type="dxa" w:w="1344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0.05</w:t>
            </w:r>
          </w:p>
        </w:tc>
      </w:tr>
      <w:tr>
        <w:trPr>
          <w:trHeight w:hRule="exact" w:val="168"/>
        </w:trPr>
        <w:tc>
          <w:tcPr>
            <w:tcW w:type="dxa" w:w="27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El Salvador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 </w:t>
            </w:r>
          </w:p>
        </w:tc>
        <w:tc>
          <w:tcPr>
            <w:tcW w:type="dxa" w:w="13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1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* </w:t>
            </w:r>
          </w:p>
        </w:tc>
      </w:tr>
      <w:tr>
        <w:trPr>
          <w:trHeight w:hRule="exact" w:val="200"/>
        </w:trPr>
        <w:tc>
          <w:tcPr>
            <w:tcW w:type="dxa" w:w="27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Equatorial Guinea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852"/>
            <w:vMerge/>
            <w:tcBorders/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 </w:t>
            </w:r>
          </w:p>
        </w:tc>
        <w:tc>
          <w:tcPr>
            <w:tcW w:type="dxa" w:w="13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0.01</w:t>
            </w:r>
          </w:p>
        </w:tc>
      </w:tr>
      <w:tr>
        <w:trPr>
          <w:trHeight w:hRule="exact" w:val="180"/>
        </w:trPr>
        <w:tc>
          <w:tcPr>
            <w:tcW w:type="dxa" w:w="27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Eritrea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411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852"/>
            <w:vMerge/>
            <w:tcBorders/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411 </w:t>
            </w:r>
          </w:p>
        </w:tc>
        <w:tc>
          <w:tcPr>
            <w:tcW w:type="dxa" w:w="13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0.20</w:t>
            </w:r>
          </w:p>
        </w:tc>
      </w:tr>
      <w:tr>
        <w:trPr>
          <w:trHeight w:hRule="exact" w:val="200"/>
        </w:trPr>
        <w:tc>
          <w:tcPr>
            <w:tcW w:type="dxa" w:w="27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Eswatini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*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852"/>
            <w:vMerge/>
            <w:tcBorders/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1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*</w:t>
            </w:r>
          </w:p>
        </w:tc>
        <w:tc>
          <w:tcPr>
            <w:tcW w:type="dxa" w:w="13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1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* </w:t>
            </w:r>
          </w:p>
        </w:tc>
      </w:tr>
      <w:tr>
        <w:trPr>
          <w:trHeight w:hRule="exact" w:val="226"/>
        </w:trPr>
        <w:tc>
          <w:tcPr>
            <w:tcW w:type="dxa" w:w="27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Ethiopia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15,675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3,500 </w:t>
            </w:r>
          </w:p>
        </w:tc>
        <w:tc>
          <w:tcPr>
            <w:tcW w:type="dxa" w:w="852"/>
            <w:vMerge/>
            <w:tcBorders/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12,175 </w:t>
            </w:r>
          </w:p>
        </w:tc>
        <w:tc>
          <w:tcPr>
            <w:tcW w:type="dxa" w:w="13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6.01</w:t>
            </w:r>
          </w:p>
        </w:tc>
      </w:tr>
      <w:tr>
        <w:trPr>
          <w:trHeight w:hRule="exact" w:val="174"/>
        </w:trPr>
        <w:tc>
          <w:tcPr>
            <w:tcW w:type="dxa" w:w="27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Fiji</w:t>
            </w:r>
          </w:p>
        </w:tc>
        <w:tc>
          <w:tcPr>
            <w:tcW w:type="dxa" w:w="13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499 </w:t>
            </w:r>
          </w:p>
        </w:tc>
        <w:tc>
          <w:tcPr>
            <w:tcW w:type="dxa" w:w="132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203 </w:t>
            </w:r>
          </w:p>
        </w:tc>
        <w:tc>
          <w:tcPr>
            <w:tcW w:type="dxa" w:w="200"/>
            <w:vMerge w:val="restart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296 </w:t>
            </w:r>
          </w:p>
        </w:tc>
        <w:tc>
          <w:tcPr>
            <w:tcW w:type="dxa" w:w="1344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0.14</w:t>
            </w:r>
          </w:p>
        </w:tc>
      </w:tr>
      <w:tr>
        <w:trPr>
          <w:trHeight w:hRule="exact" w:val="180"/>
        </w:trPr>
        <w:tc>
          <w:tcPr>
            <w:tcW w:type="dxa" w:w="27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Gambia, The</w:t>
            </w:r>
          </w:p>
        </w:tc>
        <w:tc>
          <w:tcPr>
            <w:tcW w:type="dxa" w:w="13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133 </w:t>
            </w:r>
          </w:p>
        </w:tc>
        <w:tc>
          <w:tcPr>
            <w:tcW w:type="dxa" w:w="132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 </w:t>
            </w:r>
          </w:p>
        </w:tc>
        <w:tc>
          <w:tcPr>
            <w:tcW w:type="dxa" w:w="852"/>
            <w:vMerge/>
            <w:tcBorders/>
          </w:tcPr>
          <w:p/>
        </w:tc>
        <w:tc>
          <w:tcPr>
            <w:tcW w:type="dxa" w:w="10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124 </w:t>
            </w:r>
          </w:p>
        </w:tc>
        <w:tc>
          <w:tcPr>
            <w:tcW w:type="dxa" w:w="1344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0.06</w:t>
            </w:r>
          </w:p>
        </w:tc>
      </w:tr>
      <w:tr>
        <w:trPr>
          <w:trHeight w:hRule="exact" w:val="200"/>
        </w:trPr>
        <w:tc>
          <w:tcPr>
            <w:tcW w:type="dxa" w:w="27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Georgia</w:t>
            </w:r>
          </w:p>
        </w:tc>
        <w:tc>
          <w:tcPr>
            <w:tcW w:type="dxa" w:w="13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535 </w:t>
            </w:r>
          </w:p>
        </w:tc>
        <w:tc>
          <w:tcPr>
            <w:tcW w:type="dxa" w:w="132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852"/>
            <w:vMerge/>
            <w:tcBorders/>
          </w:tcPr>
          <w:p/>
        </w:tc>
        <w:tc>
          <w:tcPr>
            <w:tcW w:type="dxa" w:w="10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535 </w:t>
            </w:r>
          </w:p>
        </w:tc>
        <w:tc>
          <w:tcPr>
            <w:tcW w:type="dxa" w:w="1344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0.26</w:t>
            </w:r>
          </w:p>
        </w:tc>
      </w:tr>
      <w:tr>
        <w:trPr>
          <w:trHeight w:hRule="exact" w:val="200"/>
        </w:trPr>
        <w:tc>
          <w:tcPr>
            <w:tcW w:type="dxa" w:w="27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Ghana</w:t>
            </w:r>
          </w:p>
        </w:tc>
        <w:tc>
          <w:tcPr>
            <w:tcW w:type="dxa" w:w="13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8,465 </w:t>
            </w:r>
          </w:p>
        </w:tc>
        <w:tc>
          <w:tcPr>
            <w:tcW w:type="dxa" w:w="132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500 </w:t>
            </w:r>
          </w:p>
        </w:tc>
        <w:tc>
          <w:tcPr>
            <w:tcW w:type="dxa" w:w="12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2,022 </w:t>
            </w:r>
          </w:p>
        </w:tc>
        <w:tc>
          <w:tcPr>
            <w:tcW w:type="dxa" w:w="852"/>
            <w:vMerge/>
            <w:tcBorders/>
          </w:tcPr>
          <w:p/>
        </w:tc>
        <w:tc>
          <w:tcPr>
            <w:tcW w:type="dxa" w:w="10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5,943 </w:t>
            </w:r>
          </w:p>
        </w:tc>
        <w:tc>
          <w:tcPr>
            <w:tcW w:type="dxa" w:w="1344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2.93</w:t>
            </w:r>
          </w:p>
        </w:tc>
      </w:tr>
      <w:tr>
        <w:trPr>
          <w:trHeight w:hRule="exact" w:val="220"/>
        </w:trPr>
        <w:tc>
          <w:tcPr>
            <w:tcW w:type="dxa" w:w="27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Grenada</w:t>
            </w:r>
          </w:p>
        </w:tc>
        <w:tc>
          <w:tcPr>
            <w:tcW w:type="dxa" w:w="13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348 </w:t>
            </w:r>
          </w:p>
        </w:tc>
        <w:tc>
          <w:tcPr>
            <w:tcW w:type="dxa" w:w="132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 </w:t>
            </w:r>
          </w:p>
        </w:tc>
        <w:tc>
          <w:tcPr>
            <w:tcW w:type="dxa" w:w="12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101 </w:t>
            </w:r>
          </w:p>
        </w:tc>
        <w:tc>
          <w:tcPr>
            <w:tcW w:type="dxa" w:w="852"/>
            <w:vMerge/>
            <w:tcBorders/>
          </w:tcPr>
          <w:p/>
        </w:tc>
        <w:tc>
          <w:tcPr>
            <w:tcW w:type="dxa" w:w="10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237 </w:t>
            </w:r>
          </w:p>
        </w:tc>
        <w:tc>
          <w:tcPr>
            <w:tcW w:type="dxa" w:w="1344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0.12</w:t>
            </w:r>
          </w:p>
        </w:tc>
      </w:tr>
      <w:tr>
        <w:trPr>
          <w:trHeight w:hRule="exact" w:val="160"/>
        </w:trPr>
        <w:tc>
          <w:tcPr>
            <w:tcW w:type="dxa" w:w="27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Guinea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1,160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483 </w:t>
            </w:r>
          </w:p>
        </w:tc>
        <w:tc>
          <w:tcPr>
            <w:tcW w:type="dxa" w:w="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677 </w:t>
            </w:r>
          </w:p>
        </w:tc>
        <w:tc>
          <w:tcPr>
            <w:tcW w:type="dxa" w:w="13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0.33</w:t>
            </w:r>
          </w:p>
        </w:tc>
      </w:tr>
      <w:tr>
        <w:trPr>
          <w:trHeight w:hRule="exact" w:val="200"/>
        </w:trPr>
        <w:tc>
          <w:tcPr>
            <w:tcW w:type="dxa" w:w="27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Guinea-Bissau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250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37 </w:t>
            </w:r>
          </w:p>
        </w:tc>
        <w:tc>
          <w:tcPr>
            <w:tcW w:type="dxa" w:w="852"/>
            <w:vMerge/>
            <w:tcBorders/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213 </w:t>
            </w:r>
          </w:p>
        </w:tc>
        <w:tc>
          <w:tcPr>
            <w:tcW w:type="dxa" w:w="13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0.11</w:t>
            </w:r>
          </w:p>
        </w:tc>
      </w:tr>
      <w:tr>
        <w:trPr>
          <w:trHeight w:hRule="exact" w:val="200"/>
        </w:trPr>
        <w:tc>
          <w:tcPr>
            <w:tcW w:type="dxa" w:w="27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Guyana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221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33 </w:t>
            </w:r>
          </w:p>
        </w:tc>
        <w:tc>
          <w:tcPr>
            <w:tcW w:type="dxa" w:w="852"/>
            <w:vMerge/>
            <w:tcBorders/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188 </w:t>
            </w:r>
          </w:p>
        </w:tc>
        <w:tc>
          <w:tcPr>
            <w:tcW w:type="dxa" w:w="13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0.09</w:t>
            </w:r>
          </w:p>
        </w:tc>
      </w:tr>
      <w:tr>
        <w:trPr>
          <w:trHeight w:hRule="exact" w:val="200"/>
        </w:trPr>
        <w:tc>
          <w:tcPr>
            <w:tcW w:type="dxa" w:w="27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Honduras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1,602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644 </w:t>
            </w:r>
          </w:p>
        </w:tc>
        <w:tc>
          <w:tcPr>
            <w:tcW w:type="dxa" w:w="852"/>
            <w:vMerge/>
            <w:tcBorders/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958 </w:t>
            </w:r>
          </w:p>
        </w:tc>
        <w:tc>
          <w:tcPr>
            <w:tcW w:type="dxa" w:w="13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0.47</w:t>
            </w:r>
          </w:p>
        </w:tc>
      </w:tr>
      <w:tr>
        <w:trPr>
          <w:trHeight w:hRule="exact" w:val="216"/>
        </w:trPr>
        <w:tc>
          <w:tcPr>
            <w:tcW w:type="dxa" w:w="27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India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16,028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32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127 </w:t>
            </w:r>
          </w:p>
        </w:tc>
        <w:tc>
          <w:tcPr>
            <w:tcW w:type="dxa" w:w="852"/>
            <w:vMerge/>
            <w:tcBorders/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15,869 </w:t>
            </w:r>
          </w:p>
        </w:tc>
        <w:tc>
          <w:tcPr>
            <w:tcW w:type="dxa" w:w="13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7.84</w:t>
            </w:r>
          </w:p>
        </w:tc>
      </w:tr>
      <w:tr>
        <w:trPr>
          <w:trHeight w:hRule="exact" w:val="164"/>
        </w:trPr>
        <w:tc>
          <w:tcPr>
            <w:tcW w:type="dxa" w:w="27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Indonesia</w:t>
            </w:r>
          </w:p>
        </w:tc>
        <w:tc>
          <w:tcPr>
            <w:tcW w:type="dxa" w:w="13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159 </w:t>
            </w:r>
          </w:p>
        </w:tc>
        <w:tc>
          <w:tcPr>
            <w:tcW w:type="dxa" w:w="132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200"/>
            <w:vMerge w:val="restart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159 </w:t>
            </w:r>
          </w:p>
        </w:tc>
        <w:tc>
          <w:tcPr>
            <w:tcW w:type="dxa" w:w="1344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0.08</w:t>
            </w:r>
          </w:p>
        </w:tc>
      </w:tr>
      <w:tr>
        <w:trPr>
          <w:trHeight w:hRule="exact" w:val="200"/>
        </w:trPr>
        <w:tc>
          <w:tcPr>
            <w:tcW w:type="dxa" w:w="27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Iraq</w:t>
            </w:r>
          </w:p>
        </w:tc>
        <w:tc>
          <w:tcPr>
            <w:tcW w:type="dxa" w:w="13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213 </w:t>
            </w:r>
          </w:p>
        </w:tc>
        <w:tc>
          <w:tcPr>
            <w:tcW w:type="dxa" w:w="132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852"/>
            <w:vMerge/>
            <w:tcBorders/>
          </w:tcPr>
          <w:p/>
        </w:tc>
        <w:tc>
          <w:tcPr>
            <w:tcW w:type="dxa" w:w="10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213 </w:t>
            </w:r>
          </w:p>
        </w:tc>
        <w:tc>
          <w:tcPr>
            <w:tcW w:type="dxa" w:w="1344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0.11</w:t>
            </w:r>
          </w:p>
        </w:tc>
      </w:tr>
      <w:tr>
        <w:trPr>
          <w:trHeight w:hRule="exact" w:val="200"/>
        </w:trPr>
        <w:tc>
          <w:tcPr>
            <w:tcW w:type="dxa" w:w="27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Jordan</w:t>
            </w:r>
          </w:p>
        </w:tc>
        <w:tc>
          <w:tcPr>
            <w:tcW w:type="dxa" w:w="13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196 </w:t>
            </w:r>
          </w:p>
        </w:tc>
        <w:tc>
          <w:tcPr>
            <w:tcW w:type="dxa" w:w="132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852"/>
            <w:vMerge/>
            <w:tcBorders/>
          </w:tcPr>
          <w:p/>
        </w:tc>
        <w:tc>
          <w:tcPr>
            <w:tcW w:type="dxa" w:w="10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196 </w:t>
            </w:r>
          </w:p>
        </w:tc>
        <w:tc>
          <w:tcPr>
            <w:tcW w:type="dxa" w:w="1344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0.10</w:t>
            </w:r>
          </w:p>
        </w:tc>
      </w:tr>
      <w:tr>
        <w:trPr>
          <w:trHeight w:hRule="exact" w:val="180"/>
        </w:trPr>
        <w:tc>
          <w:tcPr>
            <w:tcW w:type="dxa" w:w="27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Kenya</w:t>
            </w:r>
          </w:p>
        </w:tc>
        <w:tc>
          <w:tcPr>
            <w:tcW w:type="dxa" w:w="13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16,379 </w:t>
            </w:r>
          </w:p>
        </w:tc>
        <w:tc>
          <w:tcPr>
            <w:tcW w:type="dxa" w:w="132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4,538 </w:t>
            </w:r>
          </w:p>
        </w:tc>
        <w:tc>
          <w:tcPr>
            <w:tcW w:type="dxa" w:w="852"/>
            <w:vMerge/>
            <w:tcBorders/>
          </w:tcPr>
          <w:p/>
        </w:tc>
        <w:tc>
          <w:tcPr>
            <w:tcW w:type="dxa" w:w="10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11,841 </w:t>
            </w:r>
          </w:p>
        </w:tc>
        <w:tc>
          <w:tcPr>
            <w:tcW w:type="dxa" w:w="1344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5.84</w:t>
            </w:r>
          </w:p>
        </w:tc>
      </w:tr>
      <w:tr>
        <w:trPr>
          <w:trHeight w:hRule="exact" w:val="230"/>
        </w:trPr>
        <w:tc>
          <w:tcPr>
            <w:tcW w:type="dxa" w:w="27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Kosovo</w:t>
            </w:r>
          </w:p>
        </w:tc>
        <w:tc>
          <w:tcPr>
            <w:tcW w:type="dxa" w:w="13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522 </w:t>
            </w:r>
          </w:p>
        </w:tc>
        <w:tc>
          <w:tcPr>
            <w:tcW w:type="dxa" w:w="132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6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246 </w:t>
            </w:r>
          </w:p>
        </w:tc>
        <w:tc>
          <w:tcPr>
            <w:tcW w:type="dxa" w:w="852"/>
            <w:vMerge/>
            <w:tcBorders/>
          </w:tcPr>
          <w:p/>
        </w:tc>
        <w:tc>
          <w:tcPr>
            <w:tcW w:type="dxa" w:w="10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276 </w:t>
            </w:r>
          </w:p>
        </w:tc>
        <w:tc>
          <w:tcPr>
            <w:tcW w:type="dxa" w:w="1344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0.13</w:t>
            </w:r>
          </w:p>
        </w:tc>
      </w:tr>
      <w:tr>
        <w:trPr>
          <w:trHeight w:hRule="exact" w:val="230"/>
        </w:trPr>
        <w:tc>
          <w:tcPr>
            <w:tcW w:type="dxa" w:w="27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Kyrgyz Republic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1,260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549 </w:t>
            </w:r>
          </w:p>
        </w:tc>
        <w:tc>
          <w:tcPr>
            <w:tcW w:type="dxa" w:w="20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711 </w:t>
            </w:r>
          </w:p>
        </w:tc>
        <w:tc>
          <w:tcPr>
            <w:tcW w:type="dxa" w:w="13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0.35</w:t>
            </w:r>
          </w:p>
        </w:tc>
      </w:tr>
      <w:tr>
        <w:trPr>
          <w:trHeight w:hRule="exact" w:val="240"/>
        </w:trPr>
        <w:tc>
          <w:tcPr>
            <w:tcW w:type="dxa" w:w="27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Lao People's Democratic Republic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1,350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489 </w:t>
            </w:r>
          </w:p>
        </w:tc>
        <w:tc>
          <w:tcPr>
            <w:tcW w:type="dxa" w:w="852"/>
            <w:vMerge/>
            <w:tcBorders>
              <w:bottom w:sz="8.0" w:val="single" w:color="#000000"/>
            </w:tcBorders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861 </w:t>
            </w:r>
          </w:p>
        </w:tc>
        <w:tc>
          <w:tcPr>
            <w:tcW w:type="dxa" w:w="13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0.43</w:t>
            </w:r>
          </w:p>
        </w:tc>
      </w:tr>
      <w:tr>
        <w:trPr>
          <w:trHeight w:hRule="exact" w:val="220"/>
        </w:trPr>
        <w:tc>
          <w:tcPr>
            <w:tcW w:type="dxa" w:w="27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Lebanon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90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852"/>
            <w:vMerge/>
            <w:tcBorders>
              <w:bottom w:sz="8.0" w:val="single" w:color="#000000"/>
            </w:tcBorders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90 </w:t>
            </w:r>
          </w:p>
        </w:tc>
        <w:tc>
          <w:tcPr>
            <w:tcW w:type="dxa" w:w="13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0.04</w:t>
            </w:r>
          </w:p>
        </w:tc>
      </w:tr>
      <w:tr>
        <w:trPr>
          <w:trHeight w:hRule="exact" w:val="226"/>
        </w:trPr>
        <w:tc>
          <w:tcPr>
            <w:tcW w:type="dxa" w:w="271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Lesotho</w:t>
            </w:r>
          </w:p>
        </w:tc>
        <w:tc>
          <w:tcPr>
            <w:tcW w:type="dxa" w:w="136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736 </w:t>
            </w:r>
          </w:p>
        </w:tc>
        <w:tc>
          <w:tcPr>
            <w:tcW w:type="dxa" w:w="132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80 </w:t>
            </w:r>
          </w:p>
        </w:tc>
        <w:tc>
          <w:tcPr>
            <w:tcW w:type="dxa" w:w="12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175 </w:t>
            </w:r>
          </w:p>
        </w:tc>
        <w:tc>
          <w:tcPr>
            <w:tcW w:type="dxa" w:w="852"/>
            <w:vMerge/>
            <w:tcBorders>
              <w:bottom w:sz="8.0" w:val="single" w:color="#000000"/>
            </w:tcBorders>
          </w:tcPr>
          <w:p/>
        </w:tc>
        <w:tc>
          <w:tcPr>
            <w:tcW w:type="dxa" w:w="10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481 </w:t>
            </w:r>
          </w:p>
        </w:tc>
        <w:tc>
          <w:tcPr>
            <w:tcW w:type="dxa" w:w="134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0.24</w:t>
            </w:r>
          </w:p>
        </w:tc>
      </w:tr>
      <w:tr>
        <w:trPr>
          <w:trHeight w:hRule="exact" w:val="2154"/>
        </w:trPr>
        <w:tc>
          <w:tcPr>
            <w:tcW w:type="dxa" w:w="52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94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72</w:t>
            </w:r>
          </w:p>
        </w:tc>
        <w:tc>
          <w:tcPr>
            <w:tcW w:type="dxa" w:w="4864"/>
            <w:gridSpan w:val="5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940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IDA Financial Statements: June 30, 2024</w:t>
            </w:r>
          </w:p>
        </w:tc>
        <w:tc>
          <w:tcPr>
            <w:tcW w:type="dxa" w:w="1704"/>
            <w:gridSpan w:val="2"/>
            <w:vMerge/>
            <w:tcBorders/>
          </w:tcPr>
          <w:p/>
        </w:tc>
        <w:tc>
          <w:tcPr>
            <w:tcW w:type="dxa" w:w="2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4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876" w:right="1440" w:bottom="2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74"/>
        <w:ind w:left="0" w:right="0"/>
      </w:pPr>
    </w:p>
    <w:p>
      <w:pPr>
        <w:autoSpaceDN w:val="0"/>
        <w:autoSpaceDE w:val="0"/>
        <w:widowControl/>
        <w:spacing w:line="260" w:lineRule="exact" w:before="54" w:after="0"/>
        <w:ind w:left="10" w:right="4608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SUMMARY STATEMENT OF LOANS </w:t>
      </w:r>
      <w:r>
        <w:br/>
      </w:r>
      <w:r>
        <w:rPr>
          <w:rFonts w:ascii="Arial" w:hAnsi="Arial" w:eastAsia="Arial"/>
          <w:b w:val="0"/>
          <w:i/>
          <w:color w:val="000000"/>
          <w:sz w:val="20"/>
        </w:rPr>
        <w:t>June 30, 2024</w:t>
      </w:r>
    </w:p>
    <w:p>
      <w:pPr>
        <w:autoSpaceDN w:val="0"/>
        <w:autoSpaceDE w:val="0"/>
        <w:widowControl/>
        <w:spacing w:line="178" w:lineRule="exact" w:before="204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Amounts expressed in millions of U.S. dollars</w:t>
      </w:r>
    </w:p>
    <w:p>
      <w:pPr>
        <w:autoSpaceDN w:val="0"/>
        <w:autoSpaceDE w:val="0"/>
        <w:widowControl/>
        <w:spacing w:line="178" w:lineRule="exact" w:before="62" w:after="22"/>
        <w:ind w:left="0" w:right="3240" w:firstLine="0"/>
        <w:jc w:val="right"/>
      </w:pPr>
      <w:r>
        <w:rPr>
          <w:rFonts w:ascii="Arial" w:hAnsi="Arial" w:eastAsia="Arial"/>
          <w:b w:val="0"/>
          <w:i/>
          <w:color w:val="000000"/>
          <w:sz w:val="16"/>
        </w:rPr>
        <w:t>Undisbursed balance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81"/>
        <w:gridCol w:w="781"/>
        <w:gridCol w:w="781"/>
        <w:gridCol w:w="781"/>
        <w:gridCol w:w="781"/>
        <w:gridCol w:w="781"/>
        <w:gridCol w:w="781"/>
        <w:gridCol w:w="781"/>
        <w:gridCol w:w="781"/>
        <w:gridCol w:w="781"/>
        <w:gridCol w:w="781"/>
        <w:gridCol w:w="781"/>
      </w:tblGrid>
      <w:tr>
        <w:trPr>
          <w:trHeight w:hRule="exact" w:val="222"/>
        </w:trPr>
        <w:tc>
          <w:tcPr>
            <w:tcW w:type="dxa" w:w="288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18" w:after="0"/>
              <w:ind w:left="6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Borrower or guarantor</w:t>
            </w:r>
          </w:p>
        </w:tc>
        <w:tc>
          <w:tcPr>
            <w:tcW w:type="dxa" w:w="19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3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8" w:after="0"/>
              <w:ind w:left="3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Total loans</w:t>
            </w:r>
          </w:p>
        </w:tc>
        <w:tc>
          <w:tcPr>
            <w:tcW w:type="dxa" w:w="12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Loans </w:t>
            </w:r>
          </w:p>
        </w:tc>
        <w:tc>
          <w:tcPr>
            <w:tcW w:type="dxa" w:w="1460"/>
            <w:gridSpan w:val="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2" w:after="0"/>
              <w:ind w:left="19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Signed loan 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2" w:after="0"/>
              <w:ind w:left="20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Loans </w:t>
            </w:r>
          </w:p>
        </w:tc>
        <w:tc>
          <w:tcPr>
            <w:tcW w:type="dxa" w:w="1500"/>
            <w:gridSpan w:val="2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88" w:after="0"/>
              <w:ind w:left="144" w:right="288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Percentage </w:t>
            </w: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total of loans </w:t>
            </w: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outstanding </w:t>
            </w:r>
            <w:r>
              <w:rPr>
                <w:w w:val="103.99999618530273"/>
                <w:rFonts w:ascii="Arial" w:hAnsi="Arial" w:eastAsia="Arial"/>
                <w:b w:val="0"/>
                <w:i/>
                <w:color w:val="000000"/>
                <w:sz w:val="10"/>
              </w:rPr>
              <w:t>a</w:t>
            </w:r>
          </w:p>
        </w:tc>
      </w:tr>
      <w:tr>
        <w:trPr>
          <w:trHeight w:hRule="exact" w:val="80"/>
        </w:trPr>
        <w:tc>
          <w:tcPr>
            <w:tcW w:type="dxa" w:w="781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781"/>
            <w:vMerge/>
            <w:tcBorders>
              <w:bottom w:sz="8.0" w:val="single" w:color="#000000"/>
            </w:tcBorders>
          </w:tcPr>
          <w:p/>
        </w:tc>
        <w:tc>
          <w:tcPr>
            <w:tcW w:type="dxa" w:w="781"/>
            <w:vMerge/>
            <w:tcBorders>
              <w:bottom w:sz="8.0" w:val="single" w:color="#000000"/>
            </w:tcBorders>
          </w:tcPr>
          <w:p/>
        </w:tc>
        <w:tc>
          <w:tcPr>
            <w:tcW w:type="dxa" w:w="129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approved but </w:t>
            </w:r>
          </w:p>
        </w:tc>
        <w:tc>
          <w:tcPr>
            <w:tcW w:type="dxa" w:w="3124"/>
            <w:gridSpan w:val="4"/>
            <w:vMerge/>
            <w:tcBorders/>
          </w:tcPr>
          <w:p/>
        </w:tc>
        <w:tc>
          <w:tcPr>
            <w:tcW w:type="dxa" w:w="781"/>
            <w:vMerge/>
            <w:tcBorders/>
          </w:tcPr>
          <w:p/>
        </w:tc>
        <w:tc>
          <w:tcPr>
            <w:tcW w:type="dxa" w:w="1562"/>
            <w:gridSpan w:val="2"/>
            <w:vMerge/>
            <w:tcBorders>
              <w:bottom w:sz="8.0" w:val="single" w:color="#000000"/>
            </w:tcBorders>
          </w:tcPr>
          <w:p/>
        </w:tc>
      </w:tr>
      <w:tr>
        <w:trPr>
          <w:trHeight w:hRule="exact" w:val="100"/>
        </w:trPr>
        <w:tc>
          <w:tcPr>
            <w:tcW w:type="dxa" w:w="781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781"/>
            <w:vMerge/>
            <w:tcBorders>
              <w:bottom w:sz="8.0" w:val="single" w:color="#000000"/>
            </w:tcBorders>
          </w:tcPr>
          <w:p/>
        </w:tc>
        <w:tc>
          <w:tcPr>
            <w:tcW w:type="dxa" w:w="781"/>
            <w:vMerge/>
            <w:tcBorders>
              <w:bottom w:sz="8.0" w:val="single" w:color="#000000"/>
            </w:tcBorders>
          </w:tcPr>
          <w:p/>
        </w:tc>
        <w:tc>
          <w:tcPr>
            <w:tcW w:type="dxa" w:w="1562"/>
            <w:gridSpan w:val="2"/>
            <w:vMerge/>
            <w:tcBorders/>
          </w:tcPr>
          <w:p/>
        </w:tc>
        <w:tc>
          <w:tcPr>
            <w:tcW w:type="dxa" w:w="1460"/>
            <w:gridSpan w:val="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14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commitments</w:t>
            </w:r>
          </w:p>
        </w:tc>
        <w:tc>
          <w:tcPr>
            <w:tcW w:type="dxa" w:w="98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outstanding</w:t>
            </w:r>
          </w:p>
        </w:tc>
        <w:tc>
          <w:tcPr>
            <w:tcW w:type="dxa" w:w="1562"/>
            <w:gridSpan w:val="2"/>
            <w:vMerge/>
            <w:tcBorders>
              <w:bottom w:sz="8.0" w:val="single" w:color="#000000"/>
            </w:tcBorders>
          </w:tcPr>
          <w:p/>
        </w:tc>
      </w:tr>
      <w:tr>
        <w:trPr>
          <w:trHeight w:hRule="exact" w:val="240"/>
        </w:trPr>
        <w:tc>
          <w:tcPr>
            <w:tcW w:type="dxa" w:w="781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781"/>
            <w:vMerge/>
            <w:tcBorders>
              <w:bottom w:sz="8.0" w:val="single" w:color="#000000"/>
            </w:tcBorders>
          </w:tcPr>
          <w:p/>
        </w:tc>
        <w:tc>
          <w:tcPr>
            <w:tcW w:type="dxa" w:w="781"/>
            <w:vMerge/>
            <w:tcBorders>
              <w:bottom w:sz="8.0" w:val="single" w:color="#000000"/>
            </w:tcBorders>
          </w:tcPr>
          <w:p/>
        </w:tc>
        <w:tc>
          <w:tcPr>
            <w:tcW w:type="dxa" w:w="129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not yet signed</w:t>
            </w:r>
          </w:p>
        </w:tc>
        <w:tc>
          <w:tcPr>
            <w:tcW w:type="dxa" w:w="3124"/>
            <w:gridSpan w:val="4"/>
            <w:vMerge/>
            <w:tcBorders>
              <w:bottom w:sz="8.0" w:val="single" w:color="#000000"/>
            </w:tcBorders>
          </w:tcPr>
          <w:p/>
        </w:tc>
        <w:tc>
          <w:tcPr>
            <w:tcW w:type="dxa" w:w="781"/>
            <w:vMerge/>
            <w:tcBorders>
              <w:bottom w:sz="8.0" w:val="single" w:color="#000000"/>
            </w:tcBorders>
          </w:tcPr>
          <w:p/>
        </w:tc>
        <w:tc>
          <w:tcPr>
            <w:tcW w:type="dxa" w:w="1562"/>
            <w:gridSpan w:val="2"/>
            <w:vMerge/>
            <w:tcBorders>
              <w:bottom w:sz="8.0" w:val="single" w:color="#000000"/>
            </w:tcBorders>
          </w:tcPr>
          <w:p/>
        </w:tc>
      </w:tr>
      <w:tr>
        <w:trPr>
          <w:trHeight w:hRule="exact" w:val="200"/>
        </w:trPr>
        <w:tc>
          <w:tcPr>
            <w:tcW w:type="dxa" w:w="2880"/>
            <w:tcBorders>
              <w:top w:sz="8.0" w:val="single" w:color="#000000"/>
            </w:tcBorders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Liberia</w:t>
            </w:r>
          </w:p>
        </w:tc>
        <w:tc>
          <w:tcPr>
            <w:tcW w:type="dxa" w:w="190"/>
            <w:vMerge w:val="restart"/>
            <w:tcBorders>
              <w:top w:sz="8.0" w:val="single" w:color="#000000"/>
            </w:tcBorders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30"/>
            <w:tcBorders>
              <w:top w:sz="8.0" w:val="single" w:color="#000000"/>
            </w:tcBorders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1,381 </w:t>
            </w:r>
          </w:p>
        </w:tc>
        <w:tc>
          <w:tcPr>
            <w:tcW w:type="dxa" w:w="490"/>
            <w:tcBorders>
              <w:top w:sz="8.0" w:val="single" w:color="#000000"/>
            </w:tcBorders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00"/>
            <w:tcBorders>
              <w:top w:sz="8.0" w:val="single" w:color="#000000"/>
            </w:tcBorders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75 </w:t>
            </w:r>
          </w:p>
        </w:tc>
        <w:tc>
          <w:tcPr>
            <w:tcW w:type="dxa" w:w="546"/>
            <w:gridSpan w:val="2"/>
            <w:tcBorders>
              <w:top w:sz="8.0" w:val="single" w:color="#000000"/>
            </w:tcBorders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02"/>
            <w:tcBorders>
              <w:top w:sz="8.0" w:val="single" w:color="#000000"/>
            </w:tcBorders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444 </w:t>
            </w:r>
          </w:p>
        </w:tc>
        <w:tc>
          <w:tcPr>
            <w:tcW w:type="dxa" w:w="212"/>
            <w:tcBorders>
              <w:top w:sz="8.0" w:val="single" w:color="#000000"/>
            </w:tcBorders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80"/>
            <w:tcBorders>
              <w:top w:sz="8.0" w:val="single" w:color="#000000"/>
            </w:tcBorders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862 </w:t>
            </w:r>
          </w:p>
        </w:tc>
        <w:tc>
          <w:tcPr>
            <w:tcW w:type="dxa" w:w="1500"/>
            <w:gridSpan w:val="2"/>
            <w:tcBorders>
              <w:top w:sz="8.0" w:val="single" w:color="#000000"/>
            </w:tcBorders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6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0.42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%</w:t>
            </w:r>
          </w:p>
        </w:tc>
      </w:tr>
      <w:tr>
        <w:trPr>
          <w:trHeight w:hRule="exact" w:val="220"/>
        </w:trPr>
        <w:tc>
          <w:tcPr>
            <w:tcW w:type="dxa" w:w="28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Madagascar</w:t>
            </w:r>
          </w:p>
        </w:tc>
        <w:tc>
          <w:tcPr>
            <w:tcW w:type="dxa" w:w="781"/>
            <w:vMerge/>
            <w:tcBorders>
              <w:top w:sz="8.0" w:val="single" w:color="#000000"/>
            </w:tcBorders>
          </w:tcPr>
          <w:p/>
        </w:tc>
        <w:tc>
          <w:tcPr>
            <w:tcW w:type="dxa" w:w="103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4,429 </w:t>
            </w:r>
          </w:p>
        </w:tc>
        <w:tc>
          <w:tcPr>
            <w:tcW w:type="dxa" w:w="129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460"/>
            <w:gridSpan w:val="4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1,838 </w:t>
            </w:r>
          </w:p>
        </w:tc>
        <w:tc>
          <w:tcPr>
            <w:tcW w:type="dxa" w:w="9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2,591 </w:t>
            </w:r>
          </w:p>
        </w:tc>
        <w:tc>
          <w:tcPr>
            <w:tcW w:type="dxa" w:w="150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1.28</w:t>
            </w:r>
          </w:p>
        </w:tc>
      </w:tr>
      <w:tr>
        <w:trPr>
          <w:trHeight w:hRule="exact" w:val="220"/>
        </w:trPr>
        <w:tc>
          <w:tcPr>
            <w:tcW w:type="dxa" w:w="28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Malawi</w:t>
            </w:r>
          </w:p>
        </w:tc>
        <w:tc>
          <w:tcPr>
            <w:tcW w:type="dxa" w:w="781"/>
            <w:vMerge/>
            <w:tcBorders>
              <w:top w:sz="8.0" w:val="single" w:color="#000000"/>
            </w:tcBorders>
          </w:tcPr>
          <w:p/>
        </w:tc>
        <w:tc>
          <w:tcPr>
            <w:tcW w:type="dxa" w:w="103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2,013 </w:t>
            </w:r>
          </w:p>
        </w:tc>
        <w:tc>
          <w:tcPr>
            <w:tcW w:type="dxa" w:w="129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460"/>
            <w:gridSpan w:val="4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374 </w:t>
            </w:r>
          </w:p>
        </w:tc>
        <w:tc>
          <w:tcPr>
            <w:tcW w:type="dxa" w:w="9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1,639 </w:t>
            </w:r>
          </w:p>
        </w:tc>
        <w:tc>
          <w:tcPr>
            <w:tcW w:type="dxa" w:w="150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0.81</w:t>
            </w:r>
          </w:p>
        </w:tc>
      </w:tr>
      <w:tr>
        <w:trPr>
          <w:trHeight w:hRule="exact" w:val="199"/>
        </w:trPr>
        <w:tc>
          <w:tcPr>
            <w:tcW w:type="dxa" w:w="28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Maldives</w:t>
            </w:r>
          </w:p>
        </w:tc>
        <w:tc>
          <w:tcPr>
            <w:tcW w:type="dxa" w:w="781"/>
            <w:vMerge/>
            <w:tcBorders>
              <w:top w:sz="8.0" w:val="single" w:color="#000000"/>
            </w:tcBorders>
          </w:tcPr>
          <w:p/>
        </w:tc>
        <w:tc>
          <w:tcPr>
            <w:tcW w:type="dxa" w:w="103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144 </w:t>
            </w:r>
          </w:p>
        </w:tc>
        <w:tc>
          <w:tcPr>
            <w:tcW w:type="dxa" w:w="129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460"/>
            <w:gridSpan w:val="4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49 </w:t>
            </w:r>
          </w:p>
        </w:tc>
        <w:tc>
          <w:tcPr>
            <w:tcW w:type="dxa" w:w="9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95 </w:t>
            </w:r>
          </w:p>
        </w:tc>
        <w:tc>
          <w:tcPr>
            <w:tcW w:type="dxa" w:w="150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0.05</w:t>
            </w:r>
          </w:p>
        </w:tc>
      </w:tr>
      <w:tr>
        <w:trPr>
          <w:trHeight w:hRule="exact" w:val="197"/>
        </w:trPr>
        <w:tc>
          <w:tcPr>
            <w:tcW w:type="dxa" w:w="28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Mali</w:t>
            </w:r>
          </w:p>
        </w:tc>
        <w:tc>
          <w:tcPr>
            <w:tcW w:type="dxa" w:w="781"/>
            <w:vMerge/>
            <w:tcBorders>
              <w:top w:sz="8.0" w:val="single" w:color="#000000"/>
            </w:tcBorders>
          </w:tcPr>
          <w:p/>
        </w:tc>
        <w:tc>
          <w:tcPr>
            <w:tcW w:type="dxa" w:w="103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3,224 </w:t>
            </w:r>
          </w:p>
        </w:tc>
        <w:tc>
          <w:tcPr>
            <w:tcW w:type="dxa" w:w="129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100 </w:t>
            </w:r>
          </w:p>
        </w:tc>
        <w:tc>
          <w:tcPr>
            <w:tcW w:type="dxa" w:w="1460"/>
            <w:gridSpan w:val="4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960 </w:t>
            </w:r>
          </w:p>
        </w:tc>
        <w:tc>
          <w:tcPr>
            <w:tcW w:type="dxa" w:w="9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2,164 </w:t>
            </w:r>
          </w:p>
        </w:tc>
        <w:tc>
          <w:tcPr>
            <w:tcW w:type="dxa" w:w="150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1.07</w:t>
            </w:r>
          </w:p>
        </w:tc>
      </w:tr>
      <w:tr>
        <w:trPr>
          <w:trHeight w:hRule="exact" w:val="184"/>
        </w:trPr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Mauritania</w:t>
            </w:r>
          </w:p>
        </w:tc>
        <w:tc>
          <w:tcPr>
            <w:tcW w:type="dxa" w:w="19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806 </w:t>
            </w:r>
          </w:p>
        </w:tc>
        <w:tc>
          <w:tcPr>
            <w:tcW w:type="dxa" w:w="12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4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387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419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0.21</w:t>
            </w:r>
          </w:p>
        </w:tc>
      </w:tr>
      <w:tr>
        <w:trPr>
          <w:trHeight w:hRule="exact" w:val="236"/>
        </w:trPr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Moldova</w:t>
            </w:r>
          </w:p>
        </w:tc>
        <w:tc>
          <w:tcPr>
            <w:tcW w:type="dxa" w:w="781"/>
            <w:vMerge/>
            <w:tcBorders/>
          </w:tcPr>
          <w:p/>
        </w:tc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989 </w:t>
            </w:r>
          </w:p>
        </w:tc>
        <w:tc>
          <w:tcPr>
            <w:tcW w:type="dxa" w:w="12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4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192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797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0.39</w:t>
            </w:r>
          </w:p>
        </w:tc>
      </w:tr>
      <w:tr>
        <w:trPr>
          <w:trHeight w:hRule="exact" w:val="184"/>
        </w:trPr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Mongolia</w:t>
            </w:r>
          </w:p>
        </w:tc>
        <w:tc>
          <w:tcPr>
            <w:tcW w:type="dxa" w:w="781"/>
            <w:vMerge/>
            <w:tcBorders/>
          </w:tcPr>
          <w:p/>
        </w:tc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847 </w:t>
            </w:r>
          </w:p>
        </w:tc>
        <w:tc>
          <w:tcPr>
            <w:tcW w:type="dxa" w:w="12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4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76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771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0.38</w:t>
            </w:r>
          </w:p>
        </w:tc>
      </w:tr>
      <w:tr>
        <w:trPr>
          <w:trHeight w:hRule="exact" w:val="240"/>
        </w:trPr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Montenegro</w:t>
            </w:r>
          </w:p>
        </w:tc>
        <w:tc>
          <w:tcPr>
            <w:tcW w:type="dxa" w:w="781"/>
            <w:vMerge/>
            <w:tcBorders/>
          </w:tcPr>
          <w:p/>
        </w:tc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 </w:t>
            </w:r>
          </w:p>
        </w:tc>
        <w:tc>
          <w:tcPr>
            <w:tcW w:type="dxa" w:w="12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8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4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8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8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8" w:after="0"/>
              <w:ind w:left="0" w:right="20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* </w:t>
            </w:r>
          </w:p>
        </w:tc>
      </w:tr>
      <w:tr>
        <w:trPr>
          <w:trHeight w:hRule="exact" w:val="222"/>
        </w:trPr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Morocco</w:t>
            </w:r>
          </w:p>
        </w:tc>
        <w:tc>
          <w:tcPr>
            <w:tcW w:type="dxa" w:w="781"/>
            <w:vMerge/>
            <w:tcBorders/>
          </w:tcPr>
          <w:p/>
        </w:tc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* </w:t>
            </w:r>
          </w:p>
        </w:tc>
        <w:tc>
          <w:tcPr>
            <w:tcW w:type="dxa" w:w="12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4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*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20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* </w:t>
            </w:r>
          </w:p>
        </w:tc>
      </w:tr>
      <w:tr>
        <w:trPr>
          <w:trHeight w:hRule="exact" w:val="198"/>
        </w:trPr>
        <w:tc>
          <w:tcPr>
            <w:tcW w:type="dxa" w:w="28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Mozambique</w:t>
            </w:r>
          </w:p>
        </w:tc>
        <w:tc>
          <w:tcPr>
            <w:tcW w:type="dxa" w:w="190"/>
            <w:vMerge w:val="restart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3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3,446 </w:t>
            </w:r>
          </w:p>
        </w:tc>
        <w:tc>
          <w:tcPr>
            <w:tcW w:type="dxa" w:w="129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460"/>
            <w:gridSpan w:val="4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473 </w:t>
            </w:r>
          </w:p>
        </w:tc>
        <w:tc>
          <w:tcPr>
            <w:tcW w:type="dxa" w:w="9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2,973 </w:t>
            </w:r>
          </w:p>
        </w:tc>
        <w:tc>
          <w:tcPr>
            <w:tcW w:type="dxa" w:w="150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1.47</w:t>
            </w:r>
          </w:p>
        </w:tc>
      </w:tr>
      <w:tr>
        <w:trPr>
          <w:trHeight w:hRule="exact" w:val="220"/>
        </w:trPr>
        <w:tc>
          <w:tcPr>
            <w:tcW w:type="dxa" w:w="28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Myanmar</w:t>
            </w:r>
          </w:p>
        </w:tc>
        <w:tc>
          <w:tcPr>
            <w:tcW w:type="dxa" w:w="781"/>
            <w:vMerge/>
            <w:tcBorders/>
          </w:tcPr>
          <w:p/>
        </w:tc>
        <w:tc>
          <w:tcPr>
            <w:tcW w:type="dxa" w:w="103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1,691 </w:t>
            </w:r>
          </w:p>
        </w:tc>
        <w:tc>
          <w:tcPr>
            <w:tcW w:type="dxa" w:w="129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460"/>
            <w:gridSpan w:val="4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197 </w:t>
            </w:r>
          </w:p>
        </w:tc>
        <w:tc>
          <w:tcPr>
            <w:tcW w:type="dxa" w:w="9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1,494 </w:t>
            </w:r>
          </w:p>
        </w:tc>
        <w:tc>
          <w:tcPr>
            <w:tcW w:type="dxa" w:w="150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0.74</w:t>
            </w:r>
          </w:p>
        </w:tc>
      </w:tr>
      <w:tr>
        <w:trPr>
          <w:trHeight w:hRule="exact" w:val="220"/>
        </w:trPr>
        <w:tc>
          <w:tcPr>
            <w:tcW w:type="dxa" w:w="28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Nepal</w:t>
            </w:r>
          </w:p>
        </w:tc>
        <w:tc>
          <w:tcPr>
            <w:tcW w:type="dxa" w:w="781"/>
            <w:vMerge/>
            <w:tcBorders/>
          </w:tcPr>
          <w:p/>
        </w:tc>
        <w:tc>
          <w:tcPr>
            <w:tcW w:type="dxa" w:w="103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5,694 </w:t>
            </w:r>
          </w:p>
        </w:tc>
        <w:tc>
          <w:tcPr>
            <w:tcW w:type="dxa" w:w="129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98 </w:t>
            </w:r>
          </w:p>
        </w:tc>
        <w:tc>
          <w:tcPr>
            <w:tcW w:type="dxa" w:w="1460"/>
            <w:gridSpan w:val="4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1,157 </w:t>
            </w:r>
          </w:p>
        </w:tc>
        <w:tc>
          <w:tcPr>
            <w:tcW w:type="dxa" w:w="9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4,439 </w:t>
            </w:r>
          </w:p>
        </w:tc>
        <w:tc>
          <w:tcPr>
            <w:tcW w:type="dxa" w:w="150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2.19</w:t>
            </w:r>
          </w:p>
        </w:tc>
      </w:tr>
      <w:tr>
        <w:trPr>
          <w:trHeight w:hRule="exact" w:val="220"/>
        </w:trPr>
        <w:tc>
          <w:tcPr>
            <w:tcW w:type="dxa" w:w="28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Nicaragua</w:t>
            </w:r>
          </w:p>
        </w:tc>
        <w:tc>
          <w:tcPr>
            <w:tcW w:type="dxa" w:w="781"/>
            <w:vMerge/>
            <w:tcBorders/>
          </w:tcPr>
          <w:p/>
        </w:tc>
        <w:tc>
          <w:tcPr>
            <w:tcW w:type="dxa" w:w="103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1,023 </w:t>
            </w:r>
          </w:p>
        </w:tc>
        <w:tc>
          <w:tcPr>
            <w:tcW w:type="dxa" w:w="129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460"/>
            <w:gridSpan w:val="4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55 </w:t>
            </w:r>
          </w:p>
        </w:tc>
        <w:tc>
          <w:tcPr>
            <w:tcW w:type="dxa" w:w="9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968 </w:t>
            </w:r>
          </w:p>
        </w:tc>
        <w:tc>
          <w:tcPr>
            <w:tcW w:type="dxa" w:w="150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0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0.48</w:t>
            </w:r>
          </w:p>
        </w:tc>
      </w:tr>
      <w:tr>
        <w:trPr>
          <w:trHeight w:hRule="exact" w:val="236"/>
        </w:trPr>
        <w:tc>
          <w:tcPr>
            <w:tcW w:type="dxa" w:w="28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Niger</w:t>
            </w:r>
          </w:p>
        </w:tc>
        <w:tc>
          <w:tcPr>
            <w:tcW w:type="dxa" w:w="781"/>
            <w:vMerge/>
            <w:tcBorders/>
          </w:tcPr>
          <w:p/>
        </w:tc>
        <w:tc>
          <w:tcPr>
            <w:tcW w:type="dxa" w:w="103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4,626 </w:t>
            </w:r>
          </w:p>
        </w:tc>
        <w:tc>
          <w:tcPr>
            <w:tcW w:type="dxa" w:w="129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349 </w:t>
            </w:r>
          </w:p>
        </w:tc>
        <w:tc>
          <w:tcPr>
            <w:tcW w:type="dxa" w:w="1460"/>
            <w:gridSpan w:val="4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1,853 </w:t>
            </w:r>
          </w:p>
        </w:tc>
        <w:tc>
          <w:tcPr>
            <w:tcW w:type="dxa" w:w="9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2,424 </w:t>
            </w:r>
          </w:p>
        </w:tc>
        <w:tc>
          <w:tcPr>
            <w:tcW w:type="dxa" w:w="150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1.20</w:t>
            </w:r>
          </w:p>
        </w:tc>
      </w:tr>
      <w:tr>
        <w:trPr>
          <w:trHeight w:hRule="exact" w:val="184"/>
        </w:trPr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Nigeria</w:t>
            </w:r>
          </w:p>
        </w:tc>
        <w:tc>
          <w:tcPr>
            <w:tcW w:type="dxa" w:w="19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22,763 </w:t>
            </w:r>
          </w:p>
        </w:tc>
        <w:tc>
          <w:tcPr>
            <w:tcW w:type="dxa" w:w="12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4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6,408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16,355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8.08</w:t>
            </w:r>
          </w:p>
        </w:tc>
      </w:tr>
      <w:tr>
        <w:trPr>
          <w:trHeight w:hRule="exact" w:val="236"/>
        </w:trPr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North Macedonia</w:t>
            </w:r>
          </w:p>
        </w:tc>
        <w:tc>
          <w:tcPr>
            <w:tcW w:type="dxa" w:w="781"/>
            <w:vMerge/>
            <w:tcBorders/>
          </w:tcPr>
          <w:p/>
        </w:tc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130 </w:t>
            </w:r>
          </w:p>
        </w:tc>
        <w:tc>
          <w:tcPr>
            <w:tcW w:type="dxa" w:w="12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4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130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0.06</w:t>
            </w:r>
          </w:p>
        </w:tc>
      </w:tr>
      <w:tr>
        <w:trPr>
          <w:trHeight w:hRule="exact" w:val="184"/>
        </w:trPr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Pakistan</w:t>
            </w:r>
          </w:p>
        </w:tc>
        <w:tc>
          <w:tcPr>
            <w:tcW w:type="dxa" w:w="781"/>
            <w:vMerge/>
            <w:tcBorders/>
          </w:tcPr>
          <w:p/>
        </w:tc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23,253 </w:t>
            </w:r>
          </w:p>
        </w:tc>
        <w:tc>
          <w:tcPr>
            <w:tcW w:type="dxa" w:w="12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1,085 </w:t>
            </w:r>
          </w:p>
        </w:tc>
        <w:tc>
          <w:tcPr>
            <w:tcW w:type="dxa" w:w="14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4,433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17,735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8.75</w:t>
            </w:r>
          </w:p>
        </w:tc>
      </w:tr>
      <w:tr>
        <w:trPr>
          <w:trHeight w:hRule="exact" w:val="200"/>
        </w:trPr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Papua New Guinea</w:t>
            </w:r>
          </w:p>
        </w:tc>
        <w:tc>
          <w:tcPr>
            <w:tcW w:type="dxa" w:w="781"/>
            <w:vMerge/>
            <w:tcBorders/>
          </w:tcPr>
          <w:p/>
        </w:tc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853 </w:t>
            </w:r>
          </w:p>
        </w:tc>
        <w:tc>
          <w:tcPr>
            <w:tcW w:type="dxa" w:w="12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4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285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568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0.28</w:t>
            </w:r>
          </w:p>
        </w:tc>
      </w:tr>
      <w:tr>
        <w:trPr>
          <w:trHeight w:hRule="exact" w:val="232"/>
        </w:trPr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Paraguay</w:t>
            </w:r>
          </w:p>
        </w:tc>
        <w:tc>
          <w:tcPr>
            <w:tcW w:type="dxa" w:w="781"/>
            <w:vMerge/>
            <w:tcBorders/>
          </w:tcPr>
          <w:p/>
        </w:tc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 </w:t>
            </w:r>
          </w:p>
        </w:tc>
        <w:tc>
          <w:tcPr>
            <w:tcW w:type="dxa" w:w="12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4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20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* </w:t>
            </w:r>
          </w:p>
        </w:tc>
      </w:tr>
      <w:tr>
        <w:trPr>
          <w:trHeight w:hRule="exact" w:val="188"/>
        </w:trPr>
        <w:tc>
          <w:tcPr>
            <w:tcW w:type="dxa" w:w="28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Philippines</w:t>
            </w:r>
          </w:p>
        </w:tc>
        <w:tc>
          <w:tcPr>
            <w:tcW w:type="dxa" w:w="190"/>
            <w:vMerge w:val="restart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3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 </w:t>
            </w:r>
          </w:p>
        </w:tc>
        <w:tc>
          <w:tcPr>
            <w:tcW w:type="dxa" w:w="129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460"/>
            <w:gridSpan w:val="4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9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 </w:t>
            </w:r>
          </w:p>
        </w:tc>
        <w:tc>
          <w:tcPr>
            <w:tcW w:type="dxa" w:w="150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0.01</w:t>
            </w:r>
          </w:p>
        </w:tc>
      </w:tr>
      <w:tr>
        <w:trPr>
          <w:trHeight w:hRule="exact" w:val="199"/>
        </w:trPr>
        <w:tc>
          <w:tcPr>
            <w:tcW w:type="dxa" w:w="28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Rwanda</w:t>
            </w:r>
          </w:p>
        </w:tc>
        <w:tc>
          <w:tcPr>
            <w:tcW w:type="dxa" w:w="781"/>
            <w:vMerge/>
            <w:tcBorders/>
          </w:tcPr>
          <w:p/>
        </w:tc>
        <w:tc>
          <w:tcPr>
            <w:tcW w:type="dxa" w:w="103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4,422 </w:t>
            </w:r>
          </w:p>
        </w:tc>
        <w:tc>
          <w:tcPr>
            <w:tcW w:type="dxa" w:w="129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460"/>
            <w:gridSpan w:val="4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1,085 </w:t>
            </w:r>
          </w:p>
        </w:tc>
        <w:tc>
          <w:tcPr>
            <w:tcW w:type="dxa" w:w="9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3,337 </w:t>
            </w:r>
          </w:p>
        </w:tc>
        <w:tc>
          <w:tcPr>
            <w:tcW w:type="dxa" w:w="150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1.65</w:t>
            </w:r>
          </w:p>
        </w:tc>
      </w:tr>
      <w:tr>
        <w:trPr>
          <w:trHeight w:hRule="exact" w:val="197"/>
        </w:trPr>
        <w:tc>
          <w:tcPr>
            <w:tcW w:type="dxa" w:w="28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Samoa</w:t>
            </w:r>
          </w:p>
        </w:tc>
        <w:tc>
          <w:tcPr>
            <w:tcW w:type="dxa" w:w="781"/>
            <w:vMerge/>
            <w:tcBorders/>
          </w:tcPr>
          <w:p/>
        </w:tc>
        <w:tc>
          <w:tcPr>
            <w:tcW w:type="dxa" w:w="103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93 </w:t>
            </w:r>
          </w:p>
        </w:tc>
        <w:tc>
          <w:tcPr>
            <w:tcW w:type="dxa" w:w="129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460"/>
            <w:gridSpan w:val="4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9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93 </w:t>
            </w:r>
          </w:p>
        </w:tc>
        <w:tc>
          <w:tcPr>
            <w:tcW w:type="dxa" w:w="150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0.05</w:t>
            </w:r>
          </w:p>
        </w:tc>
      </w:tr>
      <w:tr>
        <w:trPr>
          <w:trHeight w:hRule="exact" w:val="184"/>
        </w:trPr>
        <w:tc>
          <w:tcPr>
            <w:tcW w:type="dxa" w:w="28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São Tomé and Príncipe</w:t>
            </w:r>
          </w:p>
        </w:tc>
        <w:tc>
          <w:tcPr>
            <w:tcW w:type="dxa" w:w="781"/>
            <w:vMerge/>
            <w:tcBorders/>
          </w:tcPr>
          <w:p/>
        </w:tc>
        <w:tc>
          <w:tcPr>
            <w:tcW w:type="dxa" w:w="103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 </w:t>
            </w:r>
          </w:p>
        </w:tc>
        <w:tc>
          <w:tcPr>
            <w:tcW w:type="dxa" w:w="129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460"/>
            <w:gridSpan w:val="4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9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 </w:t>
            </w:r>
          </w:p>
        </w:tc>
        <w:tc>
          <w:tcPr>
            <w:tcW w:type="dxa" w:w="150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20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* </w:t>
            </w:r>
          </w:p>
        </w:tc>
      </w:tr>
      <w:tr>
        <w:trPr>
          <w:trHeight w:hRule="exact" w:val="206"/>
        </w:trPr>
        <w:tc>
          <w:tcPr>
            <w:tcW w:type="dxa" w:w="28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Senegal</w:t>
            </w:r>
          </w:p>
        </w:tc>
        <w:tc>
          <w:tcPr>
            <w:tcW w:type="dxa" w:w="781"/>
            <w:vMerge/>
            <w:tcBorders/>
          </w:tcPr>
          <w:p/>
        </w:tc>
        <w:tc>
          <w:tcPr>
            <w:tcW w:type="dxa" w:w="103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6,952 </w:t>
            </w:r>
          </w:p>
        </w:tc>
        <w:tc>
          <w:tcPr>
            <w:tcW w:type="dxa" w:w="129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250 </w:t>
            </w:r>
          </w:p>
        </w:tc>
        <w:tc>
          <w:tcPr>
            <w:tcW w:type="dxa" w:w="1460"/>
            <w:gridSpan w:val="4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2,242 </w:t>
            </w:r>
          </w:p>
        </w:tc>
        <w:tc>
          <w:tcPr>
            <w:tcW w:type="dxa" w:w="9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4,460 </w:t>
            </w:r>
          </w:p>
        </w:tc>
        <w:tc>
          <w:tcPr>
            <w:tcW w:type="dxa" w:w="150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2.20</w:t>
            </w:r>
          </w:p>
        </w:tc>
      </w:tr>
      <w:tr>
        <w:trPr>
          <w:trHeight w:hRule="exact" w:val="193"/>
        </w:trPr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Serbia</w:t>
            </w:r>
          </w:p>
        </w:tc>
        <w:tc>
          <w:tcPr>
            <w:tcW w:type="dxa" w:w="19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18 </w:t>
            </w:r>
          </w:p>
        </w:tc>
        <w:tc>
          <w:tcPr>
            <w:tcW w:type="dxa" w:w="12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4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18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0.01</w:t>
            </w:r>
          </w:p>
        </w:tc>
      </w:tr>
      <w:tr>
        <w:trPr>
          <w:trHeight w:hRule="exact" w:val="197"/>
        </w:trPr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Sierra Leone</w:t>
            </w:r>
          </w:p>
        </w:tc>
        <w:tc>
          <w:tcPr>
            <w:tcW w:type="dxa" w:w="781"/>
            <w:vMerge/>
            <w:tcBorders/>
          </w:tcPr>
          <w:p/>
        </w:tc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474 </w:t>
            </w:r>
          </w:p>
        </w:tc>
        <w:tc>
          <w:tcPr>
            <w:tcW w:type="dxa" w:w="12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4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472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0.23</w:t>
            </w:r>
          </w:p>
        </w:tc>
      </w:tr>
      <w:tr>
        <w:trPr>
          <w:trHeight w:hRule="exact" w:val="184"/>
        </w:trPr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Solomon Islands</w:t>
            </w:r>
          </w:p>
        </w:tc>
        <w:tc>
          <w:tcPr>
            <w:tcW w:type="dxa" w:w="781"/>
            <w:vMerge/>
            <w:tcBorders/>
          </w:tcPr>
          <w:p/>
        </w:tc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204 </w:t>
            </w:r>
          </w:p>
        </w:tc>
        <w:tc>
          <w:tcPr>
            <w:tcW w:type="dxa" w:w="12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4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110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94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0.05</w:t>
            </w:r>
          </w:p>
        </w:tc>
      </w:tr>
      <w:tr>
        <w:trPr>
          <w:trHeight w:hRule="exact" w:val="200"/>
        </w:trPr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South Sudan</w:t>
            </w:r>
          </w:p>
        </w:tc>
        <w:tc>
          <w:tcPr>
            <w:tcW w:type="dxa" w:w="781"/>
            <w:vMerge/>
            <w:tcBorders/>
          </w:tcPr>
          <w:p/>
        </w:tc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73 </w:t>
            </w:r>
          </w:p>
        </w:tc>
        <w:tc>
          <w:tcPr>
            <w:tcW w:type="dxa" w:w="12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4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73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0.04</w:t>
            </w:r>
          </w:p>
        </w:tc>
      </w:tr>
      <w:tr>
        <w:trPr>
          <w:trHeight w:hRule="exact" w:val="202"/>
        </w:trPr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Sri Lanka</w:t>
            </w:r>
          </w:p>
        </w:tc>
        <w:tc>
          <w:tcPr>
            <w:tcW w:type="dxa" w:w="781"/>
            <w:vMerge/>
            <w:tcBorders/>
          </w:tcPr>
          <w:p/>
        </w:tc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4,047 </w:t>
            </w:r>
          </w:p>
        </w:tc>
        <w:tc>
          <w:tcPr>
            <w:tcW w:type="dxa" w:w="12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150 </w:t>
            </w:r>
          </w:p>
        </w:tc>
        <w:tc>
          <w:tcPr>
            <w:tcW w:type="dxa" w:w="14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522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3,375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1.67</w:t>
            </w:r>
          </w:p>
        </w:tc>
      </w:tr>
      <w:tr>
        <w:trPr>
          <w:trHeight w:hRule="exact" w:val="194"/>
        </w:trPr>
        <w:tc>
          <w:tcPr>
            <w:tcW w:type="dxa" w:w="28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St. Kitts and Nevis</w:t>
            </w:r>
          </w:p>
        </w:tc>
        <w:tc>
          <w:tcPr>
            <w:tcW w:type="dxa" w:w="190"/>
            <w:vMerge w:val="restart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3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* </w:t>
            </w:r>
          </w:p>
        </w:tc>
        <w:tc>
          <w:tcPr>
            <w:tcW w:type="dxa" w:w="129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460"/>
            <w:gridSpan w:val="4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9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*</w:t>
            </w:r>
          </w:p>
        </w:tc>
        <w:tc>
          <w:tcPr>
            <w:tcW w:type="dxa" w:w="150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20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* </w:t>
            </w:r>
          </w:p>
        </w:tc>
      </w:tr>
      <w:tr>
        <w:trPr>
          <w:trHeight w:hRule="exact" w:val="184"/>
        </w:trPr>
        <w:tc>
          <w:tcPr>
            <w:tcW w:type="dxa" w:w="28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St. Lucia</w:t>
            </w:r>
          </w:p>
        </w:tc>
        <w:tc>
          <w:tcPr>
            <w:tcW w:type="dxa" w:w="781"/>
            <w:vMerge/>
            <w:tcBorders/>
          </w:tcPr>
          <w:p/>
        </w:tc>
        <w:tc>
          <w:tcPr>
            <w:tcW w:type="dxa" w:w="103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345 </w:t>
            </w:r>
          </w:p>
        </w:tc>
        <w:tc>
          <w:tcPr>
            <w:tcW w:type="dxa" w:w="129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 </w:t>
            </w:r>
          </w:p>
        </w:tc>
        <w:tc>
          <w:tcPr>
            <w:tcW w:type="dxa" w:w="1460"/>
            <w:gridSpan w:val="4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117 </w:t>
            </w:r>
          </w:p>
        </w:tc>
        <w:tc>
          <w:tcPr>
            <w:tcW w:type="dxa" w:w="9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218 </w:t>
            </w:r>
          </w:p>
        </w:tc>
        <w:tc>
          <w:tcPr>
            <w:tcW w:type="dxa" w:w="150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0.11</w:t>
            </w:r>
          </w:p>
        </w:tc>
      </w:tr>
      <w:tr>
        <w:trPr>
          <w:trHeight w:hRule="exact" w:val="200"/>
        </w:trPr>
        <w:tc>
          <w:tcPr>
            <w:tcW w:type="dxa" w:w="28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St. Vincent and the Grenadines</w:t>
            </w:r>
          </w:p>
        </w:tc>
        <w:tc>
          <w:tcPr>
            <w:tcW w:type="dxa" w:w="781"/>
            <w:vMerge/>
            <w:tcBorders/>
          </w:tcPr>
          <w:p/>
        </w:tc>
        <w:tc>
          <w:tcPr>
            <w:tcW w:type="dxa" w:w="103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359 </w:t>
            </w:r>
          </w:p>
        </w:tc>
        <w:tc>
          <w:tcPr>
            <w:tcW w:type="dxa" w:w="129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460"/>
            <w:gridSpan w:val="4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123 </w:t>
            </w:r>
          </w:p>
        </w:tc>
        <w:tc>
          <w:tcPr>
            <w:tcW w:type="dxa" w:w="9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236 </w:t>
            </w:r>
          </w:p>
        </w:tc>
        <w:tc>
          <w:tcPr>
            <w:tcW w:type="dxa" w:w="150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0.12</w:t>
            </w:r>
          </w:p>
        </w:tc>
      </w:tr>
      <w:tr>
        <w:trPr>
          <w:trHeight w:hRule="exact" w:val="198"/>
        </w:trPr>
        <w:tc>
          <w:tcPr>
            <w:tcW w:type="dxa" w:w="28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Sudan</w:t>
            </w:r>
          </w:p>
        </w:tc>
        <w:tc>
          <w:tcPr>
            <w:tcW w:type="dxa" w:w="781"/>
            <w:vMerge/>
            <w:tcBorders/>
          </w:tcPr>
          <w:p/>
        </w:tc>
        <w:tc>
          <w:tcPr>
            <w:tcW w:type="dxa" w:w="103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239 </w:t>
            </w:r>
          </w:p>
        </w:tc>
        <w:tc>
          <w:tcPr>
            <w:tcW w:type="dxa" w:w="129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460"/>
            <w:gridSpan w:val="4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9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239 </w:t>
            </w:r>
          </w:p>
        </w:tc>
        <w:tc>
          <w:tcPr>
            <w:tcW w:type="dxa" w:w="150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0.12</w:t>
            </w:r>
          </w:p>
        </w:tc>
      </w:tr>
      <w:tr>
        <w:trPr>
          <w:trHeight w:hRule="exact" w:val="198"/>
        </w:trPr>
        <w:tc>
          <w:tcPr>
            <w:tcW w:type="dxa" w:w="28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Syrian Arab Republic</w:t>
            </w:r>
          </w:p>
        </w:tc>
        <w:tc>
          <w:tcPr>
            <w:tcW w:type="dxa" w:w="781"/>
            <w:vMerge/>
            <w:tcBorders/>
          </w:tcPr>
          <w:p/>
        </w:tc>
        <w:tc>
          <w:tcPr>
            <w:tcW w:type="dxa" w:w="103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 </w:t>
            </w:r>
          </w:p>
        </w:tc>
        <w:tc>
          <w:tcPr>
            <w:tcW w:type="dxa" w:w="129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460"/>
            <w:gridSpan w:val="4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9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 </w:t>
            </w:r>
          </w:p>
        </w:tc>
        <w:tc>
          <w:tcPr>
            <w:tcW w:type="dxa" w:w="150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0.01</w:t>
            </w:r>
          </w:p>
        </w:tc>
      </w:tr>
      <w:tr>
        <w:trPr>
          <w:trHeight w:hRule="exact" w:val="184"/>
        </w:trPr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Tajikistan</w:t>
            </w:r>
          </w:p>
        </w:tc>
        <w:tc>
          <w:tcPr>
            <w:tcW w:type="dxa" w:w="19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477 </w:t>
            </w:r>
          </w:p>
        </w:tc>
        <w:tc>
          <w:tcPr>
            <w:tcW w:type="dxa" w:w="12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4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105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372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0.18</w:t>
            </w:r>
          </w:p>
        </w:tc>
      </w:tr>
      <w:tr>
        <w:trPr>
          <w:trHeight w:hRule="exact" w:val="236"/>
        </w:trPr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Tanzania</w:t>
            </w:r>
          </w:p>
        </w:tc>
        <w:tc>
          <w:tcPr>
            <w:tcW w:type="dxa" w:w="781"/>
            <w:vMerge/>
            <w:tcBorders/>
          </w:tcPr>
          <w:p/>
        </w:tc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16,150 </w:t>
            </w:r>
          </w:p>
        </w:tc>
        <w:tc>
          <w:tcPr>
            <w:tcW w:type="dxa" w:w="12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680 </w:t>
            </w:r>
          </w:p>
        </w:tc>
        <w:tc>
          <w:tcPr>
            <w:tcW w:type="dxa" w:w="14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3,802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11,668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5.76</w:t>
            </w:r>
          </w:p>
        </w:tc>
      </w:tr>
      <w:tr>
        <w:trPr>
          <w:trHeight w:hRule="exact" w:val="184"/>
        </w:trPr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Timor-Leste</w:t>
            </w:r>
          </w:p>
        </w:tc>
        <w:tc>
          <w:tcPr>
            <w:tcW w:type="dxa" w:w="781"/>
            <w:vMerge/>
            <w:tcBorders/>
          </w:tcPr>
          <w:p/>
        </w:tc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298 </w:t>
            </w:r>
          </w:p>
        </w:tc>
        <w:tc>
          <w:tcPr>
            <w:tcW w:type="dxa" w:w="12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49 </w:t>
            </w:r>
          </w:p>
        </w:tc>
        <w:tc>
          <w:tcPr>
            <w:tcW w:type="dxa" w:w="14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206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43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0.02</w:t>
            </w:r>
          </w:p>
        </w:tc>
      </w:tr>
      <w:tr>
        <w:trPr>
          <w:trHeight w:hRule="exact" w:val="200"/>
        </w:trPr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Togo</w:t>
            </w:r>
          </w:p>
        </w:tc>
        <w:tc>
          <w:tcPr>
            <w:tcW w:type="dxa" w:w="781"/>
            <w:vMerge/>
            <w:tcBorders/>
          </w:tcPr>
          <w:p/>
        </w:tc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1,409 </w:t>
            </w:r>
          </w:p>
        </w:tc>
        <w:tc>
          <w:tcPr>
            <w:tcW w:type="dxa" w:w="12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285 </w:t>
            </w:r>
          </w:p>
        </w:tc>
        <w:tc>
          <w:tcPr>
            <w:tcW w:type="dxa" w:w="14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518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606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0.30</w:t>
            </w:r>
          </w:p>
        </w:tc>
      </w:tr>
      <w:tr>
        <w:trPr>
          <w:trHeight w:hRule="exact" w:val="260"/>
        </w:trPr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Tonga</w:t>
            </w:r>
          </w:p>
        </w:tc>
        <w:tc>
          <w:tcPr>
            <w:tcW w:type="dxa" w:w="781"/>
            <w:vMerge/>
            <w:tcBorders/>
          </w:tcPr>
          <w:p/>
        </w:tc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44 </w:t>
            </w:r>
          </w:p>
        </w:tc>
        <w:tc>
          <w:tcPr>
            <w:tcW w:type="dxa" w:w="12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4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2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40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2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0.02</w:t>
            </w:r>
          </w:p>
        </w:tc>
      </w:tr>
      <w:tr>
        <w:trPr>
          <w:trHeight w:hRule="exact" w:val="200"/>
        </w:trPr>
        <w:tc>
          <w:tcPr>
            <w:tcW w:type="dxa" w:w="28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Uganda</w:t>
            </w:r>
          </w:p>
        </w:tc>
        <w:tc>
          <w:tcPr>
            <w:tcW w:type="dxa" w:w="190"/>
            <w:vMerge w:val="restart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3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6,656 </w:t>
            </w:r>
          </w:p>
        </w:tc>
        <w:tc>
          <w:tcPr>
            <w:tcW w:type="dxa" w:w="129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460"/>
            <w:gridSpan w:val="4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1,883 </w:t>
            </w:r>
          </w:p>
        </w:tc>
        <w:tc>
          <w:tcPr>
            <w:tcW w:type="dxa" w:w="9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4,773 </w:t>
            </w:r>
          </w:p>
        </w:tc>
        <w:tc>
          <w:tcPr>
            <w:tcW w:type="dxa" w:w="150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8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2.36</w:t>
            </w:r>
          </w:p>
        </w:tc>
      </w:tr>
      <w:tr>
        <w:trPr>
          <w:trHeight w:hRule="exact" w:val="218"/>
        </w:trPr>
        <w:tc>
          <w:tcPr>
            <w:tcW w:type="dxa" w:w="28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Ukraine</w:t>
            </w:r>
          </w:p>
        </w:tc>
        <w:tc>
          <w:tcPr>
            <w:tcW w:type="dxa" w:w="781"/>
            <w:vMerge/>
            <w:tcBorders/>
          </w:tcPr>
          <w:p/>
        </w:tc>
        <w:tc>
          <w:tcPr>
            <w:tcW w:type="dxa" w:w="103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1,014 </w:t>
            </w:r>
          </w:p>
        </w:tc>
        <w:tc>
          <w:tcPr>
            <w:tcW w:type="dxa" w:w="129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460"/>
            <w:gridSpan w:val="4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 </w:t>
            </w:r>
          </w:p>
        </w:tc>
        <w:tc>
          <w:tcPr>
            <w:tcW w:type="dxa" w:w="9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1,013 </w:t>
            </w:r>
          </w:p>
        </w:tc>
        <w:tc>
          <w:tcPr>
            <w:tcW w:type="dxa" w:w="150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0.50</w:t>
            </w:r>
          </w:p>
        </w:tc>
      </w:tr>
      <w:tr>
        <w:trPr>
          <w:trHeight w:hRule="exact" w:val="198"/>
        </w:trPr>
        <w:tc>
          <w:tcPr>
            <w:tcW w:type="dxa" w:w="28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Uzbekistan</w:t>
            </w:r>
          </w:p>
        </w:tc>
        <w:tc>
          <w:tcPr>
            <w:tcW w:type="dxa" w:w="781"/>
            <w:vMerge/>
            <w:tcBorders/>
          </w:tcPr>
          <w:p/>
        </w:tc>
        <w:tc>
          <w:tcPr>
            <w:tcW w:type="dxa" w:w="103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5,716 </w:t>
            </w:r>
          </w:p>
        </w:tc>
        <w:tc>
          <w:tcPr>
            <w:tcW w:type="dxa" w:w="129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100 </w:t>
            </w:r>
          </w:p>
        </w:tc>
        <w:tc>
          <w:tcPr>
            <w:tcW w:type="dxa" w:w="1460"/>
            <w:gridSpan w:val="4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1,968 </w:t>
            </w:r>
          </w:p>
        </w:tc>
        <w:tc>
          <w:tcPr>
            <w:tcW w:type="dxa" w:w="9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3,648 </w:t>
            </w:r>
          </w:p>
        </w:tc>
        <w:tc>
          <w:tcPr>
            <w:tcW w:type="dxa" w:w="150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1.80</w:t>
            </w:r>
          </w:p>
        </w:tc>
      </w:tr>
      <w:tr>
        <w:trPr>
          <w:trHeight w:hRule="exact" w:val="184"/>
        </w:trPr>
        <w:tc>
          <w:tcPr>
            <w:tcW w:type="dxa" w:w="28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Vanuatu</w:t>
            </w:r>
          </w:p>
        </w:tc>
        <w:tc>
          <w:tcPr>
            <w:tcW w:type="dxa" w:w="781"/>
            <w:vMerge/>
            <w:tcBorders/>
          </w:tcPr>
          <w:p/>
        </w:tc>
        <w:tc>
          <w:tcPr>
            <w:tcW w:type="dxa" w:w="103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178 </w:t>
            </w:r>
          </w:p>
        </w:tc>
        <w:tc>
          <w:tcPr>
            <w:tcW w:type="dxa" w:w="129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460"/>
            <w:gridSpan w:val="4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86 </w:t>
            </w:r>
          </w:p>
        </w:tc>
        <w:tc>
          <w:tcPr>
            <w:tcW w:type="dxa" w:w="9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92 </w:t>
            </w:r>
          </w:p>
        </w:tc>
        <w:tc>
          <w:tcPr>
            <w:tcW w:type="dxa" w:w="150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0.05</w:t>
            </w:r>
          </w:p>
        </w:tc>
      </w:tr>
      <w:tr>
        <w:trPr>
          <w:trHeight w:hRule="exact" w:val="206"/>
        </w:trPr>
        <w:tc>
          <w:tcPr>
            <w:tcW w:type="dxa" w:w="28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Viet Nam</w:t>
            </w:r>
          </w:p>
        </w:tc>
        <w:tc>
          <w:tcPr>
            <w:tcW w:type="dxa" w:w="781"/>
            <w:vMerge/>
            <w:tcBorders/>
          </w:tcPr>
          <w:p/>
        </w:tc>
        <w:tc>
          <w:tcPr>
            <w:tcW w:type="dxa" w:w="103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12,803 </w:t>
            </w:r>
          </w:p>
        </w:tc>
        <w:tc>
          <w:tcPr>
            <w:tcW w:type="dxa" w:w="129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107 </w:t>
            </w:r>
          </w:p>
        </w:tc>
        <w:tc>
          <w:tcPr>
            <w:tcW w:type="dxa" w:w="1460"/>
            <w:gridSpan w:val="4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729 </w:t>
            </w:r>
          </w:p>
        </w:tc>
        <w:tc>
          <w:tcPr>
            <w:tcW w:type="dxa" w:w="9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11,967 </w:t>
            </w:r>
          </w:p>
        </w:tc>
        <w:tc>
          <w:tcPr>
            <w:tcW w:type="dxa" w:w="150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5.91</w:t>
            </w:r>
          </w:p>
        </w:tc>
      </w:tr>
      <w:tr>
        <w:trPr>
          <w:trHeight w:hRule="exact" w:val="192"/>
        </w:trPr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Yemen, Republic of</w:t>
            </w:r>
          </w:p>
        </w:tc>
        <w:tc>
          <w:tcPr>
            <w:tcW w:type="dxa" w:w="19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1,117 </w:t>
            </w:r>
          </w:p>
        </w:tc>
        <w:tc>
          <w:tcPr>
            <w:tcW w:type="dxa" w:w="12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4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25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1,092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0.54</w:t>
            </w:r>
          </w:p>
        </w:tc>
      </w:tr>
      <w:tr>
        <w:trPr>
          <w:trHeight w:hRule="exact" w:val="198"/>
        </w:trPr>
        <w:tc>
          <w:tcPr>
            <w:tcW w:type="dxa" w:w="2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Zambia</w:t>
            </w:r>
          </w:p>
        </w:tc>
        <w:tc>
          <w:tcPr>
            <w:tcW w:type="dxa" w:w="781"/>
            <w:vMerge/>
            <w:tcBorders>
              <w:bottom w:sz="8.0" w:val="single" w:color="#000000"/>
            </w:tcBorders>
          </w:tcPr>
          <w:p/>
        </w:tc>
        <w:tc>
          <w:tcPr>
            <w:tcW w:type="dxa" w:w="10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3,452 </w:t>
            </w:r>
          </w:p>
        </w:tc>
        <w:tc>
          <w:tcPr>
            <w:tcW w:type="dxa" w:w="129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46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960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2,492 </w:t>
            </w:r>
          </w:p>
        </w:tc>
        <w:tc>
          <w:tcPr>
            <w:tcW w:type="dxa" w:w="15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1.23</w:t>
            </w:r>
          </w:p>
        </w:tc>
      </w:tr>
      <w:tr>
        <w:trPr>
          <w:trHeight w:hRule="exact" w:val="194"/>
        </w:trPr>
        <w:tc>
          <w:tcPr>
            <w:tcW w:type="dxa" w:w="28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Zimbabwe</w:t>
            </w:r>
          </w:p>
        </w:tc>
        <w:tc>
          <w:tcPr>
            <w:tcW w:type="dxa" w:w="781"/>
            <w:vMerge/>
            <w:tcBorders>
              <w:bottom w:sz="8.0" w:val="single" w:color="#000000"/>
            </w:tcBorders>
          </w:tcPr>
          <w:p/>
        </w:tc>
        <w:tc>
          <w:tcPr>
            <w:tcW w:type="dxa" w:w="10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434 </w:t>
            </w:r>
          </w:p>
        </w:tc>
        <w:tc>
          <w:tcPr>
            <w:tcW w:type="dxa" w:w="129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460"/>
            <w:gridSpan w:val="4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9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434 </w:t>
            </w:r>
          </w:p>
        </w:tc>
        <w:tc>
          <w:tcPr>
            <w:tcW w:type="dxa" w:w="150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0.21</w:t>
            </w:r>
          </w:p>
        </w:tc>
      </w:tr>
      <w:tr>
        <w:trPr>
          <w:trHeight w:hRule="exact" w:val="196"/>
        </w:trPr>
        <w:tc>
          <w:tcPr>
            <w:tcW w:type="dxa" w:w="28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Subtotal—Members </w:t>
            </w:r>
            <w:r>
              <w:rPr>
                <w:w w:val="103.99999618530273"/>
                <w:rFonts w:ascii="Arial" w:hAnsi="Arial" w:eastAsia="Arial"/>
                <w:b/>
                <w:i w:val="0"/>
                <w:color w:val="000000"/>
                <w:sz w:val="10"/>
              </w:rPr>
              <w:t>a</w:t>
            </w:r>
          </w:p>
        </w:tc>
        <w:tc>
          <w:tcPr>
            <w:tcW w:type="dxa" w:w="1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276,469 </w:t>
            </w:r>
          </w:p>
        </w:tc>
        <w:tc>
          <w:tcPr>
            <w:tcW w:type="dxa" w:w="4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6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6,560 </w:t>
            </w:r>
          </w:p>
        </w:tc>
        <w:tc>
          <w:tcPr>
            <w:tcW w:type="dxa" w:w="4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7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12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52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67,992 </w:t>
            </w:r>
          </w:p>
        </w:tc>
        <w:tc>
          <w:tcPr>
            <w:tcW w:type="dxa" w:w="21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0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201,917 </w:t>
            </w:r>
          </w:p>
        </w:tc>
        <w:tc>
          <w:tcPr>
            <w:tcW w:type="dxa" w:w="150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0" w:after="0"/>
              <w:ind w:left="0" w:right="62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99.69</w:t>
            </w: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%</w:t>
            </w:r>
          </w:p>
        </w:tc>
      </w:tr>
      <w:tr>
        <w:trPr>
          <w:trHeight w:hRule="exact" w:val="2154"/>
        </w:trPr>
        <w:tc>
          <w:tcPr>
            <w:tcW w:type="dxa" w:w="28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3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930"/>
            <w:gridSpan w:val="8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940" w:after="0"/>
              <w:ind w:left="89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IDA Financial Statements: June 30, 2024</w:t>
            </w:r>
          </w:p>
        </w:tc>
        <w:tc>
          <w:tcPr>
            <w:tcW w:type="dxa" w:w="3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94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73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696" w:right="1440" w:bottom="2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74"/>
        <w:ind w:left="0" w:right="0"/>
      </w:pPr>
    </w:p>
    <w:p>
      <w:pPr>
        <w:autoSpaceDN w:val="0"/>
        <w:autoSpaceDE w:val="0"/>
        <w:widowControl/>
        <w:spacing w:line="260" w:lineRule="exact" w:before="54" w:after="0"/>
        <w:ind w:left="10" w:right="4608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SUMMARY STATEMENT OF LOANS </w:t>
      </w:r>
      <w:r>
        <w:br/>
      </w:r>
      <w:r>
        <w:rPr>
          <w:rFonts w:ascii="Arial" w:hAnsi="Arial" w:eastAsia="Arial"/>
          <w:b w:val="0"/>
          <w:i/>
          <w:color w:val="000000"/>
          <w:sz w:val="20"/>
        </w:rPr>
        <w:t>June 30, 2024</w:t>
      </w:r>
    </w:p>
    <w:p>
      <w:pPr>
        <w:autoSpaceDN w:val="0"/>
        <w:autoSpaceDE w:val="0"/>
        <w:widowControl/>
        <w:spacing w:line="178" w:lineRule="exact" w:before="204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Amounts expressed in millions of U.S. dollars</w:t>
      </w:r>
    </w:p>
    <w:p>
      <w:pPr>
        <w:autoSpaceDN w:val="0"/>
        <w:autoSpaceDE w:val="0"/>
        <w:widowControl/>
        <w:spacing w:line="178" w:lineRule="exact" w:before="62" w:after="22"/>
        <w:ind w:left="0" w:right="3240" w:firstLine="0"/>
        <w:jc w:val="right"/>
      </w:pPr>
      <w:r>
        <w:rPr>
          <w:rFonts w:ascii="Arial" w:hAnsi="Arial" w:eastAsia="Arial"/>
          <w:b w:val="0"/>
          <w:i/>
          <w:color w:val="000000"/>
          <w:sz w:val="16"/>
        </w:rPr>
        <w:t>Undisbursed balance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</w:tblGrid>
      <w:tr>
        <w:trPr>
          <w:trHeight w:hRule="exact" w:val="222"/>
        </w:trPr>
        <w:tc>
          <w:tcPr>
            <w:tcW w:type="dxa" w:w="275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18" w:after="0"/>
              <w:ind w:left="6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Borrower or guarantor</w:t>
            </w:r>
          </w:p>
        </w:tc>
        <w:tc>
          <w:tcPr>
            <w:tcW w:type="dxa" w:w="32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6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8" w:after="0"/>
              <w:ind w:left="3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Total loans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Loans </w:t>
            </w:r>
          </w:p>
        </w:tc>
        <w:tc>
          <w:tcPr>
            <w:tcW w:type="dxa" w:w="12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Signed loan </w:t>
            </w:r>
          </w:p>
        </w:tc>
        <w:tc>
          <w:tcPr>
            <w:tcW w:type="dxa" w:w="20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2" w:after="0"/>
              <w:ind w:left="20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Loans </w:t>
            </w:r>
          </w:p>
        </w:tc>
        <w:tc>
          <w:tcPr>
            <w:tcW w:type="dxa" w:w="134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88" w:after="0"/>
              <w:ind w:left="0" w:right="144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Percentage of </w:t>
            </w: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total loans </w:t>
            </w:r>
            <w:r>
              <w:br/>
            </w: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outstanding</w:t>
            </w:r>
            <w:r>
              <w:rPr>
                <w:w w:val="103.99999618530273"/>
                <w:rFonts w:ascii="Arial" w:hAnsi="Arial" w:eastAsia="Arial"/>
                <w:b w:val="0"/>
                <w:i/>
                <w:color w:val="000000"/>
                <w:sz w:val="10"/>
              </w:rPr>
              <w:t xml:space="preserve"> a</w:t>
            </w:r>
          </w:p>
        </w:tc>
      </w:tr>
      <w:tr>
        <w:trPr>
          <w:trHeight w:hRule="exact" w:val="80"/>
        </w:trPr>
        <w:tc>
          <w:tcPr>
            <w:tcW w:type="dxa" w:w="937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37"/>
            <w:vMerge/>
            <w:tcBorders>
              <w:bottom w:sz="8.0" w:val="single" w:color="#000000"/>
            </w:tcBorders>
          </w:tcPr>
          <w:p/>
        </w:tc>
        <w:tc>
          <w:tcPr>
            <w:tcW w:type="dxa" w:w="937"/>
            <w:vMerge/>
            <w:tcBorders>
              <w:bottom w:sz="8.0" w:val="single" w:color="#000000"/>
            </w:tcBorders>
          </w:tcPr>
          <w:p/>
        </w:tc>
        <w:tc>
          <w:tcPr>
            <w:tcW w:type="dxa" w:w="12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approved but </w:t>
            </w:r>
          </w:p>
        </w:tc>
        <w:tc>
          <w:tcPr>
            <w:tcW w:type="dxa" w:w="1874"/>
            <w:gridSpan w:val="2"/>
            <w:vMerge/>
            <w:tcBorders/>
          </w:tcPr>
          <w:p/>
        </w:tc>
        <w:tc>
          <w:tcPr>
            <w:tcW w:type="dxa" w:w="937"/>
            <w:vMerge/>
            <w:tcBorders>
              <w:bottom w:sz="8.0" w:val="single" w:color="#000000"/>
            </w:tcBorders>
          </w:tcPr>
          <w:p/>
        </w:tc>
        <w:tc>
          <w:tcPr>
            <w:tcW w:type="dxa" w:w="937"/>
            <w:vMerge/>
            <w:tcBorders/>
          </w:tcPr>
          <w:p/>
        </w:tc>
        <w:tc>
          <w:tcPr>
            <w:tcW w:type="dxa" w:w="937"/>
            <w:vMerge/>
            <w:tcBorders>
              <w:bottom w:sz="8.0" w:val="single" w:color="#000000"/>
            </w:tcBorders>
          </w:tcPr>
          <w:p/>
        </w:tc>
      </w:tr>
      <w:tr>
        <w:trPr>
          <w:trHeight w:hRule="exact" w:val="100"/>
        </w:trPr>
        <w:tc>
          <w:tcPr>
            <w:tcW w:type="dxa" w:w="937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37"/>
            <w:vMerge/>
            <w:tcBorders>
              <w:bottom w:sz="8.0" w:val="single" w:color="#000000"/>
            </w:tcBorders>
          </w:tcPr>
          <w:p/>
        </w:tc>
        <w:tc>
          <w:tcPr>
            <w:tcW w:type="dxa" w:w="937"/>
            <w:vMerge/>
            <w:tcBorders>
              <w:bottom w:sz="8.0" w:val="single" w:color="#000000"/>
            </w:tcBorders>
          </w:tcPr>
          <w:p/>
        </w:tc>
        <w:tc>
          <w:tcPr>
            <w:tcW w:type="dxa" w:w="1874"/>
            <w:gridSpan w:val="2"/>
            <w:vMerge/>
            <w:tcBorders/>
          </w:tcPr>
          <w:p/>
        </w:tc>
        <w:tc>
          <w:tcPr>
            <w:tcW w:type="dxa" w:w="1260"/>
            <w:gridSpan w:val="2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commitments</w:t>
            </w:r>
          </w:p>
        </w:tc>
        <w:tc>
          <w:tcPr>
            <w:tcW w:type="dxa" w:w="937"/>
            <w:vMerge/>
            <w:tcBorders>
              <w:bottom w:sz="8.0" w:val="single" w:color="#000000"/>
            </w:tcBorders>
          </w:tcPr>
          <w:p/>
        </w:tc>
        <w:tc>
          <w:tcPr>
            <w:tcW w:type="dxa" w:w="108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outstanding</w:t>
            </w:r>
          </w:p>
        </w:tc>
        <w:tc>
          <w:tcPr>
            <w:tcW w:type="dxa" w:w="937"/>
            <w:vMerge/>
            <w:tcBorders>
              <w:bottom w:sz="8.0" w:val="single" w:color="#000000"/>
            </w:tcBorders>
          </w:tcPr>
          <w:p/>
        </w:tc>
      </w:tr>
      <w:tr>
        <w:trPr>
          <w:trHeight w:hRule="exact" w:val="240"/>
        </w:trPr>
        <w:tc>
          <w:tcPr>
            <w:tcW w:type="dxa" w:w="937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37"/>
            <w:vMerge/>
            <w:tcBorders>
              <w:bottom w:sz="8.0" w:val="single" w:color="#000000"/>
            </w:tcBorders>
          </w:tcPr>
          <w:p/>
        </w:tc>
        <w:tc>
          <w:tcPr>
            <w:tcW w:type="dxa" w:w="937"/>
            <w:vMerge/>
            <w:tcBorders>
              <w:bottom w:sz="8.0" w:val="single" w:color="#000000"/>
            </w:tcBorders>
          </w:tcPr>
          <w:p/>
        </w:tc>
        <w:tc>
          <w:tcPr>
            <w:tcW w:type="dxa" w:w="126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not yet signed</w:t>
            </w:r>
          </w:p>
        </w:tc>
        <w:tc>
          <w:tcPr>
            <w:tcW w:type="dxa" w:w="1874"/>
            <w:gridSpan w:val="2"/>
            <w:vMerge/>
            <w:tcBorders>
              <w:bottom w:sz="8.0" w:val="single" w:color="#000000"/>
            </w:tcBorders>
          </w:tcPr>
          <w:p/>
        </w:tc>
        <w:tc>
          <w:tcPr>
            <w:tcW w:type="dxa" w:w="937"/>
            <w:vMerge/>
            <w:tcBorders>
              <w:bottom w:sz="8.0" w:val="single" w:color="#000000"/>
            </w:tcBorders>
          </w:tcPr>
          <w:p/>
        </w:tc>
        <w:tc>
          <w:tcPr>
            <w:tcW w:type="dxa" w:w="937"/>
            <w:vMerge/>
            <w:tcBorders>
              <w:bottom w:sz="8.0" w:val="single" w:color="#000000"/>
            </w:tcBorders>
          </w:tcPr>
          <w:p/>
        </w:tc>
        <w:tc>
          <w:tcPr>
            <w:tcW w:type="dxa" w:w="937"/>
            <w:vMerge/>
            <w:tcBorders>
              <w:bottom w:sz="8.0" w:val="single" w:color="#000000"/>
            </w:tcBorders>
          </w:tcPr>
          <w:p/>
        </w:tc>
      </w:tr>
      <w:tr>
        <w:trPr>
          <w:trHeight w:hRule="exact" w:val="240"/>
        </w:trPr>
        <w:tc>
          <w:tcPr>
            <w:tcW w:type="dxa" w:w="27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African Trade Insurance Agency </w:t>
            </w:r>
          </w:p>
        </w:tc>
        <w:tc>
          <w:tcPr>
            <w:tcW w:type="dxa" w:w="320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 </w:t>
            </w:r>
          </w:p>
        </w:tc>
        <w:tc>
          <w:tcPr>
            <w:tcW w:type="dxa" w:w="5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5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200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 </w:t>
            </w:r>
          </w:p>
        </w:tc>
        <w:tc>
          <w:tcPr>
            <w:tcW w:type="dxa" w:w="134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*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%</w:t>
            </w:r>
          </w:p>
        </w:tc>
      </w:tr>
      <w:tr>
        <w:trPr>
          <w:trHeight w:hRule="exact" w:val="240"/>
        </w:trPr>
        <w:tc>
          <w:tcPr>
            <w:tcW w:type="dxa" w:w="27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Bank of the States of Central Africa </w:t>
            </w:r>
          </w:p>
        </w:tc>
        <w:tc>
          <w:tcPr>
            <w:tcW w:type="dxa" w:w="937"/>
            <w:vMerge/>
            <w:tcBorders>
              <w:top w:sz="8.0" w:val="single" w:color="#000000"/>
            </w:tcBorders>
          </w:tcPr>
          <w:p/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53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 </w:t>
            </w:r>
          </w:p>
        </w:tc>
        <w:tc>
          <w:tcPr>
            <w:tcW w:type="dxa" w:w="937"/>
            <w:vMerge/>
            <w:tcBorders>
              <w:top w:sz="8.0" w:val="single" w:color="#000000"/>
            </w:tcBorders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47 </w:t>
            </w:r>
          </w:p>
        </w:tc>
        <w:tc>
          <w:tcPr>
            <w:tcW w:type="dxa" w:w="13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0.02</w:t>
            </w:r>
          </w:p>
        </w:tc>
      </w:tr>
      <w:tr>
        <w:trPr>
          <w:trHeight w:hRule="exact" w:val="244"/>
        </w:trPr>
        <w:tc>
          <w:tcPr>
            <w:tcW w:type="dxa" w:w="27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Caribbean Development Bank </w:t>
            </w:r>
          </w:p>
        </w:tc>
        <w:tc>
          <w:tcPr>
            <w:tcW w:type="dxa" w:w="937"/>
            <w:vMerge/>
            <w:tcBorders>
              <w:top w:sz="8.0" w:val="single" w:color="#000000"/>
            </w:tcBorders>
          </w:tcPr>
          <w:p/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937"/>
            <w:vMerge/>
            <w:tcBorders>
              <w:top w:sz="8.0" w:val="single" w:color="#000000"/>
            </w:tcBorders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 </w:t>
            </w:r>
          </w:p>
        </w:tc>
        <w:tc>
          <w:tcPr>
            <w:tcW w:type="dxa" w:w="13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0" w:right="1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* </w:t>
            </w:r>
          </w:p>
        </w:tc>
      </w:tr>
    </w:tbl>
    <w:p>
      <w:pPr>
        <w:autoSpaceDN w:val="0"/>
        <w:autoSpaceDE w:val="0"/>
        <w:widowControl/>
        <w:spacing w:line="178" w:lineRule="exact" w:before="22" w:after="8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Eastern and Southern African Trade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  <w:gridCol w:w="937"/>
      </w:tblGrid>
      <w:tr>
        <w:trPr>
          <w:trHeight w:hRule="exact" w:val="198"/>
        </w:trPr>
        <w:tc>
          <w:tcPr>
            <w:tcW w:type="dxa" w:w="28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1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and Development Bank</w:t>
            </w:r>
          </w:p>
        </w:tc>
        <w:tc>
          <w:tcPr>
            <w:tcW w:type="dxa" w:w="37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690 </w:t>
            </w:r>
          </w:p>
        </w:tc>
        <w:tc>
          <w:tcPr>
            <w:tcW w:type="dxa" w:w="45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7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5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8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609 </w:t>
            </w:r>
          </w:p>
        </w:tc>
        <w:tc>
          <w:tcPr>
            <w:tcW w:type="dxa" w:w="41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8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81 </w:t>
            </w:r>
          </w:p>
        </w:tc>
        <w:tc>
          <w:tcPr>
            <w:tcW w:type="dxa" w:w="13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0.04</w:t>
            </w:r>
          </w:p>
        </w:tc>
      </w:tr>
      <w:tr>
        <w:trPr>
          <w:trHeight w:hRule="exact" w:val="256"/>
        </w:trPr>
        <w:tc>
          <w:tcPr>
            <w:tcW w:type="dxa" w:w="28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West African Development Bank </w:t>
            </w:r>
          </w:p>
        </w:tc>
        <w:tc>
          <w:tcPr>
            <w:tcW w:type="dxa" w:w="937"/>
            <w:vMerge/>
            <w:tcBorders>
              <w:bottom w:sz="8.0" w:val="single" w:color="#000000"/>
            </w:tcBorders>
          </w:tcPr>
          <w:p/>
        </w:tc>
        <w:tc>
          <w:tcPr>
            <w:tcW w:type="dxa" w:w="8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330 </w:t>
            </w:r>
          </w:p>
        </w:tc>
        <w:tc>
          <w:tcPr>
            <w:tcW w:type="dxa" w:w="937"/>
            <w:vMerge/>
            <w:tcBorders>
              <w:bottom w:sz="8.0" w:val="single" w:color="#000000"/>
            </w:tcBorders>
          </w:tcPr>
          <w:p/>
        </w:tc>
        <w:tc>
          <w:tcPr>
            <w:tcW w:type="dxa" w:w="7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937"/>
            <w:vMerge/>
            <w:tcBorders>
              <w:bottom w:sz="8.0" w:val="single" w:color="#000000"/>
            </w:tcBorders>
          </w:tcPr>
          <w:p/>
        </w:tc>
        <w:tc>
          <w:tcPr>
            <w:tcW w:type="dxa" w:w="8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76 </w:t>
            </w:r>
          </w:p>
        </w:tc>
        <w:tc>
          <w:tcPr>
            <w:tcW w:type="dxa" w:w="937"/>
            <w:vMerge/>
            <w:tcBorders>
              <w:bottom w:sz="8.0" w:val="single" w:color="#000000"/>
            </w:tcBorders>
          </w:tcPr>
          <w:p/>
        </w:tc>
        <w:tc>
          <w:tcPr>
            <w:tcW w:type="dxa" w:w="8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254 </w:t>
            </w:r>
          </w:p>
        </w:tc>
        <w:tc>
          <w:tcPr>
            <w:tcW w:type="dxa" w:w="139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0.13</w:t>
            </w:r>
          </w:p>
        </w:tc>
      </w:tr>
      <w:tr>
        <w:trPr>
          <w:trHeight w:hRule="exact" w:val="404"/>
        </w:trPr>
        <w:tc>
          <w:tcPr>
            <w:tcW w:type="dxa" w:w="28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2" w:val="left"/>
              </w:tabs>
              <w:autoSpaceDE w:val="0"/>
              <w:widowControl/>
              <w:spacing w:line="160" w:lineRule="exact" w:before="46" w:after="0"/>
              <w:ind w:left="32" w:right="144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Subtotal—Regional development </w:t>
            </w: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banks</w:t>
            </w:r>
          </w:p>
        </w:tc>
        <w:tc>
          <w:tcPr>
            <w:tcW w:type="dxa" w:w="3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6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6" w:after="0"/>
              <w:ind w:left="0" w:right="7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1,086 </w:t>
            </w:r>
          </w:p>
        </w:tc>
        <w:tc>
          <w:tcPr>
            <w:tcW w:type="dxa" w:w="4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6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6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6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6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691 </w:t>
            </w:r>
          </w:p>
        </w:tc>
        <w:tc>
          <w:tcPr>
            <w:tcW w:type="dxa" w:w="4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6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6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395 </w:t>
            </w:r>
          </w:p>
        </w:tc>
        <w:tc>
          <w:tcPr>
            <w:tcW w:type="dxa" w:w="139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6" w:after="0"/>
              <w:ind w:left="0" w:right="6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0.19</w:t>
            </w: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%</w:t>
            </w:r>
          </w:p>
        </w:tc>
      </w:tr>
      <w:tr>
        <w:trPr>
          <w:trHeight w:hRule="exact" w:val="450"/>
        </w:trPr>
        <w:tc>
          <w:tcPr>
            <w:tcW w:type="dxa" w:w="28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32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Private Sector Window (PSW) Loans</w:t>
            </w:r>
          </w:p>
        </w:tc>
        <w:tc>
          <w:tcPr>
            <w:tcW w:type="dxa" w:w="3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32" w:after="0"/>
              <w:ind w:left="0" w:right="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552 </w:t>
            </w:r>
          </w:p>
        </w:tc>
        <w:tc>
          <w:tcPr>
            <w:tcW w:type="dxa" w:w="4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148 </w:t>
            </w:r>
          </w:p>
        </w:tc>
        <w:tc>
          <w:tcPr>
            <w:tcW w:type="dxa" w:w="4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168 </w:t>
            </w:r>
          </w:p>
        </w:tc>
        <w:tc>
          <w:tcPr>
            <w:tcW w:type="dxa" w:w="4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236 </w:t>
            </w:r>
          </w:p>
        </w:tc>
        <w:tc>
          <w:tcPr>
            <w:tcW w:type="dxa" w:w="139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32" w:after="0"/>
              <w:ind w:left="0" w:right="1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0.12</w:t>
            </w:r>
          </w:p>
        </w:tc>
      </w:tr>
      <w:tr>
        <w:trPr>
          <w:trHeight w:hRule="exact" w:val="240"/>
        </w:trPr>
        <w:tc>
          <w:tcPr>
            <w:tcW w:type="dxa" w:w="28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0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Total—June 30, 2024 </w:t>
            </w:r>
            <w:r>
              <w:rPr>
                <w:w w:val="103.99999618530273"/>
                <w:rFonts w:ascii="Arial" w:hAnsi="Arial" w:eastAsia="Arial"/>
                <w:b/>
                <w:i w:val="0"/>
                <w:color w:val="000000"/>
                <w:sz w:val="10"/>
              </w:rPr>
              <w:t>a</w:t>
            </w:r>
          </w:p>
        </w:tc>
        <w:tc>
          <w:tcPr>
            <w:tcW w:type="dxa" w:w="3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19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278,107 </w:t>
            </w:r>
          </w:p>
        </w:tc>
        <w:tc>
          <w:tcPr>
            <w:tcW w:type="dxa" w:w="4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6,708 </w:t>
            </w:r>
          </w:p>
        </w:tc>
        <w:tc>
          <w:tcPr>
            <w:tcW w:type="dxa" w:w="4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68,851 </w:t>
            </w:r>
          </w:p>
        </w:tc>
        <w:tc>
          <w:tcPr>
            <w:tcW w:type="dxa" w:w="4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19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202,548 </w:t>
            </w:r>
          </w:p>
        </w:tc>
        <w:tc>
          <w:tcPr>
            <w:tcW w:type="dxa" w:w="139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6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100.00</w:t>
            </w: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%</w:t>
            </w:r>
          </w:p>
        </w:tc>
      </w:tr>
      <w:tr>
        <w:trPr>
          <w:trHeight w:hRule="exact" w:val="220"/>
        </w:trPr>
        <w:tc>
          <w:tcPr>
            <w:tcW w:type="dxa" w:w="28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Total—June 30, 2023</w:t>
            </w:r>
          </w:p>
        </w:tc>
        <w:tc>
          <w:tcPr>
            <w:tcW w:type="dxa" w:w="3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9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269,364 </w:t>
            </w:r>
          </w:p>
        </w:tc>
        <w:tc>
          <w:tcPr>
            <w:tcW w:type="dxa" w:w="4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9,138 </w:t>
            </w:r>
          </w:p>
        </w:tc>
        <w:tc>
          <w:tcPr>
            <w:tcW w:type="dxa" w:w="4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68,542 </w:t>
            </w:r>
          </w:p>
        </w:tc>
        <w:tc>
          <w:tcPr>
            <w:tcW w:type="dxa" w:w="4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9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191,684 </w:t>
            </w:r>
          </w:p>
        </w:tc>
        <w:tc>
          <w:tcPr>
            <w:tcW w:type="dxa" w:w="139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2"/>
        </w:trPr>
        <w:tc>
          <w:tcPr>
            <w:tcW w:type="dxa" w:w="28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7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1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9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80" w:lineRule="exact" w:before="240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*  Indicates amount less than $0.5 million or 0.005%.</w:t>
      </w:r>
    </w:p>
    <w:p>
      <w:pPr>
        <w:autoSpaceDN w:val="0"/>
        <w:autoSpaceDE w:val="0"/>
        <w:widowControl/>
        <w:spacing w:line="178" w:lineRule="exact" w:before="256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a. May differ from the calculated amounts or sum of individual figures shown due to rounding.</w:t>
      </w:r>
    </w:p>
    <w:p>
      <w:pPr>
        <w:autoSpaceDN w:val="0"/>
        <w:autoSpaceDE w:val="0"/>
        <w:widowControl/>
        <w:spacing w:line="202" w:lineRule="exact" w:before="2142" w:after="0"/>
        <w:ind w:left="0" w:right="0" w:firstLine="0"/>
        <w:jc w:val="center"/>
      </w:pPr>
      <w:r>
        <w:rPr>
          <w:rFonts w:ascii="Arial" w:hAnsi="Arial" w:eastAsia="Arial"/>
          <w:b/>
          <w:i/>
          <w:color w:val="000000"/>
          <w:sz w:val="18"/>
        </w:rPr>
        <w:t>The Notes to Financial Statements are an integral part of these Statements.</w:t>
      </w:r>
    </w:p>
    <w:p>
      <w:pPr>
        <w:autoSpaceDN w:val="0"/>
        <w:tabs>
          <w:tab w:pos="768" w:val="left"/>
        </w:tabs>
        <w:autoSpaceDE w:val="0"/>
        <w:widowControl/>
        <w:spacing w:line="224" w:lineRule="exact" w:before="5996" w:after="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74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Financial Statements: June 30, 2024</w:t>
      </w:r>
    </w:p>
    <w:p>
      <w:pPr>
        <w:sectPr>
          <w:pgSz w:w="12240" w:h="15840"/>
          <w:pgMar w:top="696" w:right="1440" w:bottom="2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74"/>
        <w:ind w:left="0" w:right="0"/>
      </w:pPr>
    </w:p>
    <w:p>
      <w:pPr>
        <w:autoSpaceDN w:val="0"/>
        <w:autoSpaceDE w:val="0"/>
        <w:widowControl/>
        <w:spacing w:line="298" w:lineRule="exact" w:before="16" w:after="0"/>
        <w:ind w:left="1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STATEMENT OF VOTING POWER AND SUBSCRIPTIONS AND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CONTRIBUTIONS </w:t>
      </w:r>
      <w:r>
        <w:br/>
      </w:r>
      <w:r>
        <w:rPr>
          <w:rFonts w:ascii="Arial" w:hAnsi="Arial" w:eastAsia="Arial"/>
          <w:b w:val="0"/>
          <w:i/>
          <w:color w:val="000000"/>
          <w:sz w:val="20"/>
        </w:rPr>
        <w:t>June 30, 2024</w:t>
      </w:r>
    </w:p>
    <w:p>
      <w:pPr>
        <w:autoSpaceDN w:val="0"/>
        <w:autoSpaceDE w:val="0"/>
        <w:widowControl/>
        <w:spacing w:line="180" w:lineRule="exact" w:before="278" w:after="18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Expressed in millions US Dollars except vote data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57"/>
        <w:gridCol w:w="3157"/>
        <w:gridCol w:w="3157"/>
      </w:tblGrid>
      <w:tr>
        <w:trPr>
          <w:trHeight w:hRule="exact" w:val="616"/>
        </w:trPr>
        <w:tc>
          <w:tcPr>
            <w:tcW w:type="dxa" w:w="3468"/>
            <w:tcBorders>
              <w:top w:sz="8.0" w:val="single" w:color="#000000"/>
              <w:end w:sz="30.40000000000009" w:val="single" w:color="#FFFFFF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84" w:after="0"/>
              <w:ind w:left="6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Member </w:t>
            </w:r>
            <w:r>
              <w:rPr>
                <w:w w:val="103.99999618530273"/>
                <w:rFonts w:ascii="Arial" w:hAnsi="Arial" w:eastAsia="Arial"/>
                <w:b w:val="0"/>
                <w:i/>
                <w:color w:val="000000"/>
                <w:sz w:val="10"/>
              </w:rPr>
              <w:t>a, c</w:t>
            </w:r>
          </w:p>
        </w:tc>
        <w:tc>
          <w:tcPr>
            <w:tcW w:type="dxa" w:w="1868"/>
            <w:tcBorders>
              <w:start w:sz="30.40000000000009" w:val="single" w:color="#FFFFFF"/>
              <w:top w:sz="8.0" w:val="single" w:color="#000000"/>
              <w:end w:sz="24.0" w:val="single" w:color="#FFFFFF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Number of votes</w:t>
            </w:r>
          </w:p>
        </w:tc>
        <w:tc>
          <w:tcPr>
            <w:tcW w:type="dxa" w:w="4014"/>
            <w:tcBorders>
              <w:start w:sz="24.0" w:val="single" w:color="#FFFFFF"/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3.99999999999977" w:type="dxa"/>
            </w:tblPr>
            <w:tblGrid>
              <w:gridCol w:w="2007"/>
              <w:gridCol w:w="2007"/>
            </w:tblGrid>
            <w:tr>
              <w:trPr>
                <w:trHeight w:hRule="exact" w:val="472"/>
              </w:trPr>
              <w:tc>
                <w:tcPr>
                  <w:tcW w:type="dxa" w:w="1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2" w:lineRule="exact" w:before="48" w:after="0"/>
                    <w:ind w:left="0" w:right="144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16"/>
                    </w:rPr>
                    <w:t xml:space="preserve">Percentage of total </w:t>
                  </w: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16"/>
                    </w:rPr>
                    <w:t>votes</w:t>
                  </w:r>
                </w:p>
              </w:tc>
              <w:tc>
                <w:tcPr>
                  <w:tcW w:type="dxa" w:w="2140"/>
                  <w:tcBorders/>
                  <w:shd w:fill="ffff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2" w:lineRule="exact" w:before="48" w:after="0"/>
                    <w:ind w:left="144" w:right="0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16"/>
                    </w:rPr>
                    <w:t xml:space="preserve">Subscriptions and </w:t>
                  </w:r>
                  <w:r>
                    <w:br/>
                  </w: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16"/>
                    </w:rPr>
                    <w:t xml:space="preserve">contributions committed </w:t>
                  </w:r>
                  <w:r>
                    <w:rPr>
                      <w:w w:val="103.99999618530273"/>
                      <w:rFonts w:ascii="Arial" w:hAnsi="Arial" w:eastAsia="Arial"/>
                      <w:b w:val="0"/>
                      <w:i/>
                      <w:color w:val="000000"/>
                      <w:sz w:val="10"/>
                    </w:rPr>
                    <w:t>b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180" w:lineRule="exact" w:before="96" w:after="28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Non-Recipients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94"/>
        <w:gridCol w:w="1894"/>
        <w:gridCol w:w="1894"/>
        <w:gridCol w:w="1894"/>
        <w:gridCol w:w="1894"/>
      </w:tblGrid>
      <w:tr>
        <w:trPr>
          <w:trHeight w:hRule="exact" w:val="224"/>
        </w:trPr>
        <w:tc>
          <w:tcPr>
            <w:tcW w:type="dxa" w:w="3170"/>
            <w:vMerge w:val="restart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62" w:right="230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Albania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Algeria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Argentina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Australia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Austria</w:t>
            </w:r>
          </w:p>
        </w:tc>
        <w:tc>
          <w:tcPr>
            <w:tcW w:type="dxa" w:w="274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0" w:right="6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61,859</w:t>
            </w:r>
          </w:p>
        </w:tc>
        <w:tc>
          <w:tcPr>
            <w:tcW w:type="dxa" w:w="20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0" w:right="5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0.19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%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38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0.38 </w:t>
            </w:r>
          </w:p>
        </w:tc>
      </w:tr>
      <w:tr>
        <w:trPr>
          <w:trHeight w:hRule="exact" w:val="240"/>
        </w:trPr>
        <w:tc>
          <w:tcPr>
            <w:tcW w:type="dxa" w:w="1894"/>
            <w:vMerge/>
            <w:tcBorders/>
          </w:tcPr>
          <w:p/>
        </w:tc>
        <w:tc>
          <w:tcPr>
            <w:tcW w:type="dxa" w:w="274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6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127,731</w:t>
            </w:r>
          </w:p>
        </w:tc>
        <w:tc>
          <w:tcPr>
            <w:tcW w:type="dxa" w:w="20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10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0.40</w:t>
            </w:r>
          </w:p>
        </w:tc>
        <w:tc>
          <w:tcPr>
            <w:tcW w:type="dxa" w:w="138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58.57 </w:t>
            </w:r>
          </w:p>
        </w:tc>
      </w:tr>
      <w:tr>
        <w:trPr>
          <w:trHeight w:hRule="exact" w:val="240"/>
        </w:trPr>
        <w:tc>
          <w:tcPr>
            <w:tcW w:type="dxa" w:w="1894"/>
            <w:vMerge/>
            <w:tcBorders/>
          </w:tcPr>
          <w:p/>
        </w:tc>
        <w:tc>
          <w:tcPr>
            <w:tcW w:type="dxa" w:w="274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6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428,710</w:t>
            </w:r>
          </w:p>
        </w:tc>
        <w:tc>
          <w:tcPr>
            <w:tcW w:type="dxa" w:w="20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10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1.35</w:t>
            </w:r>
          </w:p>
        </w:tc>
        <w:tc>
          <w:tcPr>
            <w:tcW w:type="dxa" w:w="138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164.21 </w:t>
            </w:r>
          </w:p>
        </w:tc>
      </w:tr>
      <w:tr>
        <w:trPr>
          <w:trHeight w:hRule="exact" w:val="240"/>
        </w:trPr>
        <w:tc>
          <w:tcPr>
            <w:tcW w:type="dxa" w:w="1894"/>
            <w:vMerge/>
            <w:tcBorders/>
          </w:tcPr>
          <w:p/>
        </w:tc>
        <w:tc>
          <w:tcPr>
            <w:tcW w:type="dxa" w:w="274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6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392,943</w:t>
            </w:r>
          </w:p>
        </w:tc>
        <w:tc>
          <w:tcPr>
            <w:tcW w:type="dxa" w:w="20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10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1.24</w:t>
            </w:r>
          </w:p>
        </w:tc>
        <w:tc>
          <w:tcPr>
            <w:tcW w:type="dxa" w:w="138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5,779.84 </w:t>
            </w:r>
          </w:p>
        </w:tc>
      </w:tr>
      <w:tr>
        <w:trPr>
          <w:trHeight w:hRule="exact" w:val="256"/>
        </w:trPr>
        <w:tc>
          <w:tcPr>
            <w:tcW w:type="dxa" w:w="1894"/>
            <w:vMerge/>
            <w:tcBorders/>
          </w:tcPr>
          <w:p/>
        </w:tc>
        <w:tc>
          <w:tcPr>
            <w:tcW w:type="dxa" w:w="274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6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313,952</w:t>
            </w:r>
          </w:p>
        </w:tc>
        <w:tc>
          <w:tcPr>
            <w:tcW w:type="dxa" w:w="20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10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0.99</w:t>
            </w:r>
          </w:p>
        </w:tc>
        <w:tc>
          <w:tcPr>
            <w:tcW w:type="dxa" w:w="138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4,608.15 </w:t>
            </w:r>
          </w:p>
        </w:tc>
      </w:tr>
      <w:tr>
        <w:trPr>
          <w:trHeight w:hRule="exact" w:val="224"/>
        </w:trPr>
        <w:tc>
          <w:tcPr>
            <w:tcW w:type="dxa" w:w="317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62" w:right="201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Bahamas, The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Barbados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Belgium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Belize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Botswana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0" w:right="6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59,906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0" w:right="10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0.19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8.54 </w:t>
            </w:r>
          </w:p>
        </w:tc>
      </w:tr>
      <w:tr>
        <w:trPr>
          <w:trHeight w:hRule="exact" w:val="240"/>
        </w:trPr>
        <w:tc>
          <w:tcPr>
            <w:tcW w:type="dxa" w:w="1894"/>
            <w:vMerge/>
            <w:tcBorders/>
          </w:tcPr>
          <w:p/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6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62,860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10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0.20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2.36 </w:t>
            </w:r>
          </w:p>
        </w:tc>
      </w:tr>
      <w:tr>
        <w:trPr>
          <w:trHeight w:hRule="exact" w:val="240"/>
        </w:trPr>
        <w:tc>
          <w:tcPr>
            <w:tcW w:type="dxa" w:w="1894"/>
            <w:vMerge/>
            <w:tcBorders/>
          </w:tcPr>
          <w:p/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6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363,267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10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1.14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5,894.27 </w:t>
            </w:r>
          </w:p>
        </w:tc>
      </w:tr>
      <w:tr>
        <w:trPr>
          <w:trHeight w:hRule="exact" w:val="240"/>
        </w:trPr>
        <w:tc>
          <w:tcPr>
            <w:tcW w:type="dxa" w:w="1894"/>
            <w:vMerge/>
            <w:tcBorders/>
          </w:tcPr>
          <w:p/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6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19,834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10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0.06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0.27 </w:t>
            </w:r>
          </w:p>
        </w:tc>
      </w:tr>
      <w:tr>
        <w:trPr>
          <w:trHeight w:hRule="exact" w:val="258"/>
        </w:trPr>
        <w:tc>
          <w:tcPr>
            <w:tcW w:type="dxa" w:w="1894"/>
            <w:vMerge/>
            <w:tcBorders/>
          </w:tcPr>
          <w:p/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6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53,986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10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0.17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3.74 </w:t>
            </w:r>
          </w:p>
        </w:tc>
      </w:tr>
      <w:tr>
        <w:trPr>
          <w:trHeight w:hRule="exact" w:val="222"/>
        </w:trPr>
        <w:tc>
          <w:tcPr>
            <w:tcW w:type="dxa" w:w="3170"/>
            <w:vMerge w:val="restart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62" w:right="244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Brazil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Bulgaria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Canada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Chile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China</w:t>
            </w:r>
          </w:p>
        </w:tc>
        <w:tc>
          <w:tcPr>
            <w:tcW w:type="dxa" w:w="274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6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477,996</w:t>
            </w:r>
          </w:p>
        </w:tc>
        <w:tc>
          <w:tcPr>
            <w:tcW w:type="dxa" w:w="20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10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1.50</w:t>
            </w:r>
          </w:p>
        </w:tc>
        <w:tc>
          <w:tcPr>
            <w:tcW w:type="dxa" w:w="138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834.59 </w:t>
            </w:r>
          </w:p>
        </w:tc>
      </w:tr>
      <w:tr>
        <w:trPr>
          <w:trHeight w:hRule="exact" w:val="240"/>
        </w:trPr>
        <w:tc>
          <w:tcPr>
            <w:tcW w:type="dxa" w:w="1894"/>
            <w:vMerge/>
            <w:tcBorders/>
          </w:tcPr>
          <w:p/>
        </w:tc>
        <w:tc>
          <w:tcPr>
            <w:tcW w:type="dxa" w:w="274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6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113,171</w:t>
            </w:r>
          </w:p>
        </w:tc>
        <w:tc>
          <w:tcPr>
            <w:tcW w:type="dxa" w:w="20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10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0.36</w:t>
            </w:r>
          </w:p>
        </w:tc>
        <w:tc>
          <w:tcPr>
            <w:tcW w:type="dxa" w:w="138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8.02 </w:t>
            </w:r>
          </w:p>
        </w:tc>
      </w:tr>
      <w:tr>
        <w:trPr>
          <w:trHeight w:hRule="exact" w:val="240"/>
        </w:trPr>
        <w:tc>
          <w:tcPr>
            <w:tcW w:type="dxa" w:w="1894"/>
            <w:vMerge/>
            <w:tcBorders/>
          </w:tcPr>
          <w:p/>
        </w:tc>
        <w:tc>
          <w:tcPr>
            <w:tcW w:type="dxa" w:w="274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6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860,928</w:t>
            </w:r>
          </w:p>
        </w:tc>
        <w:tc>
          <w:tcPr>
            <w:tcW w:type="dxa" w:w="20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10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2.71</w:t>
            </w:r>
          </w:p>
        </w:tc>
        <w:tc>
          <w:tcPr>
            <w:tcW w:type="dxa" w:w="138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14,435.29 </w:t>
            </w:r>
          </w:p>
        </w:tc>
      </w:tr>
      <w:tr>
        <w:trPr>
          <w:trHeight w:hRule="exact" w:val="240"/>
        </w:trPr>
        <w:tc>
          <w:tcPr>
            <w:tcW w:type="dxa" w:w="1894"/>
            <w:vMerge/>
            <w:tcBorders/>
          </w:tcPr>
          <w:p/>
        </w:tc>
        <w:tc>
          <w:tcPr>
            <w:tcW w:type="dxa" w:w="274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6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58,505</w:t>
            </w:r>
          </w:p>
        </w:tc>
        <w:tc>
          <w:tcPr>
            <w:tcW w:type="dxa" w:w="20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10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0.18</w:t>
            </w:r>
          </w:p>
        </w:tc>
        <w:tc>
          <w:tcPr>
            <w:tcW w:type="dxa" w:w="138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39.11 </w:t>
            </w:r>
          </w:p>
        </w:tc>
      </w:tr>
      <w:tr>
        <w:trPr>
          <w:trHeight w:hRule="exact" w:val="258"/>
        </w:trPr>
        <w:tc>
          <w:tcPr>
            <w:tcW w:type="dxa" w:w="1894"/>
            <w:vMerge/>
            <w:tcBorders/>
          </w:tcPr>
          <w:p/>
        </w:tc>
        <w:tc>
          <w:tcPr>
            <w:tcW w:type="dxa" w:w="274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6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806,148</w:t>
            </w:r>
          </w:p>
        </w:tc>
        <w:tc>
          <w:tcPr>
            <w:tcW w:type="dxa" w:w="20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10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2.54</w:t>
            </w:r>
          </w:p>
        </w:tc>
        <w:tc>
          <w:tcPr>
            <w:tcW w:type="dxa" w:w="138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3,440.91 </w:t>
            </w:r>
          </w:p>
        </w:tc>
      </w:tr>
      <w:tr>
        <w:trPr>
          <w:trHeight w:hRule="exact" w:val="222"/>
        </w:trPr>
        <w:tc>
          <w:tcPr>
            <w:tcW w:type="dxa" w:w="317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62" w:right="230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Colombia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Costa Rica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Croatia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Cyprus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Czechia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6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133,290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10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0.42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25.17 </w:t>
            </w:r>
          </w:p>
        </w:tc>
      </w:tr>
      <w:tr>
        <w:trPr>
          <w:trHeight w:hRule="exact" w:val="240"/>
        </w:trPr>
        <w:tc>
          <w:tcPr>
            <w:tcW w:type="dxa" w:w="1894"/>
            <w:vMerge/>
            <w:tcBorders/>
          </w:tcPr>
          <w:p/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6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31,091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10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0.10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0.28 </w:t>
            </w:r>
          </w:p>
        </w:tc>
      </w:tr>
      <w:tr>
        <w:trPr>
          <w:trHeight w:hRule="exact" w:val="240"/>
        </w:trPr>
        <w:tc>
          <w:tcPr>
            <w:tcW w:type="dxa" w:w="1894"/>
            <w:vMerge/>
            <w:tcBorders/>
          </w:tcPr>
          <w:p/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6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95,910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10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0.30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8.93 </w:t>
            </w:r>
          </w:p>
        </w:tc>
      </w:tr>
      <w:tr>
        <w:trPr>
          <w:trHeight w:hRule="exact" w:val="240"/>
        </w:trPr>
        <w:tc>
          <w:tcPr>
            <w:tcW w:type="dxa" w:w="1894"/>
            <w:vMerge/>
            <w:tcBorders/>
          </w:tcPr>
          <w:p/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6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79,710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10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0.25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37.40 </w:t>
            </w:r>
          </w:p>
        </w:tc>
      </w:tr>
      <w:tr>
        <w:trPr>
          <w:trHeight w:hRule="exact" w:val="258"/>
        </w:trPr>
        <w:tc>
          <w:tcPr>
            <w:tcW w:type="dxa" w:w="1894"/>
            <w:vMerge/>
            <w:tcBorders/>
          </w:tcPr>
          <w:p/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6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139,962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10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0.44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172.17 </w:t>
            </w:r>
          </w:p>
        </w:tc>
      </w:tr>
      <w:tr>
        <w:trPr>
          <w:trHeight w:hRule="exact" w:val="222"/>
        </w:trPr>
        <w:tc>
          <w:tcPr>
            <w:tcW w:type="dxa" w:w="3170"/>
            <w:vMerge w:val="restart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62" w:right="129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Denmark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Dominican Republic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Ecuador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Egypt, Arab Republic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El Salvador</w:t>
            </w:r>
          </w:p>
        </w:tc>
        <w:tc>
          <w:tcPr>
            <w:tcW w:type="dxa" w:w="274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6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305,445</w:t>
            </w:r>
          </w:p>
        </w:tc>
        <w:tc>
          <w:tcPr>
            <w:tcW w:type="dxa" w:w="20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10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0.96</w:t>
            </w:r>
          </w:p>
        </w:tc>
        <w:tc>
          <w:tcPr>
            <w:tcW w:type="dxa" w:w="138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4,653.79 </w:t>
            </w:r>
          </w:p>
        </w:tc>
      </w:tr>
      <w:tr>
        <w:trPr>
          <w:trHeight w:hRule="exact" w:val="240"/>
        </w:trPr>
        <w:tc>
          <w:tcPr>
            <w:tcW w:type="dxa" w:w="1894"/>
            <w:vMerge/>
            <w:tcBorders/>
          </w:tcPr>
          <w:p/>
        </w:tc>
        <w:tc>
          <w:tcPr>
            <w:tcW w:type="dxa" w:w="274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6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27,780</w:t>
            </w:r>
          </w:p>
        </w:tc>
        <w:tc>
          <w:tcPr>
            <w:tcW w:type="dxa" w:w="20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10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0.09</w:t>
            </w:r>
          </w:p>
        </w:tc>
        <w:tc>
          <w:tcPr>
            <w:tcW w:type="dxa" w:w="138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0.58 </w:t>
            </w:r>
          </w:p>
        </w:tc>
      </w:tr>
      <w:tr>
        <w:trPr>
          <w:trHeight w:hRule="exact" w:val="240"/>
        </w:trPr>
        <w:tc>
          <w:tcPr>
            <w:tcW w:type="dxa" w:w="1894"/>
            <w:vMerge/>
            <w:tcBorders/>
          </w:tcPr>
          <w:p/>
        </w:tc>
        <w:tc>
          <w:tcPr>
            <w:tcW w:type="dxa" w:w="274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6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50,151</w:t>
            </w:r>
          </w:p>
        </w:tc>
        <w:tc>
          <w:tcPr>
            <w:tcW w:type="dxa" w:w="20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10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0.16</w:t>
            </w:r>
          </w:p>
        </w:tc>
        <w:tc>
          <w:tcPr>
            <w:tcW w:type="dxa" w:w="138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0.94 </w:t>
            </w:r>
          </w:p>
        </w:tc>
      </w:tr>
      <w:tr>
        <w:trPr>
          <w:trHeight w:hRule="exact" w:val="240"/>
        </w:trPr>
        <w:tc>
          <w:tcPr>
            <w:tcW w:type="dxa" w:w="1894"/>
            <w:vMerge/>
            <w:tcBorders/>
          </w:tcPr>
          <w:p/>
        </w:tc>
        <w:tc>
          <w:tcPr>
            <w:tcW w:type="dxa" w:w="274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6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134,452</w:t>
            </w:r>
          </w:p>
        </w:tc>
        <w:tc>
          <w:tcPr>
            <w:tcW w:type="dxa" w:w="20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10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0.42</w:t>
            </w:r>
          </w:p>
        </w:tc>
        <w:tc>
          <w:tcPr>
            <w:tcW w:type="dxa" w:w="138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18.48 </w:t>
            </w:r>
          </w:p>
        </w:tc>
      </w:tr>
      <w:tr>
        <w:trPr>
          <w:trHeight w:hRule="exact" w:val="258"/>
        </w:trPr>
        <w:tc>
          <w:tcPr>
            <w:tcW w:type="dxa" w:w="1894"/>
            <w:vMerge/>
            <w:tcBorders/>
          </w:tcPr>
          <w:p/>
        </w:tc>
        <w:tc>
          <w:tcPr>
            <w:tcW w:type="dxa" w:w="274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6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46,516</w:t>
            </w:r>
          </w:p>
        </w:tc>
        <w:tc>
          <w:tcPr>
            <w:tcW w:type="dxa" w:w="20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10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0.15</w:t>
            </w:r>
          </w:p>
        </w:tc>
        <w:tc>
          <w:tcPr>
            <w:tcW w:type="dxa" w:w="138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0.49 </w:t>
            </w:r>
          </w:p>
        </w:tc>
      </w:tr>
      <w:tr>
        <w:trPr>
          <w:trHeight w:hRule="exact" w:val="222"/>
        </w:trPr>
        <w:tc>
          <w:tcPr>
            <w:tcW w:type="dxa" w:w="317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62" w:right="172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Equatorial Guinea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Estonia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Eswatini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Finland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France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6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6,167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10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0.02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0.41 </w:t>
            </w:r>
          </w:p>
        </w:tc>
      </w:tr>
      <w:tr>
        <w:trPr>
          <w:trHeight w:hRule="exact" w:val="240"/>
        </w:trPr>
        <w:tc>
          <w:tcPr>
            <w:tcW w:type="dxa" w:w="1894"/>
            <w:vMerge/>
            <w:tcBorders/>
          </w:tcPr>
          <w:p/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6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58,648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10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0.18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27.69 </w:t>
            </w:r>
          </w:p>
        </w:tc>
      </w:tr>
      <w:tr>
        <w:trPr>
          <w:trHeight w:hRule="exact" w:val="240"/>
        </w:trPr>
        <w:tc>
          <w:tcPr>
            <w:tcW w:type="dxa" w:w="1894"/>
            <w:vMerge/>
            <w:tcBorders/>
          </w:tcPr>
          <w:p/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6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22,322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10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0.07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0.42 </w:t>
            </w:r>
          </w:p>
        </w:tc>
      </w:tr>
      <w:tr>
        <w:trPr>
          <w:trHeight w:hRule="exact" w:val="240"/>
        </w:trPr>
        <w:tc>
          <w:tcPr>
            <w:tcW w:type="dxa" w:w="1894"/>
            <w:vMerge/>
            <w:tcBorders/>
          </w:tcPr>
          <w:p/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6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197,893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10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0.62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2,409.94 </w:t>
            </w:r>
          </w:p>
        </w:tc>
      </w:tr>
      <w:tr>
        <w:trPr>
          <w:trHeight w:hRule="exact" w:val="258"/>
        </w:trPr>
        <w:tc>
          <w:tcPr>
            <w:tcW w:type="dxa" w:w="1894"/>
            <w:vMerge/>
            <w:tcBorders/>
          </w:tcPr>
          <w:p/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6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1,238,648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10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3.90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22,014.68 </w:t>
            </w:r>
          </w:p>
        </w:tc>
      </w:tr>
      <w:tr>
        <w:trPr>
          <w:trHeight w:hRule="exact" w:val="222"/>
        </w:trPr>
        <w:tc>
          <w:tcPr>
            <w:tcW w:type="dxa" w:w="3170"/>
            <w:vMerge w:val="restart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62" w:right="2304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Gabon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Germany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Greece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Guatemala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Hungary</w:t>
            </w:r>
          </w:p>
        </w:tc>
        <w:tc>
          <w:tcPr>
            <w:tcW w:type="dxa" w:w="274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6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2,093</w:t>
            </w:r>
          </w:p>
        </w:tc>
        <w:tc>
          <w:tcPr>
            <w:tcW w:type="dxa" w:w="20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10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0.01</w:t>
            </w:r>
          </w:p>
        </w:tc>
        <w:tc>
          <w:tcPr>
            <w:tcW w:type="dxa" w:w="138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0.63 </w:t>
            </w:r>
          </w:p>
        </w:tc>
      </w:tr>
      <w:tr>
        <w:trPr>
          <w:trHeight w:hRule="exact" w:val="240"/>
        </w:trPr>
        <w:tc>
          <w:tcPr>
            <w:tcW w:type="dxa" w:w="1894"/>
            <w:vMerge/>
            <w:tcBorders/>
          </w:tcPr>
          <w:p/>
        </w:tc>
        <w:tc>
          <w:tcPr>
            <w:tcW w:type="dxa" w:w="274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6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1,700,063</w:t>
            </w:r>
          </w:p>
        </w:tc>
        <w:tc>
          <w:tcPr>
            <w:tcW w:type="dxa" w:w="20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10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5.35</w:t>
            </w:r>
          </w:p>
        </w:tc>
        <w:tc>
          <w:tcPr>
            <w:tcW w:type="dxa" w:w="138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30,577.60 </w:t>
            </w:r>
          </w:p>
        </w:tc>
      </w:tr>
      <w:tr>
        <w:trPr>
          <w:trHeight w:hRule="exact" w:val="240"/>
        </w:trPr>
        <w:tc>
          <w:tcPr>
            <w:tcW w:type="dxa" w:w="1894"/>
            <w:vMerge/>
            <w:tcBorders/>
          </w:tcPr>
          <w:p/>
        </w:tc>
        <w:tc>
          <w:tcPr>
            <w:tcW w:type="dxa" w:w="274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6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60,638</w:t>
            </w:r>
          </w:p>
        </w:tc>
        <w:tc>
          <w:tcPr>
            <w:tcW w:type="dxa" w:w="20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10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0.19</w:t>
            </w:r>
          </w:p>
        </w:tc>
        <w:tc>
          <w:tcPr>
            <w:tcW w:type="dxa" w:w="138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220.19 </w:t>
            </w:r>
          </w:p>
        </w:tc>
      </w:tr>
      <w:tr>
        <w:trPr>
          <w:trHeight w:hRule="exact" w:val="240"/>
        </w:trPr>
        <w:tc>
          <w:tcPr>
            <w:tcW w:type="dxa" w:w="1894"/>
            <w:vMerge/>
            <w:tcBorders/>
          </w:tcPr>
          <w:p/>
        </w:tc>
        <w:tc>
          <w:tcPr>
            <w:tcW w:type="dxa" w:w="274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6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41,077</w:t>
            </w:r>
          </w:p>
        </w:tc>
        <w:tc>
          <w:tcPr>
            <w:tcW w:type="dxa" w:w="20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10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0.13</w:t>
            </w:r>
          </w:p>
        </w:tc>
        <w:tc>
          <w:tcPr>
            <w:tcW w:type="dxa" w:w="138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0.56 </w:t>
            </w:r>
          </w:p>
        </w:tc>
      </w:tr>
      <w:tr>
        <w:trPr>
          <w:trHeight w:hRule="exact" w:val="258"/>
        </w:trPr>
        <w:tc>
          <w:tcPr>
            <w:tcW w:type="dxa" w:w="1894"/>
            <w:vMerge/>
            <w:tcBorders/>
          </w:tcPr>
          <w:p/>
        </w:tc>
        <w:tc>
          <w:tcPr>
            <w:tcW w:type="dxa" w:w="274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6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216,029</w:t>
            </w:r>
          </w:p>
        </w:tc>
        <w:tc>
          <w:tcPr>
            <w:tcW w:type="dxa" w:w="20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10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0.68</w:t>
            </w:r>
          </w:p>
        </w:tc>
        <w:tc>
          <w:tcPr>
            <w:tcW w:type="dxa" w:w="138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182.52 </w:t>
            </w:r>
          </w:p>
        </w:tc>
      </w:tr>
      <w:tr>
        <w:trPr>
          <w:trHeight w:hRule="exact" w:val="222"/>
        </w:trPr>
        <w:tc>
          <w:tcPr>
            <w:tcW w:type="dxa" w:w="317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62" w:right="1296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Iceland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Indonesia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Iran, Islamic Republic Of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Iraq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Ireland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6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70,599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10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0.22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119.97 </w:t>
            </w:r>
          </w:p>
        </w:tc>
      </w:tr>
      <w:tr>
        <w:trPr>
          <w:trHeight w:hRule="exact" w:val="240"/>
        </w:trPr>
        <w:tc>
          <w:tcPr>
            <w:tcW w:type="dxa" w:w="1894"/>
            <w:vMerge/>
            <w:tcBorders>
              <w:bottom w:sz="8.0" w:val="single" w:color="#000000"/>
            </w:tcBorders>
          </w:tcPr>
          <w:p/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6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270,358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10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0.85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167.90 </w:t>
            </w:r>
          </w:p>
        </w:tc>
      </w:tr>
      <w:tr>
        <w:trPr>
          <w:trHeight w:hRule="exact" w:val="240"/>
        </w:trPr>
        <w:tc>
          <w:tcPr>
            <w:tcW w:type="dxa" w:w="1894"/>
            <w:vMerge/>
            <w:tcBorders>
              <w:bottom w:sz="8.0" w:val="single" w:color="#000000"/>
            </w:tcBorders>
          </w:tcPr>
          <w:p/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6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115,867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10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0.36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24.18 </w:t>
            </w:r>
          </w:p>
        </w:tc>
      </w:tr>
      <w:tr>
        <w:trPr>
          <w:trHeight w:hRule="exact" w:val="240"/>
        </w:trPr>
        <w:tc>
          <w:tcPr>
            <w:tcW w:type="dxa" w:w="1894"/>
            <w:vMerge/>
            <w:tcBorders>
              <w:bottom w:sz="8.0" w:val="single" w:color="#000000"/>
            </w:tcBorders>
          </w:tcPr>
          <w:p/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6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73,274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10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0.23</w:t>
            </w:r>
          </w:p>
        </w:tc>
        <w:tc>
          <w:tcPr>
            <w:tcW w:type="dxa" w:w="1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2.12 </w:t>
            </w:r>
          </w:p>
        </w:tc>
      </w:tr>
      <w:tr>
        <w:trPr>
          <w:trHeight w:hRule="exact" w:val="256"/>
        </w:trPr>
        <w:tc>
          <w:tcPr>
            <w:tcW w:type="dxa" w:w="1894"/>
            <w:vMerge/>
            <w:tcBorders>
              <w:bottom w:sz="8.0" w:val="single" w:color="#000000"/>
            </w:tcBorders>
          </w:tcPr>
          <w:p/>
        </w:tc>
        <w:tc>
          <w:tcPr>
            <w:tcW w:type="dxa" w:w="27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6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121,963</w:t>
            </w:r>
          </w:p>
        </w:tc>
        <w:tc>
          <w:tcPr>
            <w:tcW w:type="dxa" w:w="20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10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0.38</w:t>
            </w:r>
          </w:p>
        </w:tc>
        <w:tc>
          <w:tcPr>
            <w:tcW w:type="dxa" w:w="138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1,042.29 </w:t>
            </w:r>
          </w:p>
        </w:tc>
      </w:tr>
      <w:tr>
        <w:trPr>
          <w:trHeight w:hRule="exact" w:val="2104"/>
        </w:trPr>
        <w:tc>
          <w:tcPr>
            <w:tcW w:type="dxa" w:w="317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840"/>
            <w:gridSpan w:val="3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890" w:after="0"/>
              <w:ind w:left="0" w:right="39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IDA Financial Statements: June 30, 2024</w:t>
            </w:r>
          </w:p>
        </w:tc>
        <w:tc>
          <w:tcPr>
            <w:tcW w:type="dxa" w:w="3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89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75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696" w:right="1338" w:bottom="2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74"/>
        <w:ind w:left="0" w:right="0"/>
      </w:pPr>
    </w:p>
    <w:p>
      <w:pPr>
        <w:autoSpaceDN w:val="0"/>
        <w:autoSpaceDE w:val="0"/>
        <w:widowControl/>
        <w:spacing w:line="298" w:lineRule="exact" w:before="16" w:after="0"/>
        <w:ind w:left="1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STATEMENT OF VOTING POWER AND SUBSCRIPTIONS AND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CONTRIBUTIONS </w:t>
      </w:r>
      <w:r>
        <w:br/>
      </w:r>
      <w:r>
        <w:rPr>
          <w:rFonts w:ascii="Arial" w:hAnsi="Arial" w:eastAsia="Arial"/>
          <w:b w:val="0"/>
          <w:i/>
          <w:color w:val="000000"/>
          <w:sz w:val="20"/>
        </w:rPr>
        <w:t>June 30, 2024</w:t>
      </w:r>
    </w:p>
    <w:p>
      <w:pPr>
        <w:autoSpaceDN w:val="0"/>
        <w:autoSpaceDE w:val="0"/>
        <w:widowControl/>
        <w:spacing w:line="180" w:lineRule="exact" w:before="218" w:after="18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Expressed in millions US Dollars except vote data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79"/>
        <w:gridCol w:w="1579"/>
        <w:gridCol w:w="1579"/>
        <w:gridCol w:w="1579"/>
        <w:gridCol w:w="1579"/>
        <w:gridCol w:w="1579"/>
      </w:tblGrid>
      <w:tr>
        <w:trPr>
          <w:trHeight w:hRule="exact" w:val="254"/>
        </w:trPr>
        <w:tc>
          <w:tcPr>
            <w:tcW w:type="dxa" w:w="1430"/>
            <w:gridSpan w:val="2"/>
            <w:vMerge w:val="restart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48" w:after="0"/>
              <w:ind w:left="6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Member </w:t>
            </w:r>
            <w:r>
              <w:rPr>
                <w:w w:val="103.99999618530273"/>
                <w:rFonts w:ascii="Arial" w:hAnsi="Arial" w:eastAsia="Arial"/>
                <w:b w:val="0"/>
                <w:i/>
                <w:color w:val="000000"/>
                <w:sz w:val="10"/>
              </w:rPr>
              <w:t>a, c</w:t>
            </w:r>
          </w:p>
        </w:tc>
        <w:tc>
          <w:tcPr>
            <w:tcW w:type="dxa" w:w="3740"/>
            <w:vMerge w:val="restart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8" w:after="0"/>
              <w:ind w:left="0" w:right="306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Number of votes</w:t>
            </w:r>
          </w:p>
        </w:tc>
        <w:tc>
          <w:tcPr>
            <w:tcW w:type="dxa" w:w="1900"/>
            <w:tcBorders>
              <w:top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4" w:after="0"/>
              <w:ind w:left="16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Percentage of total </w:t>
            </w:r>
          </w:p>
        </w:tc>
        <w:tc>
          <w:tcPr>
            <w:tcW w:type="dxa" w:w="220"/>
            <w:vMerge w:val="restart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00"/>
            <w:tcBorders>
              <w:top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4" w:after="0"/>
              <w:ind w:left="26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Subscriptions and </w:t>
            </w:r>
          </w:p>
        </w:tc>
      </w:tr>
      <w:tr>
        <w:trPr>
          <w:trHeight w:hRule="exact" w:val="286"/>
        </w:trPr>
        <w:tc>
          <w:tcPr>
            <w:tcW w:type="dxa" w:w="3158"/>
            <w:gridSpan w:val="2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57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900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876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votes</w:t>
            </w:r>
          </w:p>
        </w:tc>
        <w:tc>
          <w:tcPr>
            <w:tcW w:type="dxa" w:w="157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2000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contributions committed </w:t>
            </w:r>
            <w:r>
              <w:rPr>
                <w:w w:val="103.99999618530273"/>
                <w:rFonts w:ascii="Arial" w:hAnsi="Arial" w:eastAsia="Arial"/>
                <w:b w:val="0"/>
                <w:i/>
                <w:color w:val="000000"/>
                <w:sz w:val="10"/>
              </w:rPr>
              <w:t>b</w:t>
            </w:r>
          </w:p>
        </w:tc>
      </w:tr>
      <w:tr>
        <w:trPr>
          <w:trHeight w:hRule="exact" w:val="254"/>
        </w:trPr>
        <w:tc>
          <w:tcPr>
            <w:tcW w:type="dxa" w:w="1430"/>
            <w:gridSpan w:val="2"/>
            <w:tcBorders>
              <w:top w:sz="8.0" w:val="single" w:color="#000000"/>
            </w:tcBorders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Israel</w:t>
            </w:r>
          </w:p>
        </w:tc>
        <w:tc>
          <w:tcPr>
            <w:tcW w:type="dxa" w:w="3740"/>
            <w:tcBorders>
              <w:top w:sz="8.0" w:val="single" w:color="#000000"/>
            </w:tcBorders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0" w:right="1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97,015</w:t>
            </w:r>
          </w:p>
        </w:tc>
        <w:tc>
          <w:tcPr>
            <w:tcW w:type="dxa" w:w="1900"/>
            <w:tcBorders>
              <w:top w:sz="8.0" w:val="single" w:color="#000000"/>
            </w:tcBorders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0" w:right="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0.31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%</w:t>
            </w:r>
          </w:p>
        </w:tc>
        <w:tc>
          <w:tcPr>
            <w:tcW w:type="dxa" w:w="220"/>
            <w:vMerge w:val="restart"/>
            <w:tcBorders>
              <w:top w:sz="8.0" w:val="single" w:color="#000000"/>
            </w:tcBorders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2000"/>
            <w:tcBorders>
              <w:top w:sz="8.0" w:val="single" w:color="#000000"/>
            </w:tcBorders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180.23 </w:t>
            </w:r>
          </w:p>
        </w:tc>
      </w:tr>
      <w:tr>
        <w:trPr>
          <w:trHeight w:hRule="exact" w:val="260"/>
        </w:trPr>
        <w:tc>
          <w:tcPr>
            <w:tcW w:type="dxa" w:w="143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Italy</w:t>
            </w:r>
          </w:p>
        </w:tc>
        <w:tc>
          <w:tcPr>
            <w:tcW w:type="dxa" w:w="374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1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720,919</w:t>
            </w:r>
          </w:p>
        </w:tc>
        <w:tc>
          <w:tcPr>
            <w:tcW w:type="dxa" w:w="190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2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2.27</w:t>
            </w:r>
          </w:p>
        </w:tc>
        <w:tc>
          <w:tcPr>
            <w:tcW w:type="dxa" w:w="1579"/>
            <w:vMerge/>
            <w:tcBorders>
              <w:top w:sz="8.0" w:val="single" w:color="#000000"/>
            </w:tcBorders>
          </w:tcPr>
          <w:p/>
        </w:tc>
        <w:tc>
          <w:tcPr>
            <w:tcW w:type="dxa" w:w="200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11,797.37 </w:t>
            </w:r>
          </w:p>
        </w:tc>
      </w:tr>
      <w:tr>
        <w:trPr>
          <w:trHeight w:hRule="exact" w:val="260"/>
        </w:trPr>
        <w:tc>
          <w:tcPr>
            <w:tcW w:type="dxa" w:w="143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Japan</w:t>
            </w:r>
          </w:p>
        </w:tc>
        <w:tc>
          <w:tcPr>
            <w:tcW w:type="dxa" w:w="374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1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2,676,834</w:t>
            </w:r>
          </w:p>
        </w:tc>
        <w:tc>
          <w:tcPr>
            <w:tcW w:type="dxa" w:w="190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2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8.42</w:t>
            </w:r>
          </w:p>
        </w:tc>
        <w:tc>
          <w:tcPr>
            <w:tcW w:type="dxa" w:w="1579"/>
            <w:vMerge/>
            <w:tcBorders>
              <w:top w:sz="8.0" w:val="single" w:color="#000000"/>
            </w:tcBorders>
          </w:tcPr>
          <w:p/>
        </w:tc>
        <w:tc>
          <w:tcPr>
            <w:tcW w:type="dxa" w:w="200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51,626.56 </w:t>
            </w:r>
          </w:p>
        </w:tc>
      </w:tr>
      <w:tr>
        <w:trPr>
          <w:trHeight w:hRule="exact" w:val="240"/>
        </w:trPr>
        <w:tc>
          <w:tcPr>
            <w:tcW w:type="dxa" w:w="143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Jordan</w:t>
            </w:r>
          </w:p>
        </w:tc>
        <w:tc>
          <w:tcPr>
            <w:tcW w:type="dxa" w:w="374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1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24,865</w:t>
            </w:r>
          </w:p>
        </w:tc>
        <w:tc>
          <w:tcPr>
            <w:tcW w:type="dxa" w:w="190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2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0.08</w:t>
            </w:r>
          </w:p>
        </w:tc>
        <w:tc>
          <w:tcPr>
            <w:tcW w:type="dxa" w:w="1579"/>
            <w:vMerge/>
            <w:tcBorders>
              <w:top w:sz="8.0" w:val="single" w:color="#000000"/>
            </w:tcBorders>
          </w:tcPr>
          <w:p/>
        </w:tc>
        <w:tc>
          <w:tcPr>
            <w:tcW w:type="dxa" w:w="200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0.41 </w:t>
            </w:r>
          </w:p>
        </w:tc>
      </w:tr>
      <w:tr>
        <w:trPr>
          <w:trHeight w:hRule="exact" w:val="262"/>
        </w:trPr>
        <w:tc>
          <w:tcPr>
            <w:tcW w:type="dxa" w:w="143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Kazakhstan</w:t>
            </w:r>
          </w:p>
        </w:tc>
        <w:tc>
          <w:tcPr>
            <w:tcW w:type="dxa" w:w="374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1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23,297</w:t>
            </w:r>
          </w:p>
        </w:tc>
        <w:tc>
          <w:tcPr>
            <w:tcW w:type="dxa" w:w="190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2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0.07</w:t>
            </w:r>
          </w:p>
        </w:tc>
        <w:tc>
          <w:tcPr>
            <w:tcW w:type="dxa" w:w="1579"/>
            <w:vMerge/>
            <w:tcBorders>
              <w:top w:sz="8.0" w:val="single" w:color="#000000"/>
            </w:tcBorders>
          </w:tcPr>
          <w:p/>
        </w:tc>
        <w:tc>
          <w:tcPr>
            <w:tcW w:type="dxa" w:w="200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8.50 </w:t>
            </w:r>
          </w:p>
        </w:tc>
      </w:tr>
      <w:tr>
        <w:trPr>
          <w:trHeight w:hRule="exact" w:val="258"/>
        </w:trPr>
        <w:tc>
          <w:tcPr>
            <w:tcW w:type="dxa" w:w="143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Korea, Republic Of</w:t>
            </w:r>
          </w:p>
        </w:tc>
        <w:tc>
          <w:tcPr>
            <w:tcW w:type="dxa" w:w="3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1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348,577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2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1.10</w:t>
            </w:r>
          </w:p>
        </w:tc>
        <w:tc>
          <w:tcPr>
            <w:tcW w:type="dxa" w:w="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3,095.96 </w:t>
            </w:r>
          </w:p>
        </w:tc>
      </w:tr>
      <w:tr>
        <w:trPr>
          <w:trHeight w:hRule="exact" w:val="260"/>
        </w:trPr>
        <w:tc>
          <w:tcPr>
            <w:tcW w:type="dxa" w:w="143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Kuwait</w:t>
            </w:r>
          </w:p>
        </w:tc>
        <w:tc>
          <w:tcPr>
            <w:tcW w:type="dxa" w:w="3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1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129,483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2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0.41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1,185.74 </w:t>
            </w:r>
          </w:p>
        </w:tc>
      </w:tr>
      <w:tr>
        <w:trPr>
          <w:trHeight w:hRule="exact" w:val="240"/>
        </w:trPr>
        <w:tc>
          <w:tcPr>
            <w:tcW w:type="dxa" w:w="143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Latvia</w:t>
            </w:r>
          </w:p>
        </w:tc>
        <w:tc>
          <w:tcPr>
            <w:tcW w:type="dxa" w:w="3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1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65,214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2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0.21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34.52 </w:t>
            </w:r>
          </w:p>
        </w:tc>
      </w:tr>
      <w:tr>
        <w:trPr>
          <w:trHeight w:hRule="exact" w:val="260"/>
        </w:trPr>
        <w:tc>
          <w:tcPr>
            <w:tcW w:type="dxa" w:w="143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Lebanon</w:t>
            </w:r>
          </w:p>
        </w:tc>
        <w:tc>
          <w:tcPr>
            <w:tcW w:type="dxa" w:w="3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1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8,562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2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0.03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0.56 </w:t>
            </w:r>
          </w:p>
        </w:tc>
      </w:tr>
      <w:tr>
        <w:trPr>
          <w:trHeight w:hRule="exact" w:val="258"/>
        </w:trPr>
        <w:tc>
          <w:tcPr>
            <w:tcW w:type="dxa" w:w="143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Libya</w:t>
            </w:r>
          </w:p>
        </w:tc>
        <w:tc>
          <w:tcPr>
            <w:tcW w:type="dxa" w:w="3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1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44,771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2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0.14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1.31 </w:t>
            </w:r>
          </w:p>
        </w:tc>
      </w:tr>
      <w:tr>
        <w:trPr>
          <w:trHeight w:hRule="exact" w:val="262"/>
        </w:trPr>
        <w:tc>
          <w:tcPr>
            <w:tcW w:type="dxa" w:w="143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Lithuania</w:t>
            </w:r>
          </w:p>
        </w:tc>
        <w:tc>
          <w:tcPr>
            <w:tcW w:type="dxa" w:w="374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6" w:after="0"/>
              <w:ind w:left="0" w:right="1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58,573</w:t>
            </w:r>
          </w:p>
        </w:tc>
        <w:tc>
          <w:tcPr>
            <w:tcW w:type="dxa" w:w="190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6" w:after="0"/>
              <w:ind w:left="0" w:right="2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0.18</w:t>
            </w:r>
          </w:p>
        </w:tc>
        <w:tc>
          <w:tcPr>
            <w:tcW w:type="dxa" w:w="220"/>
            <w:vMerge w:val="restart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0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36.90 </w:t>
            </w:r>
          </w:p>
        </w:tc>
      </w:tr>
      <w:tr>
        <w:trPr>
          <w:trHeight w:hRule="exact" w:val="240"/>
        </w:trPr>
        <w:tc>
          <w:tcPr>
            <w:tcW w:type="dxa" w:w="143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Luxembourg</w:t>
            </w:r>
          </w:p>
        </w:tc>
        <w:tc>
          <w:tcPr>
            <w:tcW w:type="dxa" w:w="374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1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92,482</w:t>
            </w:r>
          </w:p>
        </w:tc>
        <w:tc>
          <w:tcPr>
            <w:tcW w:type="dxa" w:w="190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2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0.29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200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523.84 </w:t>
            </w:r>
          </w:p>
        </w:tc>
      </w:tr>
      <w:tr>
        <w:trPr>
          <w:trHeight w:hRule="exact" w:val="260"/>
        </w:trPr>
        <w:tc>
          <w:tcPr>
            <w:tcW w:type="dxa" w:w="143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Malaysia</w:t>
            </w:r>
          </w:p>
        </w:tc>
        <w:tc>
          <w:tcPr>
            <w:tcW w:type="dxa" w:w="374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1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113,379</w:t>
            </w:r>
          </w:p>
        </w:tc>
        <w:tc>
          <w:tcPr>
            <w:tcW w:type="dxa" w:w="190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2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0.36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200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77.73 </w:t>
            </w:r>
          </w:p>
        </w:tc>
      </w:tr>
      <w:tr>
        <w:trPr>
          <w:trHeight w:hRule="exact" w:val="260"/>
        </w:trPr>
        <w:tc>
          <w:tcPr>
            <w:tcW w:type="dxa" w:w="143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Mauritius</w:t>
            </w:r>
          </w:p>
        </w:tc>
        <w:tc>
          <w:tcPr>
            <w:tcW w:type="dxa" w:w="374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1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75,861</w:t>
            </w:r>
          </w:p>
        </w:tc>
        <w:tc>
          <w:tcPr>
            <w:tcW w:type="dxa" w:w="190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2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0.24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200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1.30 </w:t>
            </w:r>
          </w:p>
        </w:tc>
      </w:tr>
      <w:tr>
        <w:trPr>
          <w:trHeight w:hRule="exact" w:val="252"/>
        </w:trPr>
        <w:tc>
          <w:tcPr>
            <w:tcW w:type="dxa" w:w="143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Mexico</w:t>
            </w:r>
          </w:p>
        </w:tc>
        <w:tc>
          <w:tcPr>
            <w:tcW w:type="dxa" w:w="374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1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142,236</w:t>
            </w:r>
          </w:p>
        </w:tc>
        <w:tc>
          <w:tcPr>
            <w:tcW w:type="dxa" w:w="190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2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0.45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200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168.34 </w:t>
            </w:r>
          </w:p>
        </w:tc>
      </w:tr>
      <w:tr>
        <w:trPr>
          <w:trHeight w:hRule="exact" w:val="248"/>
        </w:trPr>
        <w:tc>
          <w:tcPr>
            <w:tcW w:type="dxa" w:w="143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Montenegro</w:t>
            </w:r>
          </w:p>
        </w:tc>
        <w:tc>
          <w:tcPr>
            <w:tcW w:type="dxa" w:w="3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1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59,680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2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0.19</w:t>
            </w:r>
          </w:p>
        </w:tc>
        <w:tc>
          <w:tcPr>
            <w:tcW w:type="dxa" w:w="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1.76 </w:t>
            </w:r>
          </w:p>
        </w:tc>
      </w:tr>
      <w:tr>
        <w:trPr>
          <w:trHeight w:hRule="exact" w:val="260"/>
        </w:trPr>
        <w:tc>
          <w:tcPr>
            <w:tcW w:type="dxa" w:w="143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Morocco</w:t>
            </w:r>
          </w:p>
        </w:tc>
        <w:tc>
          <w:tcPr>
            <w:tcW w:type="dxa" w:w="3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1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115,160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2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0.36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10.57 </w:t>
            </w:r>
          </w:p>
        </w:tc>
      </w:tr>
      <w:tr>
        <w:trPr>
          <w:trHeight w:hRule="exact" w:val="260"/>
        </w:trPr>
        <w:tc>
          <w:tcPr>
            <w:tcW w:type="dxa" w:w="143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Netherlands</w:t>
            </w:r>
          </w:p>
        </w:tc>
        <w:tc>
          <w:tcPr>
            <w:tcW w:type="dxa" w:w="3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1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660,766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2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2.08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11,454.99 </w:t>
            </w:r>
          </w:p>
        </w:tc>
      </w:tr>
      <w:tr>
        <w:trPr>
          <w:trHeight w:hRule="exact" w:val="260"/>
        </w:trPr>
        <w:tc>
          <w:tcPr>
            <w:tcW w:type="dxa" w:w="143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New Zealand</w:t>
            </w:r>
          </w:p>
        </w:tc>
        <w:tc>
          <w:tcPr>
            <w:tcW w:type="dxa" w:w="3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1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88,451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2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0.28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455.16 </w:t>
            </w:r>
          </w:p>
        </w:tc>
      </w:tr>
      <w:tr>
        <w:trPr>
          <w:trHeight w:hRule="exact" w:val="248"/>
        </w:trPr>
        <w:tc>
          <w:tcPr>
            <w:tcW w:type="dxa" w:w="143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North Macedonia</w:t>
            </w:r>
          </w:p>
        </w:tc>
        <w:tc>
          <w:tcPr>
            <w:tcW w:type="dxa" w:w="3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1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47,095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2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0.15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3.09 </w:t>
            </w:r>
          </w:p>
        </w:tc>
      </w:tr>
      <w:tr>
        <w:trPr>
          <w:trHeight w:hRule="exact" w:val="252"/>
        </w:trPr>
        <w:tc>
          <w:tcPr>
            <w:tcW w:type="dxa" w:w="143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Norway</w:t>
            </w:r>
          </w:p>
        </w:tc>
        <w:tc>
          <w:tcPr>
            <w:tcW w:type="dxa" w:w="374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6" w:after="0"/>
              <w:ind w:left="0" w:right="1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339,473</w:t>
            </w:r>
          </w:p>
        </w:tc>
        <w:tc>
          <w:tcPr>
            <w:tcW w:type="dxa" w:w="190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6" w:after="0"/>
              <w:ind w:left="0" w:right="2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1.07</w:t>
            </w:r>
          </w:p>
        </w:tc>
        <w:tc>
          <w:tcPr>
            <w:tcW w:type="dxa" w:w="220"/>
            <w:vMerge w:val="restart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0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4,966.35 </w:t>
            </w:r>
          </w:p>
        </w:tc>
      </w:tr>
      <w:tr>
        <w:trPr>
          <w:trHeight w:hRule="exact" w:val="260"/>
        </w:trPr>
        <w:tc>
          <w:tcPr>
            <w:tcW w:type="dxa" w:w="143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Oman</w:t>
            </w:r>
          </w:p>
        </w:tc>
        <w:tc>
          <w:tcPr>
            <w:tcW w:type="dxa" w:w="374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1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59,388</w:t>
            </w:r>
          </w:p>
        </w:tc>
        <w:tc>
          <w:tcPr>
            <w:tcW w:type="dxa" w:w="190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2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0.19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200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1.42 </w:t>
            </w:r>
          </w:p>
        </w:tc>
      </w:tr>
      <w:tr>
        <w:trPr>
          <w:trHeight w:hRule="exact" w:val="260"/>
        </w:trPr>
        <w:tc>
          <w:tcPr>
            <w:tcW w:type="dxa" w:w="143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Palau</w:t>
            </w:r>
          </w:p>
        </w:tc>
        <w:tc>
          <w:tcPr>
            <w:tcW w:type="dxa" w:w="374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1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3,804</w:t>
            </w:r>
          </w:p>
        </w:tc>
        <w:tc>
          <w:tcPr>
            <w:tcW w:type="dxa" w:w="190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2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0.01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200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0.03 </w:t>
            </w:r>
          </w:p>
        </w:tc>
      </w:tr>
      <w:tr>
        <w:trPr>
          <w:trHeight w:hRule="exact" w:val="240"/>
        </w:trPr>
        <w:tc>
          <w:tcPr>
            <w:tcW w:type="dxa" w:w="143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Panama</w:t>
            </w:r>
          </w:p>
        </w:tc>
        <w:tc>
          <w:tcPr>
            <w:tcW w:type="dxa" w:w="374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1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10,185</w:t>
            </w:r>
          </w:p>
        </w:tc>
        <w:tc>
          <w:tcPr>
            <w:tcW w:type="dxa" w:w="190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2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0.03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200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0.03 </w:t>
            </w:r>
          </w:p>
        </w:tc>
      </w:tr>
      <w:tr>
        <w:trPr>
          <w:trHeight w:hRule="exact" w:val="262"/>
        </w:trPr>
        <w:tc>
          <w:tcPr>
            <w:tcW w:type="dxa" w:w="143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Paraguay</w:t>
            </w:r>
          </w:p>
        </w:tc>
        <w:tc>
          <w:tcPr>
            <w:tcW w:type="dxa" w:w="374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1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46,493</w:t>
            </w:r>
          </w:p>
        </w:tc>
        <w:tc>
          <w:tcPr>
            <w:tcW w:type="dxa" w:w="190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2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0.15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200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0.43 </w:t>
            </w:r>
          </w:p>
        </w:tc>
      </w:tr>
      <w:tr>
        <w:trPr>
          <w:trHeight w:hRule="exact" w:val="258"/>
        </w:trPr>
        <w:tc>
          <w:tcPr>
            <w:tcW w:type="dxa" w:w="143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Peru</w:t>
            </w:r>
          </w:p>
        </w:tc>
        <w:tc>
          <w:tcPr>
            <w:tcW w:type="dxa" w:w="3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1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93,174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2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0.29</w:t>
            </w:r>
          </w:p>
        </w:tc>
        <w:tc>
          <w:tcPr>
            <w:tcW w:type="dxa" w:w="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18.07 </w:t>
            </w:r>
          </w:p>
        </w:tc>
      </w:tr>
      <w:tr>
        <w:trPr>
          <w:trHeight w:hRule="exact" w:val="260"/>
        </w:trPr>
        <w:tc>
          <w:tcPr>
            <w:tcW w:type="dxa" w:w="143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Philippines</w:t>
            </w:r>
          </w:p>
        </w:tc>
        <w:tc>
          <w:tcPr>
            <w:tcW w:type="dxa" w:w="3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1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156,031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2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0.49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40.23 </w:t>
            </w:r>
          </w:p>
        </w:tc>
      </w:tr>
      <w:tr>
        <w:trPr>
          <w:trHeight w:hRule="exact" w:val="240"/>
        </w:trPr>
        <w:tc>
          <w:tcPr>
            <w:tcW w:type="dxa" w:w="143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Poland</w:t>
            </w:r>
          </w:p>
        </w:tc>
        <w:tc>
          <w:tcPr>
            <w:tcW w:type="dxa" w:w="3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1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613,464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2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1.93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167.09 </w:t>
            </w:r>
          </w:p>
        </w:tc>
      </w:tr>
      <w:tr>
        <w:trPr>
          <w:trHeight w:hRule="exact" w:val="260"/>
        </w:trPr>
        <w:tc>
          <w:tcPr>
            <w:tcW w:type="dxa" w:w="143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Portugal</w:t>
            </w:r>
          </w:p>
        </w:tc>
        <w:tc>
          <w:tcPr>
            <w:tcW w:type="dxa" w:w="3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1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81,849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2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0.26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353.21 </w:t>
            </w:r>
          </w:p>
        </w:tc>
      </w:tr>
      <w:tr>
        <w:trPr>
          <w:trHeight w:hRule="exact" w:val="258"/>
        </w:trPr>
        <w:tc>
          <w:tcPr>
            <w:tcW w:type="dxa" w:w="143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Romania</w:t>
            </w:r>
          </w:p>
        </w:tc>
        <w:tc>
          <w:tcPr>
            <w:tcW w:type="dxa" w:w="3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1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96,010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2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0.30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9.57 </w:t>
            </w:r>
          </w:p>
        </w:tc>
      </w:tr>
      <w:tr>
        <w:trPr>
          <w:trHeight w:hRule="exact" w:val="262"/>
        </w:trPr>
        <w:tc>
          <w:tcPr>
            <w:tcW w:type="dxa" w:w="143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Russian Federation</w:t>
            </w:r>
          </w:p>
        </w:tc>
        <w:tc>
          <w:tcPr>
            <w:tcW w:type="dxa" w:w="374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6" w:after="0"/>
              <w:ind w:left="0" w:right="1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96,286</w:t>
            </w:r>
          </w:p>
        </w:tc>
        <w:tc>
          <w:tcPr>
            <w:tcW w:type="dxa" w:w="190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6" w:after="0"/>
              <w:ind w:left="0" w:right="2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0.30</w:t>
            </w:r>
          </w:p>
        </w:tc>
        <w:tc>
          <w:tcPr>
            <w:tcW w:type="dxa" w:w="220"/>
            <w:vMerge w:val="restart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0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799.81 </w:t>
            </w:r>
          </w:p>
        </w:tc>
      </w:tr>
      <w:tr>
        <w:trPr>
          <w:trHeight w:hRule="exact" w:val="240"/>
        </w:trPr>
        <w:tc>
          <w:tcPr>
            <w:tcW w:type="dxa" w:w="143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Saudi Arabia</w:t>
            </w:r>
          </w:p>
        </w:tc>
        <w:tc>
          <w:tcPr>
            <w:tcW w:type="dxa" w:w="374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1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1,060,314</w:t>
            </w:r>
          </w:p>
        </w:tc>
        <w:tc>
          <w:tcPr>
            <w:tcW w:type="dxa" w:w="190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2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3.34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200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3,906.49 </w:t>
            </w:r>
          </w:p>
        </w:tc>
      </w:tr>
      <w:tr>
        <w:trPr>
          <w:trHeight w:hRule="exact" w:val="260"/>
        </w:trPr>
        <w:tc>
          <w:tcPr>
            <w:tcW w:type="dxa" w:w="143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Serbia</w:t>
            </w:r>
          </w:p>
        </w:tc>
        <w:tc>
          <w:tcPr>
            <w:tcW w:type="dxa" w:w="374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1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86,096</w:t>
            </w:r>
          </w:p>
        </w:tc>
        <w:tc>
          <w:tcPr>
            <w:tcW w:type="dxa" w:w="190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2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0.27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200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7.08 </w:t>
            </w:r>
          </w:p>
        </w:tc>
      </w:tr>
      <w:tr>
        <w:trPr>
          <w:trHeight w:hRule="exact" w:val="260"/>
        </w:trPr>
        <w:tc>
          <w:tcPr>
            <w:tcW w:type="dxa" w:w="143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Singapore</w:t>
            </w:r>
          </w:p>
        </w:tc>
        <w:tc>
          <w:tcPr>
            <w:tcW w:type="dxa" w:w="374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1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66,998</w:t>
            </w:r>
          </w:p>
        </w:tc>
        <w:tc>
          <w:tcPr>
            <w:tcW w:type="dxa" w:w="190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2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0.21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200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386.49 </w:t>
            </w:r>
          </w:p>
        </w:tc>
      </w:tr>
      <w:tr>
        <w:trPr>
          <w:trHeight w:hRule="exact" w:val="252"/>
        </w:trPr>
        <w:tc>
          <w:tcPr>
            <w:tcW w:type="dxa" w:w="143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Slovak Republic</w:t>
            </w:r>
          </w:p>
        </w:tc>
        <w:tc>
          <w:tcPr>
            <w:tcW w:type="dxa" w:w="374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1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100,238</w:t>
            </w:r>
          </w:p>
        </w:tc>
        <w:tc>
          <w:tcPr>
            <w:tcW w:type="dxa" w:w="190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2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0.32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200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40.34 </w:t>
            </w:r>
          </w:p>
        </w:tc>
      </w:tr>
      <w:tr>
        <w:trPr>
          <w:trHeight w:hRule="exact" w:val="248"/>
        </w:trPr>
        <w:tc>
          <w:tcPr>
            <w:tcW w:type="dxa" w:w="143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Slovenia</w:t>
            </w:r>
          </w:p>
        </w:tc>
        <w:tc>
          <w:tcPr>
            <w:tcW w:type="dxa" w:w="3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1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63,361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2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0.20</w:t>
            </w:r>
          </w:p>
        </w:tc>
        <w:tc>
          <w:tcPr>
            <w:tcW w:type="dxa" w:w="22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51.38 </w:t>
            </w:r>
          </w:p>
        </w:tc>
      </w:tr>
      <w:tr>
        <w:trPr>
          <w:trHeight w:hRule="exact" w:val="240"/>
        </w:trPr>
        <w:tc>
          <w:tcPr>
            <w:tcW w:type="dxa" w:w="143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South Africa</w:t>
            </w:r>
          </w:p>
        </w:tc>
        <w:tc>
          <w:tcPr>
            <w:tcW w:type="dxa" w:w="3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1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81,342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2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0.26</w:t>
            </w:r>
          </w:p>
        </w:tc>
        <w:tc>
          <w:tcPr>
            <w:tcW w:type="dxa" w:w="1579"/>
            <w:vMerge/>
            <w:tcBorders>
              <w:bottom w:sz="8.0" w:val="single" w:color="#000000"/>
            </w:tcBorders>
          </w:tcPr>
          <w:p/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259.63 </w:t>
            </w:r>
          </w:p>
        </w:tc>
      </w:tr>
      <w:tr>
        <w:trPr>
          <w:trHeight w:hRule="exact" w:val="240"/>
        </w:trPr>
        <w:tc>
          <w:tcPr>
            <w:tcW w:type="dxa" w:w="143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Spain</w:t>
            </w:r>
          </w:p>
        </w:tc>
        <w:tc>
          <w:tcPr>
            <w:tcW w:type="dxa" w:w="3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1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344,843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2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1.08</w:t>
            </w:r>
          </w:p>
        </w:tc>
        <w:tc>
          <w:tcPr>
            <w:tcW w:type="dxa" w:w="1579"/>
            <w:vMerge/>
            <w:tcBorders>
              <w:bottom w:sz="8.0" w:val="single" w:color="#000000"/>
            </w:tcBorders>
          </w:tcPr>
          <w:p/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5,265.80 </w:t>
            </w:r>
          </w:p>
        </w:tc>
      </w:tr>
      <w:tr>
        <w:trPr>
          <w:trHeight w:hRule="exact" w:val="240"/>
        </w:trPr>
        <w:tc>
          <w:tcPr>
            <w:tcW w:type="dxa" w:w="143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St. Kitts And Nevis</w:t>
            </w:r>
          </w:p>
        </w:tc>
        <w:tc>
          <w:tcPr>
            <w:tcW w:type="dxa" w:w="3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1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13,868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2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0.04</w:t>
            </w:r>
          </w:p>
        </w:tc>
        <w:tc>
          <w:tcPr>
            <w:tcW w:type="dxa" w:w="1579"/>
            <w:vMerge/>
            <w:tcBorders>
              <w:bottom w:sz="8.0" w:val="single" w:color="#000000"/>
            </w:tcBorders>
          </w:tcPr>
          <w:p/>
        </w:tc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0.17 </w:t>
            </w:r>
          </w:p>
        </w:tc>
      </w:tr>
      <w:tr>
        <w:trPr>
          <w:trHeight w:hRule="exact" w:val="246"/>
        </w:trPr>
        <w:tc>
          <w:tcPr>
            <w:tcW w:type="dxa" w:w="143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Sweden</w:t>
            </w:r>
          </w:p>
        </w:tc>
        <w:tc>
          <w:tcPr>
            <w:tcW w:type="dxa" w:w="37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1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683,042</w:t>
            </w:r>
          </w:p>
        </w:tc>
        <w:tc>
          <w:tcPr>
            <w:tcW w:type="dxa" w:w="19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2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2.15</w:t>
            </w:r>
          </w:p>
        </w:tc>
        <w:tc>
          <w:tcPr>
            <w:tcW w:type="dxa" w:w="1579"/>
            <w:vMerge/>
            <w:tcBorders>
              <w:bottom w:sz="8.0" w:val="single" w:color="#000000"/>
            </w:tcBorders>
          </w:tcPr>
          <w:p/>
        </w:tc>
        <w:tc>
          <w:tcPr>
            <w:tcW w:type="dxa" w:w="20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10,580.13 </w:t>
            </w:r>
          </w:p>
        </w:tc>
      </w:tr>
      <w:tr>
        <w:trPr>
          <w:trHeight w:hRule="exact" w:val="2014"/>
        </w:trPr>
        <w:tc>
          <w:tcPr>
            <w:tcW w:type="dxa" w:w="31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80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76</w:t>
            </w:r>
          </w:p>
        </w:tc>
        <w:tc>
          <w:tcPr>
            <w:tcW w:type="dxa" w:w="4860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800" w:after="0"/>
              <w:ind w:left="45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IDA Financial Statements: June 30, 2024</w:t>
            </w:r>
          </w:p>
        </w:tc>
        <w:tc>
          <w:tcPr>
            <w:tcW w:type="dxa" w:w="19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696" w:right="1338" w:bottom="2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74"/>
        <w:ind w:left="0" w:right="0"/>
      </w:pPr>
    </w:p>
    <w:p>
      <w:pPr>
        <w:autoSpaceDN w:val="0"/>
        <w:autoSpaceDE w:val="0"/>
        <w:widowControl/>
        <w:spacing w:line="298" w:lineRule="exact" w:before="16" w:after="0"/>
        <w:ind w:left="1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STATEMENT OF VOTING POWER AND SUBSCRIPTIONS AND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CONTRIBUTIONS </w:t>
      </w:r>
      <w:r>
        <w:br/>
      </w:r>
      <w:r>
        <w:rPr>
          <w:rFonts w:ascii="Arial" w:hAnsi="Arial" w:eastAsia="Arial"/>
          <w:b w:val="0"/>
          <w:i/>
          <w:color w:val="000000"/>
          <w:sz w:val="20"/>
        </w:rPr>
        <w:t>June 30, 2024</w:t>
      </w:r>
    </w:p>
    <w:p>
      <w:pPr>
        <w:autoSpaceDN w:val="0"/>
        <w:autoSpaceDE w:val="0"/>
        <w:widowControl/>
        <w:spacing w:line="180" w:lineRule="exact" w:before="278" w:after="18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Expressed in millions US Dollars except vote data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57"/>
        <w:gridCol w:w="3157"/>
        <w:gridCol w:w="3157"/>
      </w:tblGrid>
      <w:tr>
        <w:trPr>
          <w:trHeight w:hRule="exact" w:val="586"/>
        </w:trPr>
        <w:tc>
          <w:tcPr>
            <w:tcW w:type="dxa" w:w="3460"/>
            <w:tcBorders>
              <w:top w:sz="8.0" w:val="single" w:color="#000000"/>
              <w:end w:sz="24.0" w:val="single" w:color="#FFFFFF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70" w:after="0"/>
              <w:ind w:left="6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Member </w:t>
            </w:r>
            <w:r>
              <w:rPr>
                <w:w w:val="103.99999618530273"/>
                <w:rFonts w:ascii="Arial" w:hAnsi="Arial" w:eastAsia="Arial"/>
                <w:b w:val="0"/>
                <w:i/>
                <w:color w:val="000000"/>
                <w:sz w:val="10"/>
              </w:rPr>
              <w:t>a, c</w:t>
            </w:r>
          </w:p>
        </w:tc>
        <w:tc>
          <w:tcPr>
            <w:tcW w:type="dxa" w:w="1680"/>
            <w:tcBorders>
              <w:start w:sz="24.0" w:val="single" w:color="#FFFFFF"/>
              <w:top w:sz="8.0" w:val="single" w:color="#000000"/>
              <w:end w:sz="24.0" w:val="single" w:color="#FFFFFF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9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Number of votes</w:t>
            </w:r>
          </w:p>
        </w:tc>
        <w:tc>
          <w:tcPr>
            <w:tcW w:type="dxa" w:w="4180"/>
            <w:tcBorders>
              <w:start w:sz="24.0" w:val="single" w:color="#FFFFFF"/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0.0" w:type="dxa"/>
            </w:tblPr>
            <w:tblGrid>
              <w:gridCol w:w="2090"/>
              <w:gridCol w:w="2090"/>
            </w:tblGrid>
            <w:tr>
              <w:trPr>
                <w:trHeight w:hRule="exact" w:val="458"/>
              </w:trPr>
              <w:tc>
                <w:tcPr>
                  <w:tcW w:type="dxa" w:w="1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2" w:lineRule="exact" w:before="40" w:after="0"/>
                    <w:ind w:left="0" w:right="144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16"/>
                    </w:rPr>
                    <w:t xml:space="preserve">Percentage of total </w:t>
                  </w: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16"/>
                    </w:rPr>
                    <w:t>votes</w:t>
                  </w:r>
                </w:p>
              </w:tc>
              <w:tc>
                <w:tcPr>
                  <w:tcW w:type="dxa" w:w="2180"/>
                  <w:tcBorders/>
                  <w:shd w:fill="ffff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2" w:lineRule="exact" w:before="40" w:after="0"/>
                    <w:ind w:left="288" w:right="0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16"/>
                    </w:rPr>
                    <w:t xml:space="preserve">Subscriptions and </w:t>
                  </w:r>
                  <w:r>
                    <w:br/>
                  </w: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16"/>
                    </w:rPr>
                    <w:t xml:space="preserve">contributions committed </w:t>
                  </w:r>
                  <w:r>
                    <w:rPr>
                      <w:w w:val="103.99999618530273"/>
                      <w:rFonts w:ascii="Arial" w:hAnsi="Arial" w:eastAsia="Arial"/>
                      <w:b w:val="0"/>
                      <w:i/>
                      <w:color w:val="000000"/>
                      <w:sz w:val="10"/>
                    </w:rPr>
                    <w:t>b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894"/>
        <w:gridCol w:w="1894"/>
        <w:gridCol w:w="1894"/>
        <w:gridCol w:w="1894"/>
        <w:gridCol w:w="1894"/>
      </w:tblGrid>
      <w:tr>
        <w:trPr>
          <w:trHeight w:hRule="exact" w:val="208"/>
        </w:trPr>
        <w:tc>
          <w:tcPr>
            <w:tcW w:type="dxa" w:w="347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Switzerland</w:t>
            </w:r>
          </w:p>
        </w:tc>
        <w:tc>
          <w:tcPr>
            <w:tcW w:type="dxa" w:w="227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69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444,301</w:t>
            </w:r>
          </w:p>
        </w:tc>
        <w:tc>
          <w:tcPr>
            <w:tcW w:type="dxa" w:w="13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6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1.40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%</w:t>
            </w:r>
          </w:p>
        </w:tc>
        <w:tc>
          <w:tcPr>
            <w:tcW w:type="dxa" w:w="800"/>
            <w:vMerge w:val="restart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39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7,368.16 </w:t>
            </w:r>
          </w:p>
        </w:tc>
      </w:tr>
      <w:tr>
        <w:trPr>
          <w:trHeight w:hRule="exact" w:val="240"/>
        </w:trPr>
        <w:tc>
          <w:tcPr>
            <w:tcW w:type="dxa" w:w="347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Thailand</w:t>
            </w:r>
          </w:p>
        </w:tc>
        <w:tc>
          <w:tcPr>
            <w:tcW w:type="dxa" w:w="227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69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119,249</w:t>
            </w:r>
          </w:p>
        </w:tc>
        <w:tc>
          <w:tcPr>
            <w:tcW w:type="dxa" w:w="13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0.37</w:t>
            </w:r>
          </w:p>
        </w:tc>
        <w:tc>
          <w:tcPr>
            <w:tcW w:type="dxa" w:w="1894"/>
            <w:vMerge/>
            <w:tcBorders/>
          </w:tcPr>
          <w:p/>
        </w:tc>
        <w:tc>
          <w:tcPr>
            <w:tcW w:type="dxa" w:w="139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27.51 </w:t>
            </w:r>
          </w:p>
        </w:tc>
      </w:tr>
      <w:tr>
        <w:trPr>
          <w:trHeight w:hRule="exact" w:val="220"/>
        </w:trPr>
        <w:tc>
          <w:tcPr>
            <w:tcW w:type="dxa" w:w="347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Trinidad And Tobago</w:t>
            </w:r>
          </w:p>
        </w:tc>
        <w:tc>
          <w:tcPr>
            <w:tcW w:type="dxa" w:w="227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69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81,067</w:t>
            </w:r>
          </w:p>
        </w:tc>
        <w:tc>
          <w:tcPr>
            <w:tcW w:type="dxa" w:w="13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0.24</w:t>
            </w:r>
          </w:p>
        </w:tc>
        <w:tc>
          <w:tcPr>
            <w:tcW w:type="dxa" w:w="1894"/>
            <w:vMerge/>
            <w:tcBorders/>
          </w:tcPr>
          <w:p/>
        </w:tc>
        <w:tc>
          <w:tcPr>
            <w:tcW w:type="dxa" w:w="139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2.13 </w:t>
            </w:r>
          </w:p>
        </w:tc>
      </w:tr>
      <w:tr>
        <w:trPr>
          <w:trHeight w:hRule="exact" w:val="220"/>
        </w:trPr>
        <w:tc>
          <w:tcPr>
            <w:tcW w:type="dxa" w:w="347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Tunisia</w:t>
            </w:r>
          </w:p>
        </w:tc>
        <w:tc>
          <w:tcPr>
            <w:tcW w:type="dxa" w:w="227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69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2,793</w:t>
            </w:r>
          </w:p>
        </w:tc>
        <w:tc>
          <w:tcPr>
            <w:tcW w:type="dxa" w:w="13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0.01</w:t>
            </w:r>
          </w:p>
        </w:tc>
        <w:tc>
          <w:tcPr>
            <w:tcW w:type="dxa" w:w="1894"/>
            <w:vMerge/>
            <w:tcBorders/>
          </w:tcPr>
          <w:p/>
        </w:tc>
        <w:tc>
          <w:tcPr>
            <w:tcW w:type="dxa" w:w="139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1.89 </w:t>
            </w:r>
          </w:p>
        </w:tc>
      </w:tr>
      <w:tr>
        <w:trPr>
          <w:trHeight w:hRule="exact" w:val="236"/>
        </w:trPr>
        <w:tc>
          <w:tcPr>
            <w:tcW w:type="dxa" w:w="347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Türkiye</w:t>
            </w:r>
          </w:p>
        </w:tc>
        <w:tc>
          <w:tcPr>
            <w:tcW w:type="dxa" w:w="227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69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184,967</w:t>
            </w:r>
          </w:p>
        </w:tc>
        <w:tc>
          <w:tcPr>
            <w:tcW w:type="dxa" w:w="13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0.58</w:t>
            </w:r>
          </w:p>
        </w:tc>
        <w:tc>
          <w:tcPr>
            <w:tcW w:type="dxa" w:w="1894"/>
            <w:vMerge/>
            <w:tcBorders/>
          </w:tcPr>
          <w:p/>
        </w:tc>
        <w:tc>
          <w:tcPr>
            <w:tcW w:type="dxa" w:w="139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215.04 </w:t>
            </w:r>
          </w:p>
        </w:tc>
      </w:tr>
      <w:tr>
        <w:trPr>
          <w:trHeight w:hRule="exact" w:val="224"/>
        </w:trPr>
        <w:tc>
          <w:tcPr>
            <w:tcW w:type="dxa" w:w="34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Ukraine</w:t>
            </w:r>
          </w:p>
        </w:tc>
        <w:tc>
          <w:tcPr>
            <w:tcW w:type="dxa" w:w="2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69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115,569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0.36</w:t>
            </w:r>
          </w:p>
        </w:tc>
        <w:tc>
          <w:tcPr>
            <w:tcW w:type="dxa" w:w="80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3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8.00 </w:t>
            </w:r>
          </w:p>
        </w:tc>
      </w:tr>
      <w:tr>
        <w:trPr>
          <w:trHeight w:hRule="exact" w:val="220"/>
        </w:trPr>
        <w:tc>
          <w:tcPr>
            <w:tcW w:type="dxa" w:w="34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United Arab Emirates</w:t>
            </w:r>
          </w:p>
        </w:tc>
        <w:tc>
          <w:tcPr>
            <w:tcW w:type="dxa" w:w="2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69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1,367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*</w:t>
            </w:r>
          </w:p>
        </w:tc>
        <w:tc>
          <w:tcPr>
            <w:tcW w:type="dxa" w:w="1894"/>
            <w:vMerge/>
            <w:tcBorders>
              <w:bottom w:sz="8.0" w:val="single" w:color="#000000"/>
            </w:tcBorders>
          </w:tcPr>
          <w:p/>
        </w:tc>
        <w:tc>
          <w:tcPr>
            <w:tcW w:type="dxa" w:w="13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5.58 </w:t>
            </w:r>
          </w:p>
        </w:tc>
      </w:tr>
      <w:tr>
        <w:trPr>
          <w:trHeight w:hRule="exact" w:val="220"/>
        </w:trPr>
        <w:tc>
          <w:tcPr>
            <w:tcW w:type="dxa" w:w="34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United Kingdom</w:t>
            </w:r>
          </w:p>
        </w:tc>
        <w:tc>
          <w:tcPr>
            <w:tcW w:type="dxa" w:w="2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69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2,203,382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6.93</w:t>
            </w:r>
          </w:p>
        </w:tc>
        <w:tc>
          <w:tcPr>
            <w:tcW w:type="dxa" w:w="1894"/>
            <w:vMerge/>
            <w:tcBorders>
              <w:bottom w:sz="8.0" w:val="single" w:color="#000000"/>
            </w:tcBorders>
          </w:tcPr>
          <w:p/>
        </w:tc>
        <w:tc>
          <w:tcPr>
            <w:tcW w:type="dxa" w:w="13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37,737.96 </w:t>
            </w:r>
          </w:p>
        </w:tc>
      </w:tr>
      <w:tr>
        <w:trPr>
          <w:trHeight w:hRule="exact" w:val="236"/>
        </w:trPr>
        <w:tc>
          <w:tcPr>
            <w:tcW w:type="dxa" w:w="34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United States</w:t>
            </w:r>
          </w:p>
        </w:tc>
        <w:tc>
          <w:tcPr>
            <w:tcW w:type="dxa" w:w="22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69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3,087,697</w:t>
            </w:r>
          </w:p>
        </w:tc>
        <w:tc>
          <w:tcPr>
            <w:tcW w:type="dxa" w:w="13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9.71</w:t>
            </w:r>
          </w:p>
        </w:tc>
        <w:tc>
          <w:tcPr>
            <w:tcW w:type="dxa" w:w="1894"/>
            <w:vMerge/>
            <w:tcBorders>
              <w:bottom w:sz="8.0" w:val="single" w:color="#000000"/>
            </w:tcBorders>
          </w:tcPr>
          <w:p/>
        </w:tc>
        <w:tc>
          <w:tcPr>
            <w:tcW w:type="dxa" w:w="13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60,005.96 </w:t>
            </w:r>
          </w:p>
        </w:tc>
      </w:tr>
      <w:tr>
        <w:trPr>
          <w:trHeight w:hRule="exact" w:val="226"/>
        </w:trPr>
        <w:tc>
          <w:tcPr>
            <w:tcW w:type="dxa" w:w="34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5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Subtotal Non-Recipients</w:t>
            </w:r>
          </w:p>
        </w:tc>
        <w:tc>
          <w:tcPr>
            <w:tcW w:type="dxa" w:w="22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69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25,371,613</w:t>
            </w:r>
          </w:p>
        </w:tc>
        <w:tc>
          <w:tcPr>
            <w:tcW w:type="dxa" w:w="13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6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79.81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%</w:t>
            </w:r>
          </w:p>
        </w:tc>
        <w:tc>
          <w:tcPr>
            <w:tcW w:type="dxa" w:w="8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3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309,879 </w:t>
            </w:r>
          </w:p>
        </w:tc>
      </w:tr>
    </w:tbl>
    <w:p>
      <w:pPr>
        <w:autoSpaceDN w:val="0"/>
        <w:autoSpaceDE w:val="0"/>
        <w:widowControl/>
        <w:spacing w:line="200" w:lineRule="exact" w:before="228" w:after="22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 xml:space="preserve">Interstitial </w:t>
      </w:r>
      <w:r>
        <w:rPr>
          <w:w w:val="103.99999618530273"/>
          <w:rFonts w:ascii="Arial" w:hAnsi="Arial" w:eastAsia="Arial"/>
          <w:b/>
          <w:i w:val="0"/>
          <w:color w:val="000000"/>
          <w:sz w:val="10"/>
        </w:rPr>
        <w:t>d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894"/>
        <w:gridCol w:w="1894"/>
        <w:gridCol w:w="1894"/>
        <w:gridCol w:w="1894"/>
        <w:gridCol w:w="1894"/>
      </w:tblGrid>
      <w:tr>
        <w:trPr>
          <w:trHeight w:hRule="exact" w:val="208"/>
        </w:trPr>
        <w:tc>
          <w:tcPr>
            <w:tcW w:type="dxa" w:w="347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Angola</w:t>
            </w:r>
          </w:p>
        </w:tc>
        <w:tc>
          <w:tcPr>
            <w:tcW w:type="dxa" w:w="227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69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159,783</w:t>
            </w:r>
          </w:p>
        </w:tc>
        <w:tc>
          <w:tcPr>
            <w:tcW w:type="dxa" w:w="13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6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0.50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%</w:t>
            </w:r>
          </w:p>
        </w:tc>
        <w:tc>
          <w:tcPr>
            <w:tcW w:type="dxa" w:w="860"/>
            <w:vMerge w:val="restart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33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17.53 </w:t>
            </w:r>
          </w:p>
        </w:tc>
      </w:tr>
      <w:tr>
        <w:trPr>
          <w:trHeight w:hRule="exact" w:val="240"/>
        </w:trPr>
        <w:tc>
          <w:tcPr>
            <w:tcW w:type="dxa" w:w="347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Armenia</w:t>
            </w:r>
          </w:p>
        </w:tc>
        <w:tc>
          <w:tcPr>
            <w:tcW w:type="dxa" w:w="227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69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69,842</w:t>
            </w:r>
          </w:p>
        </w:tc>
        <w:tc>
          <w:tcPr>
            <w:tcW w:type="dxa" w:w="13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0.22</w:t>
            </w:r>
          </w:p>
        </w:tc>
        <w:tc>
          <w:tcPr>
            <w:tcW w:type="dxa" w:w="1894"/>
            <w:vMerge/>
            <w:tcBorders/>
          </w:tcPr>
          <w:p/>
        </w:tc>
        <w:tc>
          <w:tcPr>
            <w:tcW w:type="dxa" w:w="133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1.66 </w:t>
            </w:r>
          </w:p>
        </w:tc>
      </w:tr>
      <w:tr>
        <w:trPr>
          <w:trHeight w:hRule="exact" w:val="220"/>
        </w:trPr>
        <w:tc>
          <w:tcPr>
            <w:tcW w:type="dxa" w:w="347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Azerbaijan</w:t>
            </w:r>
          </w:p>
        </w:tc>
        <w:tc>
          <w:tcPr>
            <w:tcW w:type="dxa" w:w="227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69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78,321</w:t>
            </w:r>
          </w:p>
        </w:tc>
        <w:tc>
          <w:tcPr>
            <w:tcW w:type="dxa" w:w="13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0.25</w:t>
            </w:r>
          </w:p>
        </w:tc>
        <w:tc>
          <w:tcPr>
            <w:tcW w:type="dxa" w:w="1894"/>
            <w:vMerge/>
            <w:tcBorders/>
          </w:tcPr>
          <w:p/>
        </w:tc>
        <w:tc>
          <w:tcPr>
            <w:tcW w:type="dxa" w:w="133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6.38 </w:t>
            </w:r>
          </w:p>
        </w:tc>
      </w:tr>
      <w:tr>
        <w:trPr>
          <w:trHeight w:hRule="exact" w:val="220"/>
        </w:trPr>
        <w:tc>
          <w:tcPr>
            <w:tcW w:type="dxa" w:w="347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Bolivia</w:t>
            </w:r>
          </w:p>
        </w:tc>
        <w:tc>
          <w:tcPr>
            <w:tcW w:type="dxa" w:w="227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69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79,231</w:t>
            </w:r>
          </w:p>
        </w:tc>
        <w:tc>
          <w:tcPr>
            <w:tcW w:type="dxa" w:w="13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0.25</w:t>
            </w:r>
          </w:p>
        </w:tc>
        <w:tc>
          <w:tcPr>
            <w:tcW w:type="dxa" w:w="1894"/>
            <w:vMerge/>
            <w:tcBorders/>
          </w:tcPr>
          <w:p/>
        </w:tc>
        <w:tc>
          <w:tcPr>
            <w:tcW w:type="dxa" w:w="133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1.67 </w:t>
            </w:r>
          </w:p>
        </w:tc>
      </w:tr>
      <w:tr>
        <w:trPr>
          <w:trHeight w:hRule="exact" w:val="238"/>
        </w:trPr>
        <w:tc>
          <w:tcPr>
            <w:tcW w:type="dxa" w:w="347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Bosnia And Herzegovina</w:t>
            </w:r>
          </w:p>
        </w:tc>
        <w:tc>
          <w:tcPr>
            <w:tcW w:type="dxa" w:w="227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69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60,630</w:t>
            </w:r>
          </w:p>
        </w:tc>
        <w:tc>
          <w:tcPr>
            <w:tcW w:type="dxa" w:w="13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0.19</w:t>
            </w:r>
          </w:p>
        </w:tc>
        <w:tc>
          <w:tcPr>
            <w:tcW w:type="dxa" w:w="1894"/>
            <w:vMerge/>
            <w:tcBorders/>
          </w:tcPr>
          <w:p/>
        </w:tc>
        <w:tc>
          <w:tcPr>
            <w:tcW w:type="dxa" w:w="133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5.49 </w:t>
            </w:r>
          </w:p>
        </w:tc>
      </w:tr>
      <w:tr>
        <w:trPr>
          <w:trHeight w:hRule="exact" w:val="222"/>
        </w:trPr>
        <w:tc>
          <w:tcPr>
            <w:tcW w:type="dxa" w:w="34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Georgia</w:t>
            </w:r>
          </w:p>
        </w:tc>
        <w:tc>
          <w:tcPr>
            <w:tcW w:type="dxa" w:w="2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69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70,833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0.22</w:t>
            </w:r>
          </w:p>
        </w:tc>
        <w:tc>
          <w:tcPr>
            <w:tcW w:type="dxa" w:w="86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3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2.99 </w:t>
            </w:r>
          </w:p>
        </w:tc>
      </w:tr>
      <w:tr>
        <w:trPr>
          <w:trHeight w:hRule="exact" w:val="220"/>
        </w:trPr>
        <w:tc>
          <w:tcPr>
            <w:tcW w:type="dxa" w:w="34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India</w:t>
            </w:r>
          </w:p>
        </w:tc>
        <w:tc>
          <w:tcPr>
            <w:tcW w:type="dxa" w:w="2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69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928,277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2.92</w:t>
            </w:r>
          </w:p>
        </w:tc>
        <w:tc>
          <w:tcPr>
            <w:tcW w:type="dxa" w:w="1894"/>
            <w:vMerge/>
            <w:tcBorders>
              <w:bottom w:sz="8.0" w:val="single" w:color="#000000"/>
            </w:tcBorders>
          </w:tcPr>
          <w:p/>
        </w:tc>
        <w:tc>
          <w:tcPr>
            <w:tcW w:type="dxa" w:w="13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811.03 </w:t>
            </w:r>
          </w:p>
        </w:tc>
      </w:tr>
      <w:tr>
        <w:trPr>
          <w:trHeight w:hRule="exact" w:val="220"/>
        </w:trPr>
        <w:tc>
          <w:tcPr>
            <w:tcW w:type="dxa" w:w="34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Moldova</w:t>
            </w:r>
          </w:p>
        </w:tc>
        <w:tc>
          <w:tcPr>
            <w:tcW w:type="dxa" w:w="2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69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56,582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0.18</w:t>
            </w:r>
          </w:p>
        </w:tc>
        <w:tc>
          <w:tcPr>
            <w:tcW w:type="dxa" w:w="1894"/>
            <w:vMerge/>
            <w:tcBorders>
              <w:bottom w:sz="8.0" w:val="single" w:color="#000000"/>
            </w:tcBorders>
          </w:tcPr>
          <w:p/>
        </w:tc>
        <w:tc>
          <w:tcPr>
            <w:tcW w:type="dxa" w:w="13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0.88 </w:t>
            </w:r>
          </w:p>
        </w:tc>
      </w:tr>
      <w:tr>
        <w:trPr>
          <w:trHeight w:hRule="exact" w:val="220"/>
        </w:trPr>
        <w:tc>
          <w:tcPr>
            <w:tcW w:type="dxa" w:w="34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Mongolia</w:t>
            </w:r>
          </w:p>
        </w:tc>
        <w:tc>
          <w:tcPr>
            <w:tcW w:type="dxa" w:w="2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69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45,818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0.15</w:t>
            </w:r>
          </w:p>
        </w:tc>
        <w:tc>
          <w:tcPr>
            <w:tcW w:type="dxa" w:w="1894"/>
            <w:vMerge/>
            <w:tcBorders>
              <w:bottom w:sz="8.0" w:val="single" w:color="#000000"/>
            </w:tcBorders>
          </w:tcPr>
          <w:p/>
        </w:tc>
        <w:tc>
          <w:tcPr>
            <w:tcW w:type="dxa" w:w="13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0.30 </w:t>
            </w:r>
          </w:p>
        </w:tc>
      </w:tr>
      <w:tr>
        <w:trPr>
          <w:trHeight w:hRule="exact" w:val="242"/>
        </w:trPr>
        <w:tc>
          <w:tcPr>
            <w:tcW w:type="dxa" w:w="34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Viet Nam</w:t>
            </w:r>
          </w:p>
        </w:tc>
        <w:tc>
          <w:tcPr>
            <w:tcW w:type="dxa" w:w="22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69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61,168</w:t>
            </w:r>
          </w:p>
        </w:tc>
        <w:tc>
          <w:tcPr>
            <w:tcW w:type="dxa" w:w="13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0.19</w:t>
            </w:r>
          </w:p>
        </w:tc>
        <w:tc>
          <w:tcPr>
            <w:tcW w:type="dxa" w:w="1894"/>
            <w:vMerge/>
            <w:tcBorders>
              <w:bottom w:sz="8.0" w:val="single" w:color="#000000"/>
            </w:tcBorders>
          </w:tcPr>
          <w:p/>
        </w:tc>
        <w:tc>
          <w:tcPr>
            <w:tcW w:type="dxa" w:w="13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2.22 </w:t>
            </w:r>
          </w:p>
        </w:tc>
      </w:tr>
      <w:tr>
        <w:trPr>
          <w:trHeight w:hRule="exact" w:val="226"/>
        </w:trPr>
        <w:tc>
          <w:tcPr>
            <w:tcW w:type="dxa" w:w="34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5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Subtotal Interstitials</w:t>
            </w:r>
          </w:p>
        </w:tc>
        <w:tc>
          <w:tcPr>
            <w:tcW w:type="dxa" w:w="22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69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1,610,485</w:t>
            </w:r>
          </w:p>
        </w:tc>
        <w:tc>
          <w:tcPr>
            <w:tcW w:type="dxa" w:w="13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6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5.07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%</w:t>
            </w:r>
          </w:p>
        </w:tc>
        <w:tc>
          <w:tcPr>
            <w:tcW w:type="dxa" w:w="8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3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850 </w:t>
            </w:r>
          </w:p>
        </w:tc>
      </w:tr>
      <w:tr>
        <w:trPr>
          <w:trHeight w:hRule="exact" w:val="450"/>
        </w:trPr>
        <w:tc>
          <w:tcPr>
            <w:tcW w:type="dxa" w:w="34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38" w:after="0"/>
              <w:ind w:left="5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Total Non-Recipients and Interstitials</w:t>
            </w:r>
          </w:p>
        </w:tc>
        <w:tc>
          <w:tcPr>
            <w:tcW w:type="dxa" w:w="22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38" w:after="0"/>
              <w:ind w:left="0" w:right="69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26,982,098</w:t>
            </w:r>
          </w:p>
        </w:tc>
        <w:tc>
          <w:tcPr>
            <w:tcW w:type="dxa" w:w="13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38" w:after="0"/>
              <w:ind w:left="0" w:right="6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84.88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%</w:t>
            </w:r>
          </w:p>
        </w:tc>
        <w:tc>
          <w:tcPr>
            <w:tcW w:type="dxa" w:w="8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38" w:after="0"/>
              <w:ind w:left="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3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3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310,729 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94"/>
        <w:gridCol w:w="1894"/>
        <w:gridCol w:w="1894"/>
        <w:gridCol w:w="1894"/>
        <w:gridCol w:w="1894"/>
      </w:tblGrid>
      <w:tr>
        <w:trPr>
          <w:trHeight w:hRule="exact" w:val="888"/>
        </w:trPr>
        <w:tc>
          <w:tcPr>
            <w:tcW w:type="dxa" w:w="34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416" w:after="0"/>
              <w:ind w:left="0" w:right="2448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Recipients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Afghanistan</w:t>
            </w:r>
          </w:p>
        </w:tc>
        <w:tc>
          <w:tcPr>
            <w:tcW w:type="dxa" w:w="231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90" w:after="0"/>
              <w:ind w:left="0" w:right="7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59,204</w:t>
            </w:r>
          </w:p>
        </w:tc>
        <w:tc>
          <w:tcPr>
            <w:tcW w:type="dxa" w:w="13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90" w:after="0"/>
              <w:ind w:left="0" w:right="6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0.19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%</w:t>
            </w:r>
          </w:p>
        </w:tc>
        <w:tc>
          <w:tcPr>
            <w:tcW w:type="dxa" w:w="16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90" w:after="0"/>
              <w:ind w:left="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9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1.50 </w:t>
            </w:r>
          </w:p>
        </w:tc>
      </w:tr>
      <w:tr>
        <w:trPr>
          <w:trHeight w:hRule="exact" w:val="220"/>
        </w:trPr>
        <w:tc>
          <w:tcPr>
            <w:tcW w:type="dxa" w:w="34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Bangladesh</w:t>
            </w:r>
          </w:p>
        </w:tc>
        <w:tc>
          <w:tcPr>
            <w:tcW w:type="dxa" w:w="231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7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176,234</w:t>
            </w:r>
          </w:p>
        </w:tc>
        <w:tc>
          <w:tcPr>
            <w:tcW w:type="dxa" w:w="298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19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0.56</w:t>
            </w:r>
          </w:p>
        </w:tc>
        <w:tc>
          <w:tcPr>
            <w:tcW w:type="dxa" w:w="55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7.87 </w:t>
            </w:r>
          </w:p>
        </w:tc>
      </w:tr>
      <w:tr>
        <w:trPr>
          <w:trHeight w:hRule="exact" w:val="240"/>
        </w:trPr>
        <w:tc>
          <w:tcPr>
            <w:tcW w:type="dxa" w:w="34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Benin</w:t>
            </w:r>
          </w:p>
        </w:tc>
        <w:tc>
          <w:tcPr>
            <w:tcW w:type="dxa" w:w="231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7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69,166</w:t>
            </w:r>
          </w:p>
        </w:tc>
        <w:tc>
          <w:tcPr>
            <w:tcW w:type="dxa" w:w="298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19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0.22</w:t>
            </w:r>
          </w:p>
        </w:tc>
        <w:tc>
          <w:tcPr>
            <w:tcW w:type="dxa" w:w="55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0.78 </w:t>
            </w:r>
          </w:p>
        </w:tc>
      </w:tr>
      <w:tr>
        <w:trPr>
          <w:trHeight w:hRule="exact" w:val="220"/>
        </w:trPr>
        <w:tc>
          <w:tcPr>
            <w:tcW w:type="dxa" w:w="34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Bhutan</w:t>
            </w:r>
          </w:p>
        </w:tc>
        <w:tc>
          <w:tcPr>
            <w:tcW w:type="dxa" w:w="231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7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66,532</w:t>
            </w:r>
          </w:p>
        </w:tc>
        <w:tc>
          <w:tcPr>
            <w:tcW w:type="dxa" w:w="298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19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0.21</w:t>
            </w:r>
          </w:p>
        </w:tc>
        <w:tc>
          <w:tcPr>
            <w:tcW w:type="dxa" w:w="55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0.08 </w:t>
            </w:r>
          </w:p>
        </w:tc>
      </w:tr>
      <w:tr>
        <w:trPr>
          <w:trHeight w:hRule="exact" w:val="232"/>
        </w:trPr>
        <w:tc>
          <w:tcPr>
            <w:tcW w:type="dxa" w:w="34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Burkina Faso</w:t>
            </w:r>
          </w:p>
        </w:tc>
        <w:tc>
          <w:tcPr>
            <w:tcW w:type="dxa" w:w="231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7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75,064</w:t>
            </w:r>
          </w:p>
        </w:tc>
        <w:tc>
          <w:tcPr>
            <w:tcW w:type="dxa" w:w="298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9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0.24</w:t>
            </w:r>
          </w:p>
        </w:tc>
        <w:tc>
          <w:tcPr>
            <w:tcW w:type="dxa" w:w="55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0.80 </w:t>
            </w:r>
          </w:p>
        </w:tc>
      </w:tr>
      <w:tr>
        <w:trPr>
          <w:trHeight w:hRule="exact" w:val="208"/>
        </w:trPr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Burundi</w:t>
            </w:r>
          </w:p>
        </w:tc>
        <w:tc>
          <w:tcPr>
            <w:tcW w:type="dxa" w:w="23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7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64,460</w:t>
            </w:r>
          </w:p>
        </w:tc>
        <w:tc>
          <w:tcPr>
            <w:tcW w:type="dxa" w:w="29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19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0.20</w:t>
            </w:r>
          </w:p>
        </w:tc>
        <w:tc>
          <w:tcPr>
            <w:tcW w:type="dxa" w:w="5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1.09 </w:t>
            </w:r>
          </w:p>
        </w:tc>
      </w:tr>
      <w:tr>
        <w:trPr>
          <w:trHeight w:hRule="exact" w:val="240"/>
        </w:trPr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Cabo Verde</w:t>
            </w:r>
          </w:p>
        </w:tc>
        <w:tc>
          <w:tcPr>
            <w:tcW w:type="dxa" w:w="23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7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43,840</w:t>
            </w:r>
          </w:p>
        </w:tc>
        <w:tc>
          <w:tcPr>
            <w:tcW w:type="dxa" w:w="29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19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0.14</w:t>
            </w:r>
          </w:p>
        </w:tc>
        <w:tc>
          <w:tcPr>
            <w:tcW w:type="dxa" w:w="5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0.13 </w:t>
            </w:r>
          </w:p>
        </w:tc>
      </w:tr>
      <w:tr>
        <w:trPr>
          <w:trHeight w:hRule="exact" w:val="220"/>
        </w:trPr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Cambodia</w:t>
            </w:r>
          </w:p>
        </w:tc>
        <w:tc>
          <w:tcPr>
            <w:tcW w:type="dxa" w:w="23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7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71,089</w:t>
            </w:r>
          </w:p>
        </w:tc>
        <w:tc>
          <w:tcPr>
            <w:tcW w:type="dxa" w:w="29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19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0.22</w:t>
            </w:r>
          </w:p>
        </w:tc>
        <w:tc>
          <w:tcPr>
            <w:tcW w:type="dxa" w:w="5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1.60 </w:t>
            </w:r>
          </w:p>
        </w:tc>
      </w:tr>
      <w:tr>
        <w:trPr>
          <w:trHeight w:hRule="exact" w:val="220"/>
        </w:trPr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Cameroon</w:t>
            </w:r>
          </w:p>
        </w:tc>
        <w:tc>
          <w:tcPr>
            <w:tcW w:type="dxa" w:w="23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7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60,782</w:t>
            </w:r>
          </w:p>
        </w:tc>
        <w:tc>
          <w:tcPr>
            <w:tcW w:type="dxa" w:w="29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9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0.19</w:t>
            </w:r>
          </w:p>
        </w:tc>
        <w:tc>
          <w:tcPr>
            <w:tcW w:type="dxa" w:w="5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1.61 </w:t>
            </w:r>
          </w:p>
        </w:tc>
      </w:tr>
      <w:tr>
        <w:trPr>
          <w:trHeight w:hRule="exact" w:val="252"/>
        </w:trPr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Central African Republic</w:t>
            </w:r>
          </w:p>
        </w:tc>
        <w:tc>
          <w:tcPr>
            <w:tcW w:type="dxa" w:w="23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7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48,910</w:t>
            </w:r>
          </w:p>
        </w:tc>
        <w:tc>
          <w:tcPr>
            <w:tcW w:type="dxa" w:w="29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19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0.15</w:t>
            </w:r>
          </w:p>
        </w:tc>
        <w:tc>
          <w:tcPr>
            <w:tcW w:type="dxa" w:w="5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0.77 </w:t>
            </w:r>
          </w:p>
        </w:tc>
      </w:tr>
      <w:tr>
        <w:trPr>
          <w:trHeight w:hRule="exact" w:val="228"/>
        </w:trPr>
        <w:tc>
          <w:tcPr>
            <w:tcW w:type="dxa" w:w="34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Chad</w:t>
            </w:r>
          </w:p>
        </w:tc>
        <w:tc>
          <w:tcPr>
            <w:tcW w:type="dxa" w:w="231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7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52,210</w:t>
            </w:r>
          </w:p>
        </w:tc>
        <w:tc>
          <w:tcPr>
            <w:tcW w:type="dxa" w:w="298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9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0.17</w:t>
            </w:r>
          </w:p>
        </w:tc>
        <w:tc>
          <w:tcPr>
            <w:tcW w:type="dxa" w:w="55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0.78 </w:t>
            </w:r>
          </w:p>
        </w:tc>
      </w:tr>
      <w:tr>
        <w:trPr>
          <w:trHeight w:hRule="exact" w:val="240"/>
        </w:trPr>
        <w:tc>
          <w:tcPr>
            <w:tcW w:type="dxa" w:w="34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Comoros</w:t>
            </w:r>
          </w:p>
        </w:tc>
        <w:tc>
          <w:tcPr>
            <w:tcW w:type="dxa" w:w="231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7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47,140</w:t>
            </w:r>
          </w:p>
        </w:tc>
        <w:tc>
          <w:tcPr>
            <w:tcW w:type="dxa" w:w="298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19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0.15</w:t>
            </w:r>
          </w:p>
        </w:tc>
        <w:tc>
          <w:tcPr>
            <w:tcW w:type="dxa" w:w="55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0.13 </w:t>
            </w:r>
          </w:p>
        </w:tc>
      </w:tr>
      <w:tr>
        <w:trPr>
          <w:trHeight w:hRule="exact" w:val="240"/>
        </w:trPr>
        <w:tc>
          <w:tcPr>
            <w:tcW w:type="dxa" w:w="34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Congo, Democratic Republic Of</w:t>
            </w:r>
          </w:p>
        </w:tc>
        <w:tc>
          <w:tcPr>
            <w:tcW w:type="dxa" w:w="231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7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82,699</w:t>
            </w:r>
          </w:p>
        </w:tc>
        <w:tc>
          <w:tcPr>
            <w:tcW w:type="dxa" w:w="298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19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0.26</w:t>
            </w:r>
          </w:p>
        </w:tc>
        <w:tc>
          <w:tcPr>
            <w:tcW w:type="dxa" w:w="55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4.58 </w:t>
            </w:r>
          </w:p>
        </w:tc>
      </w:tr>
      <w:tr>
        <w:trPr>
          <w:trHeight w:hRule="exact" w:val="240"/>
        </w:trPr>
        <w:tc>
          <w:tcPr>
            <w:tcW w:type="dxa" w:w="34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Congo, Republic Of</w:t>
            </w:r>
          </w:p>
        </w:tc>
        <w:tc>
          <w:tcPr>
            <w:tcW w:type="dxa" w:w="231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7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52,211</w:t>
            </w:r>
          </w:p>
        </w:tc>
        <w:tc>
          <w:tcPr>
            <w:tcW w:type="dxa" w:w="298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19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0.17</w:t>
            </w:r>
          </w:p>
        </w:tc>
        <w:tc>
          <w:tcPr>
            <w:tcW w:type="dxa" w:w="55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0.74 </w:t>
            </w:r>
          </w:p>
        </w:tc>
      </w:tr>
      <w:tr>
        <w:trPr>
          <w:trHeight w:hRule="exact" w:val="252"/>
        </w:trPr>
        <w:tc>
          <w:tcPr>
            <w:tcW w:type="dxa" w:w="34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Côte d'Ivoire</w:t>
            </w:r>
          </w:p>
        </w:tc>
        <w:tc>
          <w:tcPr>
            <w:tcW w:type="dxa" w:w="231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7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67,377</w:t>
            </w:r>
          </w:p>
        </w:tc>
        <w:tc>
          <w:tcPr>
            <w:tcW w:type="dxa" w:w="298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19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0.21</w:t>
            </w:r>
          </w:p>
        </w:tc>
        <w:tc>
          <w:tcPr>
            <w:tcW w:type="dxa" w:w="55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1.54 </w:t>
            </w:r>
          </w:p>
        </w:tc>
      </w:tr>
      <w:tr>
        <w:trPr>
          <w:trHeight w:hRule="exact" w:val="228"/>
        </w:trPr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Djibouti</w:t>
            </w:r>
          </w:p>
        </w:tc>
        <w:tc>
          <w:tcPr>
            <w:tcW w:type="dxa" w:w="23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7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48,116</w:t>
            </w:r>
          </w:p>
        </w:tc>
        <w:tc>
          <w:tcPr>
            <w:tcW w:type="dxa" w:w="29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9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0.15</w:t>
            </w:r>
          </w:p>
        </w:tc>
        <w:tc>
          <w:tcPr>
            <w:tcW w:type="dxa" w:w="5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0.26 </w:t>
            </w:r>
          </w:p>
        </w:tc>
      </w:tr>
      <w:tr>
        <w:trPr>
          <w:trHeight w:hRule="exact" w:val="240"/>
        </w:trPr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Dominica</w:t>
            </w:r>
          </w:p>
        </w:tc>
        <w:tc>
          <w:tcPr>
            <w:tcW w:type="dxa" w:w="23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7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66,729</w:t>
            </w:r>
          </w:p>
        </w:tc>
        <w:tc>
          <w:tcPr>
            <w:tcW w:type="dxa" w:w="29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19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0.21</w:t>
            </w:r>
          </w:p>
        </w:tc>
        <w:tc>
          <w:tcPr>
            <w:tcW w:type="dxa" w:w="5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0.14 </w:t>
            </w:r>
          </w:p>
        </w:tc>
      </w:tr>
      <w:tr>
        <w:trPr>
          <w:trHeight w:hRule="exact" w:val="240"/>
        </w:trPr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Eritrea</w:t>
            </w:r>
          </w:p>
        </w:tc>
        <w:tc>
          <w:tcPr>
            <w:tcW w:type="dxa" w:w="23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7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46,636</w:t>
            </w:r>
          </w:p>
        </w:tc>
        <w:tc>
          <w:tcPr>
            <w:tcW w:type="dxa" w:w="29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19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0.15</w:t>
            </w:r>
          </w:p>
        </w:tc>
        <w:tc>
          <w:tcPr>
            <w:tcW w:type="dxa" w:w="5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0.14 </w:t>
            </w:r>
          </w:p>
        </w:tc>
      </w:tr>
      <w:tr>
        <w:trPr>
          <w:trHeight w:hRule="exact" w:val="240"/>
        </w:trPr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Ethiopia</w:t>
            </w:r>
          </w:p>
        </w:tc>
        <w:tc>
          <w:tcPr>
            <w:tcW w:type="dxa" w:w="23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7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60,179</w:t>
            </w:r>
          </w:p>
        </w:tc>
        <w:tc>
          <w:tcPr>
            <w:tcW w:type="dxa" w:w="29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19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0.19</w:t>
            </w:r>
          </w:p>
        </w:tc>
        <w:tc>
          <w:tcPr>
            <w:tcW w:type="dxa" w:w="5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0.70 </w:t>
            </w:r>
          </w:p>
        </w:tc>
      </w:tr>
      <w:tr>
        <w:trPr>
          <w:trHeight w:hRule="exact" w:val="252"/>
        </w:trPr>
        <w:tc>
          <w:tcPr>
            <w:tcW w:type="dxa" w:w="34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Fiji</w:t>
            </w:r>
          </w:p>
        </w:tc>
        <w:tc>
          <w:tcPr>
            <w:tcW w:type="dxa" w:w="23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7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19,809</w:t>
            </w:r>
          </w:p>
        </w:tc>
        <w:tc>
          <w:tcPr>
            <w:tcW w:type="dxa" w:w="298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19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0.06</w:t>
            </w:r>
          </w:p>
        </w:tc>
        <w:tc>
          <w:tcPr>
            <w:tcW w:type="dxa" w:w="5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0.75 </w:t>
            </w:r>
          </w:p>
        </w:tc>
      </w:tr>
      <w:tr>
        <w:trPr>
          <w:trHeight w:hRule="exact" w:val="1308"/>
        </w:trPr>
        <w:tc>
          <w:tcPr>
            <w:tcW w:type="dxa" w:w="34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290"/>
            <w:gridSpan w:val="3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094" w:after="0"/>
              <w:ind w:left="0" w:right="1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IDA Financial Statements: June 30, 2024</w:t>
            </w:r>
          </w:p>
        </w:tc>
        <w:tc>
          <w:tcPr>
            <w:tcW w:type="dxa" w:w="5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094" w:after="0"/>
              <w:ind w:left="0" w:right="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77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696" w:right="1338" w:bottom="2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74"/>
        <w:ind w:left="0" w:right="0"/>
      </w:pPr>
    </w:p>
    <w:p>
      <w:pPr>
        <w:autoSpaceDN w:val="0"/>
        <w:autoSpaceDE w:val="0"/>
        <w:widowControl/>
        <w:spacing w:line="298" w:lineRule="exact" w:before="16" w:after="0"/>
        <w:ind w:left="1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STATEMENT OF VOTING POWER AND SUBSCRIPTIONS AND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CONTRIBUTIONS </w:t>
      </w:r>
      <w:r>
        <w:br/>
      </w:r>
      <w:r>
        <w:rPr>
          <w:rFonts w:ascii="Arial" w:hAnsi="Arial" w:eastAsia="Arial"/>
          <w:b w:val="0"/>
          <w:i/>
          <w:color w:val="000000"/>
          <w:sz w:val="20"/>
        </w:rPr>
        <w:t>June 30, 2024</w:t>
      </w:r>
    </w:p>
    <w:p>
      <w:pPr>
        <w:autoSpaceDN w:val="0"/>
        <w:autoSpaceDE w:val="0"/>
        <w:widowControl/>
        <w:spacing w:line="180" w:lineRule="exact" w:before="278" w:after="18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Expressed in millions US Dollars except vote data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57"/>
        <w:gridCol w:w="3157"/>
        <w:gridCol w:w="3157"/>
      </w:tblGrid>
      <w:tr>
        <w:trPr>
          <w:trHeight w:hRule="exact" w:val="526"/>
        </w:trPr>
        <w:tc>
          <w:tcPr>
            <w:tcW w:type="dxa" w:w="3460"/>
            <w:tcBorders>
              <w:top w:sz="8.0" w:val="single" w:color="#000000"/>
              <w:end w:sz="24.0" w:val="single" w:color="#FFFFFF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40" w:after="0"/>
              <w:ind w:left="6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Member </w:t>
            </w:r>
            <w:r>
              <w:rPr>
                <w:w w:val="103.99999618530273"/>
                <w:rFonts w:ascii="Arial" w:hAnsi="Arial" w:eastAsia="Arial"/>
                <w:b w:val="0"/>
                <w:i/>
                <w:color w:val="000000"/>
                <w:sz w:val="10"/>
              </w:rPr>
              <w:t>a, c</w:t>
            </w:r>
          </w:p>
        </w:tc>
        <w:tc>
          <w:tcPr>
            <w:tcW w:type="dxa" w:w="1636"/>
            <w:tcBorders>
              <w:start w:sz="24.0" w:val="single" w:color="#FFFFFF"/>
              <w:top w:sz="8.0" w:val="single" w:color="#000000"/>
              <w:end w:sz="24.0" w:val="single" w:color="#FFFFFF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Number of votes</w:t>
            </w:r>
          </w:p>
        </w:tc>
        <w:tc>
          <w:tcPr>
            <w:tcW w:type="dxa" w:w="4224"/>
            <w:tcBorders>
              <w:start w:sz="24.0" w:val="single" w:color="#FFFFFF"/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83.99999999999977" w:type="dxa"/>
            </w:tblPr>
            <w:tblGrid>
              <w:gridCol w:w="2112"/>
              <w:gridCol w:w="2112"/>
            </w:tblGrid>
            <w:tr>
              <w:trPr>
                <w:trHeight w:hRule="exact" w:val="428"/>
              </w:trPr>
              <w:tc>
                <w:tcPr>
                  <w:tcW w:type="dxa" w:w="1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2" w:lineRule="exact" w:before="24" w:after="0"/>
                    <w:ind w:left="0" w:right="288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16"/>
                    </w:rPr>
                    <w:t xml:space="preserve">Percentage of total </w:t>
                  </w: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16"/>
                    </w:rPr>
                    <w:t>votes</w:t>
                  </w:r>
                </w:p>
              </w:tc>
              <w:tc>
                <w:tcPr>
                  <w:tcW w:type="dxa" w:w="2180"/>
                  <w:tcBorders/>
                  <w:shd w:fill="ffff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2" w:lineRule="exact" w:before="24" w:after="0"/>
                    <w:ind w:left="288" w:right="0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16"/>
                    </w:rPr>
                    <w:t xml:space="preserve">Subscriptions and </w:t>
                  </w:r>
                  <w:r>
                    <w:br/>
                  </w: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16"/>
                    </w:rPr>
                    <w:t xml:space="preserve">contributions committed </w:t>
                  </w:r>
                  <w:r>
                    <w:rPr>
                      <w:w w:val="103.99999618530273"/>
                      <w:rFonts w:ascii="Arial" w:hAnsi="Arial" w:eastAsia="Arial"/>
                      <w:b w:val="0"/>
                      <w:i/>
                      <w:color w:val="000000"/>
                      <w:sz w:val="10"/>
                    </w:rPr>
                    <w:t>b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79"/>
        <w:gridCol w:w="1579"/>
        <w:gridCol w:w="1579"/>
        <w:gridCol w:w="1579"/>
        <w:gridCol w:w="1579"/>
        <w:gridCol w:w="1579"/>
      </w:tblGrid>
      <w:tr>
        <w:trPr>
          <w:trHeight w:hRule="exact" w:val="248"/>
        </w:trPr>
        <w:tc>
          <w:tcPr>
            <w:tcW w:type="dxa" w:w="44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Gambia, The</w:t>
            </w:r>
          </w:p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55,208</w:t>
            </w:r>
          </w:p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6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0.17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%</w:t>
            </w:r>
          </w:p>
        </w:tc>
        <w:tc>
          <w:tcPr>
            <w:tcW w:type="dxa" w:w="900"/>
            <w:vMerge w:val="restart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29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0.42 </w:t>
            </w:r>
          </w:p>
        </w:tc>
      </w:tr>
      <w:tr>
        <w:trPr>
          <w:trHeight w:hRule="exact" w:val="260"/>
        </w:trPr>
        <w:tc>
          <w:tcPr>
            <w:tcW w:type="dxa" w:w="44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Ghana</w:t>
            </w:r>
          </w:p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86,677</w:t>
            </w:r>
          </w:p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0.27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129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3.09 </w:t>
            </w:r>
          </w:p>
        </w:tc>
      </w:tr>
      <w:tr>
        <w:trPr>
          <w:trHeight w:hRule="exact" w:val="260"/>
        </w:trPr>
        <w:tc>
          <w:tcPr>
            <w:tcW w:type="dxa" w:w="44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Grenada</w:t>
            </w:r>
          </w:p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29,027</w:t>
            </w:r>
          </w:p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0.09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129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0.14 </w:t>
            </w:r>
          </w:p>
        </w:tc>
      </w:tr>
      <w:tr>
        <w:trPr>
          <w:trHeight w:hRule="exact" w:val="260"/>
        </w:trPr>
        <w:tc>
          <w:tcPr>
            <w:tcW w:type="dxa" w:w="44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Guinea</w:t>
            </w:r>
          </w:p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37,287</w:t>
            </w:r>
          </w:p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0.12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129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1.33 </w:t>
            </w:r>
          </w:p>
        </w:tc>
      </w:tr>
      <w:tr>
        <w:trPr>
          <w:trHeight w:hRule="exact" w:val="246"/>
        </w:trPr>
        <w:tc>
          <w:tcPr>
            <w:tcW w:type="dxa" w:w="44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Guinea-Bissau</w:t>
            </w:r>
          </w:p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44,500</w:t>
            </w:r>
          </w:p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0.14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129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0.22 </w:t>
            </w:r>
          </w:p>
        </w:tc>
      </w:tr>
      <w:tr>
        <w:trPr>
          <w:trHeight w:hRule="exact" w:val="254"/>
        </w:trPr>
        <w:tc>
          <w:tcPr>
            <w:tcW w:type="dxa" w:w="44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Guyana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83,979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0.26</w:t>
            </w:r>
          </w:p>
        </w:tc>
        <w:tc>
          <w:tcPr>
            <w:tcW w:type="dxa" w:w="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2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1.29 </w:t>
            </w:r>
          </w:p>
        </w:tc>
      </w:tr>
      <w:tr>
        <w:trPr>
          <w:trHeight w:hRule="exact" w:val="260"/>
        </w:trPr>
        <w:tc>
          <w:tcPr>
            <w:tcW w:type="dxa" w:w="44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Haiti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54,638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0.17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12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1.11 </w:t>
            </w:r>
          </w:p>
        </w:tc>
      </w:tr>
      <w:tr>
        <w:trPr>
          <w:trHeight w:hRule="exact" w:val="260"/>
        </w:trPr>
        <w:tc>
          <w:tcPr>
            <w:tcW w:type="dxa" w:w="44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Honduras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59,206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0.19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12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0.44 </w:t>
            </w:r>
          </w:p>
        </w:tc>
      </w:tr>
      <w:tr>
        <w:trPr>
          <w:trHeight w:hRule="exact" w:val="240"/>
        </w:trPr>
        <w:tc>
          <w:tcPr>
            <w:tcW w:type="dxa" w:w="44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Kenya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87,732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0.28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12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2.40 </w:t>
            </w:r>
          </w:p>
        </w:tc>
      </w:tr>
      <w:tr>
        <w:trPr>
          <w:trHeight w:hRule="exact" w:val="262"/>
        </w:trPr>
        <w:tc>
          <w:tcPr>
            <w:tcW w:type="dxa" w:w="44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Kiribati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43,592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0.14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12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0.10 </w:t>
            </w:r>
          </w:p>
        </w:tc>
      </w:tr>
      <w:tr>
        <w:trPr>
          <w:trHeight w:hRule="exact" w:val="258"/>
        </w:trPr>
        <w:tc>
          <w:tcPr>
            <w:tcW w:type="dxa" w:w="44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Kosovo</w:t>
            </w:r>
          </w:p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77,778</w:t>
            </w:r>
          </w:p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0.24</w:t>
            </w:r>
          </w:p>
        </w:tc>
        <w:tc>
          <w:tcPr>
            <w:tcW w:type="dxa" w:w="900"/>
            <w:vMerge w:val="restart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29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0.91 </w:t>
            </w:r>
          </w:p>
        </w:tc>
      </w:tr>
      <w:tr>
        <w:trPr>
          <w:trHeight w:hRule="exact" w:val="260"/>
        </w:trPr>
        <w:tc>
          <w:tcPr>
            <w:tcW w:type="dxa" w:w="44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Kyrgyz Republic</w:t>
            </w:r>
          </w:p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64,522</w:t>
            </w:r>
          </w:p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0.20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129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0.56 </w:t>
            </w:r>
          </w:p>
        </w:tc>
      </w:tr>
      <w:tr>
        <w:trPr>
          <w:trHeight w:hRule="exact" w:val="240"/>
        </w:trPr>
        <w:tc>
          <w:tcPr>
            <w:tcW w:type="dxa" w:w="44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Lao People'S Democratic Republic</w:t>
            </w:r>
          </w:p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57,255</w:t>
            </w:r>
          </w:p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0.18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129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0.73 </w:t>
            </w:r>
          </w:p>
        </w:tc>
      </w:tr>
      <w:tr>
        <w:trPr>
          <w:trHeight w:hRule="exact" w:val="260"/>
        </w:trPr>
        <w:tc>
          <w:tcPr>
            <w:tcW w:type="dxa" w:w="44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Lesotho</w:t>
            </w:r>
          </w:p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57,106</w:t>
            </w:r>
          </w:p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0.18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129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0.23 </w:t>
            </w:r>
          </w:p>
        </w:tc>
      </w:tr>
      <w:tr>
        <w:trPr>
          <w:trHeight w:hRule="exact" w:val="258"/>
        </w:trPr>
        <w:tc>
          <w:tcPr>
            <w:tcW w:type="dxa" w:w="44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Liberia</w:t>
            </w:r>
          </w:p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52,038</w:t>
            </w:r>
          </w:p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0.16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129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1.12 </w:t>
            </w:r>
          </w:p>
        </w:tc>
      </w:tr>
      <w:tr>
        <w:trPr>
          <w:trHeight w:hRule="exact" w:val="262"/>
        </w:trPr>
        <w:tc>
          <w:tcPr>
            <w:tcW w:type="dxa" w:w="44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Madagascar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6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70,583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6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0.22</w:t>
            </w:r>
          </w:p>
        </w:tc>
        <w:tc>
          <w:tcPr>
            <w:tcW w:type="dxa" w:w="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2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1.38 </w:t>
            </w:r>
          </w:p>
        </w:tc>
      </w:tr>
      <w:tr>
        <w:trPr>
          <w:trHeight w:hRule="exact" w:val="240"/>
        </w:trPr>
        <w:tc>
          <w:tcPr>
            <w:tcW w:type="dxa" w:w="44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Malawi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58,641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0.18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12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0.97 </w:t>
            </w:r>
          </w:p>
        </w:tc>
      </w:tr>
      <w:tr>
        <w:trPr>
          <w:trHeight w:hRule="exact" w:val="260"/>
        </w:trPr>
        <w:tc>
          <w:tcPr>
            <w:tcW w:type="dxa" w:w="44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Maldives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62,822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0.20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12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0.05 </w:t>
            </w:r>
          </w:p>
        </w:tc>
      </w:tr>
      <w:tr>
        <w:trPr>
          <w:trHeight w:hRule="exact" w:val="260"/>
        </w:trPr>
        <w:tc>
          <w:tcPr>
            <w:tcW w:type="dxa" w:w="44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Mali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62,445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0.20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12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1.35 </w:t>
            </w:r>
          </w:p>
        </w:tc>
      </w:tr>
      <w:tr>
        <w:trPr>
          <w:trHeight w:hRule="exact" w:val="252"/>
        </w:trPr>
        <w:tc>
          <w:tcPr>
            <w:tcW w:type="dxa" w:w="44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Marshall Islands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12,654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0.04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12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0.01 </w:t>
            </w:r>
          </w:p>
        </w:tc>
      </w:tr>
      <w:tr>
        <w:trPr>
          <w:trHeight w:hRule="exact" w:val="248"/>
        </w:trPr>
        <w:tc>
          <w:tcPr>
            <w:tcW w:type="dxa" w:w="44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Mauritania</w:t>
            </w:r>
          </w:p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60,555</w:t>
            </w:r>
          </w:p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0.19</w:t>
            </w:r>
          </w:p>
        </w:tc>
        <w:tc>
          <w:tcPr>
            <w:tcW w:type="dxa" w:w="900"/>
            <w:vMerge w:val="restart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29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0.79 </w:t>
            </w:r>
          </w:p>
        </w:tc>
      </w:tr>
      <w:tr>
        <w:trPr>
          <w:trHeight w:hRule="exact" w:val="260"/>
        </w:trPr>
        <w:tc>
          <w:tcPr>
            <w:tcW w:type="dxa" w:w="44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Micronesia, Federated States Of</w:t>
            </w:r>
          </w:p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26,189</w:t>
            </w:r>
          </w:p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0.08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129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0.03 </w:t>
            </w:r>
          </w:p>
        </w:tc>
      </w:tr>
      <w:tr>
        <w:trPr>
          <w:trHeight w:hRule="exact" w:val="260"/>
        </w:trPr>
        <w:tc>
          <w:tcPr>
            <w:tcW w:type="dxa" w:w="44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Mozambique</w:t>
            </w:r>
          </w:p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73,310</w:t>
            </w:r>
          </w:p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0.23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129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2.10 </w:t>
            </w:r>
          </w:p>
        </w:tc>
      </w:tr>
      <w:tr>
        <w:trPr>
          <w:trHeight w:hRule="exact" w:val="260"/>
        </w:trPr>
        <w:tc>
          <w:tcPr>
            <w:tcW w:type="dxa" w:w="44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Myanmar</w:t>
            </w:r>
          </w:p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82,096</w:t>
            </w:r>
          </w:p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0.26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129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2.56 </w:t>
            </w:r>
          </w:p>
        </w:tc>
      </w:tr>
      <w:tr>
        <w:trPr>
          <w:trHeight w:hRule="exact" w:val="248"/>
        </w:trPr>
        <w:tc>
          <w:tcPr>
            <w:tcW w:type="dxa" w:w="44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Nepal</w:t>
            </w:r>
          </w:p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54,710</w:t>
            </w:r>
          </w:p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0.17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129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0.72 </w:t>
            </w:r>
          </w:p>
        </w:tc>
      </w:tr>
      <w:tr>
        <w:trPr>
          <w:trHeight w:hRule="exact" w:val="252"/>
        </w:trPr>
        <w:tc>
          <w:tcPr>
            <w:tcW w:type="dxa" w:w="44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Nicaragua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6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71,347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6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0.22</w:t>
            </w:r>
          </w:p>
        </w:tc>
        <w:tc>
          <w:tcPr>
            <w:tcW w:type="dxa" w:w="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2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0.44 </w:t>
            </w:r>
          </w:p>
        </w:tc>
      </w:tr>
      <w:tr>
        <w:trPr>
          <w:trHeight w:hRule="exact" w:val="260"/>
        </w:trPr>
        <w:tc>
          <w:tcPr>
            <w:tcW w:type="dxa" w:w="44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Niger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52,210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0.16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12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0.76 </w:t>
            </w:r>
          </w:p>
        </w:tc>
      </w:tr>
      <w:tr>
        <w:trPr>
          <w:trHeight w:hRule="exact" w:val="260"/>
        </w:trPr>
        <w:tc>
          <w:tcPr>
            <w:tcW w:type="dxa" w:w="44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Nigeria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2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137,436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0.43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12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60.49 </w:t>
            </w:r>
          </w:p>
        </w:tc>
      </w:tr>
      <w:tr>
        <w:trPr>
          <w:trHeight w:hRule="exact" w:val="240"/>
        </w:trPr>
        <w:tc>
          <w:tcPr>
            <w:tcW w:type="dxa" w:w="44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Pakistan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2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277,566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0.87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12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105.85 </w:t>
            </w:r>
          </w:p>
        </w:tc>
      </w:tr>
      <w:tr>
        <w:trPr>
          <w:trHeight w:hRule="exact" w:val="262"/>
        </w:trPr>
        <w:tc>
          <w:tcPr>
            <w:tcW w:type="dxa" w:w="44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Papua New Guinea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67,754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0.21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12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1.25 </w:t>
            </w:r>
          </w:p>
        </w:tc>
      </w:tr>
      <w:tr>
        <w:trPr>
          <w:trHeight w:hRule="exact" w:val="258"/>
        </w:trPr>
        <w:tc>
          <w:tcPr>
            <w:tcW w:type="dxa" w:w="44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Rwanda</w:t>
            </w:r>
          </w:p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52,038</w:t>
            </w:r>
          </w:p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0.16</w:t>
            </w:r>
          </w:p>
        </w:tc>
        <w:tc>
          <w:tcPr>
            <w:tcW w:type="dxa" w:w="900"/>
            <w:vMerge w:val="restart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29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1.12 </w:t>
            </w:r>
          </w:p>
        </w:tc>
      </w:tr>
      <w:tr>
        <w:trPr>
          <w:trHeight w:hRule="exact" w:val="260"/>
        </w:trPr>
        <w:tc>
          <w:tcPr>
            <w:tcW w:type="dxa" w:w="44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St. Lucia</w:t>
            </w:r>
          </w:p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30,532</w:t>
            </w:r>
          </w:p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0.10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129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0.23 </w:t>
            </w:r>
          </w:p>
        </w:tc>
      </w:tr>
      <w:tr>
        <w:trPr>
          <w:trHeight w:hRule="exact" w:val="240"/>
        </w:trPr>
        <w:tc>
          <w:tcPr>
            <w:tcW w:type="dxa" w:w="44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St. Vincent And The Grenadines</w:t>
            </w:r>
          </w:p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49,929</w:t>
            </w:r>
          </w:p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0.16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129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0.12 </w:t>
            </w:r>
          </w:p>
        </w:tc>
      </w:tr>
      <w:tr>
        <w:trPr>
          <w:trHeight w:hRule="exact" w:val="260"/>
        </w:trPr>
        <w:tc>
          <w:tcPr>
            <w:tcW w:type="dxa" w:w="44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Samoa</w:t>
            </w:r>
          </w:p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43,901</w:t>
            </w:r>
          </w:p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0.14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129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0.14 </w:t>
            </w:r>
          </w:p>
        </w:tc>
      </w:tr>
      <w:tr>
        <w:trPr>
          <w:trHeight w:hRule="exact" w:val="258"/>
        </w:trPr>
        <w:tc>
          <w:tcPr>
            <w:tcW w:type="dxa" w:w="4410"/>
            <w:gridSpan w:val="2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Sao Tome And Principe</w:t>
            </w:r>
          </w:p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49,519</w:t>
            </w:r>
          </w:p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0.16</w:t>
            </w:r>
          </w:p>
        </w:tc>
        <w:tc>
          <w:tcPr>
            <w:tcW w:type="dxa" w:w="1579"/>
            <w:vMerge/>
            <w:tcBorders/>
          </w:tcPr>
          <w:p/>
        </w:tc>
        <w:tc>
          <w:tcPr>
            <w:tcW w:type="dxa" w:w="129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0.12 </w:t>
            </w:r>
          </w:p>
        </w:tc>
      </w:tr>
      <w:tr>
        <w:trPr>
          <w:trHeight w:hRule="exact" w:val="302"/>
        </w:trPr>
        <w:tc>
          <w:tcPr>
            <w:tcW w:type="dxa" w:w="44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Senegal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84,615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0.27</w:t>
            </w:r>
          </w:p>
        </w:tc>
        <w:tc>
          <w:tcPr>
            <w:tcW w:type="dxa" w:w="90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2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2.69 </w:t>
            </w:r>
          </w:p>
        </w:tc>
      </w:tr>
      <w:tr>
        <w:trPr>
          <w:trHeight w:hRule="exact" w:val="280"/>
        </w:trPr>
        <w:tc>
          <w:tcPr>
            <w:tcW w:type="dxa" w:w="44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Sierra Leone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8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63,638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8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0.20</w:t>
            </w:r>
          </w:p>
        </w:tc>
        <w:tc>
          <w:tcPr>
            <w:tcW w:type="dxa" w:w="1579"/>
            <w:vMerge/>
            <w:tcBorders>
              <w:bottom w:sz="8.0" w:val="single" w:color="#000000"/>
            </w:tcBorders>
          </w:tcPr>
          <w:p/>
        </w:tc>
        <w:tc>
          <w:tcPr>
            <w:tcW w:type="dxa" w:w="12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1.02 </w:t>
            </w:r>
          </w:p>
        </w:tc>
      </w:tr>
      <w:tr>
        <w:trPr>
          <w:trHeight w:hRule="exact" w:val="280"/>
        </w:trPr>
        <w:tc>
          <w:tcPr>
            <w:tcW w:type="dxa" w:w="44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Solomon Islands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43,901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0.14</w:t>
            </w:r>
          </w:p>
        </w:tc>
        <w:tc>
          <w:tcPr>
            <w:tcW w:type="dxa" w:w="1579"/>
            <w:vMerge/>
            <w:tcBorders>
              <w:bottom w:sz="8.0" w:val="single" w:color="#000000"/>
            </w:tcBorders>
          </w:tcPr>
          <w:p/>
        </w:tc>
        <w:tc>
          <w:tcPr>
            <w:tcW w:type="dxa" w:w="12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0.13 </w:t>
            </w:r>
          </w:p>
        </w:tc>
      </w:tr>
      <w:tr>
        <w:trPr>
          <w:trHeight w:hRule="exact" w:val="300"/>
        </w:trPr>
        <w:tc>
          <w:tcPr>
            <w:tcW w:type="dxa" w:w="44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Somalia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8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19,165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8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0.06</w:t>
            </w:r>
          </w:p>
        </w:tc>
        <w:tc>
          <w:tcPr>
            <w:tcW w:type="dxa" w:w="1579"/>
            <w:vMerge/>
            <w:tcBorders>
              <w:bottom w:sz="8.0" w:val="single" w:color="#000000"/>
            </w:tcBorders>
          </w:tcPr>
          <w:p/>
        </w:tc>
        <w:tc>
          <w:tcPr>
            <w:tcW w:type="dxa" w:w="12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0.97 </w:t>
            </w:r>
          </w:p>
        </w:tc>
      </w:tr>
      <w:tr>
        <w:trPr>
          <w:trHeight w:hRule="exact" w:val="262"/>
        </w:trPr>
        <w:tc>
          <w:tcPr>
            <w:tcW w:type="dxa" w:w="441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South Sudan</w:t>
            </w:r>
          </w:p>
        </w:tc>
        <w:tc>
          <w:tcPr>
            <w:tcW w:type="dxa" w:w="13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52,447</w:t>
            </w:r>
          </w:p>
        </w:tc>
        <w:tc>
          <w:tcPr>
            <w:tcW w:type="dxa" w:w="13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0.16</w:t>
            </w:r>
          </w:p>
        </w:tc>
        <w:tc>
          <w:tcPr>
            <w:tcW w:type="dxa" w:w="1579"/>
            <w:vMerge/>
            <w:tcBorders>
              <w:bottom w:sz="8.0" w:val="single" w:color="#000000"/>
            </w:tcBorders>
          </w:tcPr>
          <w:p/>
        </w:tc>
        <w:tc>
          <w:tcPr>
            <w:tcW w:type="dxa" w:w="12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0.45 </w:t>
            </w:r>
          </w:p>
        </w:tc>
      </w:tr>
      <w:tr>
        <w:trPr>
          <w:trHeight w:hRule="exact" w:val="1758"/>
        </w:trPr>
        <w:tc>
          <w:tcPr>
            <w:tcW w:type="dxa" w:w="51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54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78</w:t>
            </w:r>
          </w:p>
        </w:tc>
        <w:tc>
          <w:tcPr>
            <w:tcW w:type="dxa" w:w="39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544" w:after="0"/>
              <w:ind w:left="25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IDA Financial Statements: June 30, 2024</w:t>
            </w:r>
          </w:p>
        </w:tc>
        <w:tc>
          <w:tcPr>
            <w:tcW w:type="dxa" w:w="13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696" w:right="1338" w:bottom="2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74"/>
        <w:ind w:left="0" w:right="0"/>
      </w:pPr>
    </w:p>
    <w:p>
      <w:pPr>
        <w:autoSpaceDN w:val="0"/>
        <w:autoSpaceDE w:val="0"/>
        <w:widowControl/>
        <w:spacing w:line="298" w:lineRule="exact" w:before="16" w:after="0"/>
        <w:ind w:left="1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STATEMENT OF VOTING POWER AND SUBSCRIPTIONS AND </w:t>
      </w:r>
      <w:r>
        <w:rPr>
          <w:rFonts w:ascii="ArialMT" w:hAnsi="ArialMT" w:eastAsia="ArialMT"/>
          <w:b w:val="0"/>
          <w:i w:val="0"/>
          <w:color w:val="000000"/>
          <w:sz w:val="28"/>
        </w:rPr>
        <w:t xml:space="preserve">CONTRIBUTIONS </w:t>
      </w:r>
      <w:r>
        <w:br/>
      </w:r>
      <w:r>
        <w:rPr>
          <w:rFonts w:ascii="Arial" w:hAnsi="Arial" w:eastAsia="Arial"/>
          <w:b w:val="0"/>
          <w:i/>
          <w:color w:val="000000"/>
          <w:sz w:val="20"/>
        </w:rPr>
        <w:t>June 30, 2024</w:t>
      </w:r>
    </w:p>
    <w:p>
      <w:pPr>
        <w:autoSpaceDN w:val="0"/>
        <w:autoSpaceDE w:val="0"/>
        <w:widowControl/>
        <w:spacing w:line="180" w:lineRule="exact" w:before="278" w:after="18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Expressed in millions US Dollars except vote data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57"/>
        <w:gridCol w:w="3157"/>
        <w:gridCol w:w="3157"/>
      </w:tblGrid>
      <w:tr>
        <w:trPr>
          <w:trHeight w:hRule="exact" w:val="526"/>
        </w:trPr>
        <w:tc>
          <w:tcPr>
            <w:tcW w:type="dxa" w:w="3476"/>
            <w:tcBorders>
              <w:top w:sz="8.0" w:val="single" w:color="#000000"/>
              <w:end w:sz="24.0" w:val="single" w:color="#FFFFFF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40" w:after="0"/>
              <w:ind w:left="6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Member </w:t>
            </w:r>
            <w:r>
              <w:rPr>
                <w:w w:val="103.99999618530273"/>
                <w:rFonts w:ascii="Arial" w:hAnsi="Arial" w:eastAsia="Arial"/>
                <w:b w:val="0"/>
                <w:i/>
                <w:color w:val="000000"/>
                <w:sz w:val="10"/>
              </w:rPr>
              <w:t>a, c</w:t>
            </w:r>
          </w:p>
        </w:tc>
        <w:tc>
          <w:tcPr>
            <w:tcW w:type="dxa" w:w="1724"/>
            <w:tcBorders>
              <w:start w:sz="24.0" w:val="single" w:color="#FFFFFF"/>
              <w:top w:sz="8.0" w:val="single" w:color="#000000"/>
              <w:end w:sz="24.0" w:val="single" w:color="#FFFFFF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Number of votes</w:t>
            </w:r>
          </w:p>
        </w:tc>
        <w:tc>
          <w:tcPr>
            <w:tcW w:type="dxa" w:w="4150"/>
            <w:tcBorders>
              <w:start w:sz="24.0" w:val="single" w:color="#FFFFFF"/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0.0" w:type="dxa"/>
            </w:tblPr>
            <w:tblGrid>
              <w:gridCol w:w="2075"/>
              <w:gridCol w:w="2075"/>
            </w:tblGrid>
            <w:tr>
              <w:trPr>
                <w:trHeight w:hRule="exact" w:val="428"/>
              </w:trPr>
              <w:tc>
                <w:tcPr>
                  <w:tcW w:type="dxa" w:w="1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2" w:lineRule="exact" w:before="24" w:after="0"/>
                    <w:ind w:left="0" w:right="144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16"/>
                    </w:rPr>
                    <w:t xml:space="preserve">Percentage of total </w:t>
                  </w: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16"/>
                    </w:rPr>
                    <w:t>votes</w:t>
                  </w:r>
                </w:p>
              </w:tc>
              <w:tc>
                <w:tcPr>
                  <w:tcW w:type="dxa" w:w="2180"/>
                  <w:tcBorders/>
                  <w:shd w:fill="ffff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2" w:lineRule="exact" w:before="24" w:after="0"/>
                    <w:ind w:left="288" w:right="0" w:firstLine="0"/>
                    <w:jc w:val="center"/>
                  </w:pP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16"/>
                    </w:rPr>
                    <w:t xml:space="preserve">Subscriptions and </w:t>
                  </w:r>
                  <w:r>
                    <w:br/>
                  </w:r>
                  <w:r>
                    <w:rPr>
                      <w:rFonts w:ascii="Arial" w:hAnsi="Arial" w:eastAsia="Arial"/>
                      <w:b w:val="0"/>
                      <w:i/>
                      <w:color w:val="000000"/>
                      <w:sz w:val="16"/>
                    </w:rPr>
                    <w:t xml:space="preserve">contributions committed </w:t>
                  </w:r>
                  <w:r>
                    <w:rPr>
                      <w:w w:val="103.99999618530273"/>
                      <w:rFonts w:ascii="Arial" w:hAnsi="Arial" w:eastAsia="Arial"/>
                      <w:b w:val="0"/>
                      <w:i/>
                      <w:color w:val="000000"/>
                      <w:sz w:val="10"/>
                    </w:rPr>
                    <w:t>b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94"/>
        <w:gridCol w:w="1894"/>
        <w:gridCol w:w="1894"/>
        <w:gridCol w:w="1894"/>
        <w:gridCol w:w="1894"/>
      </w:tblGrid>
      <w:tr>
        <w:trPr>
          <w:trHeight w:hRule="exact" w:val="268"/>
        </w:trPr>
        <w:tc>
          <w:tcPr>
            <w:tcW w:type="dxa" w:w="3494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Sri Lanka</w:t>
            </w:r>
          </w:p>
        </w:tc>
        <w:tc>
          <w:tcPr>
            <w:tcW w:type="dxa" w:w="2236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6" w:after="0"/>
              <w:ind w:left="0" w:right="6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114,721</w:t>
            </w:r>
          </w:p>
        </w:tc>
        <w:tc>
          <w:tcPr>
            <w:tcW w:type="dxa" w:w="13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6" w:after="0"/>
              <w:ind w:left="0" w:right="6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0.36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%</w:t>
            </w:r>
          </w:p>
        </w:tc>
        <w:tc>
          <w:tcPr>
            <w:tcW w:type="dxa" w:w="880"/>
            <w:vMerge w:val="restart"/>
            <w:tcBorders/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6" w:after="0"/>
              <w:ind w:left="7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4.23 </w:t>
            </w:r>
          </w:p>
        </w:tc>
      </w:tr>
      <w:tr>
        <w:trPr>
          <w:trHeight w:hRule="exact" w:val="260"/>
        </w:trPr>
        <w:tc>
          <w:tcPr>
            <w:tcW w:type="dxa" w:w="3494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Sudan</w:t>
            </w:r>
          </w:p>
        </w:tc>
        <w:tc>
          <w:tcPr>
            <w:tcW w:type="dxa" w:w="2236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6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65,003</w:t>
            </w:r>
          </w:p>
        </w:tc>
        <w:tc>
          <w:tcPr>
            <w:tcW w:type="dxa" w:w="13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2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0.20</w:t>
            </w:r>
          </w:p>
        </w:tc>
        <w:tc>
          <w:tcPr>
            <w:tcW w:type="dxa" w:w="1894"/>
            <w:vMerge/>
            <w:tcBorders/>
          </w:tcPr>
          <w:p/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1.50 </w:t>
            </w:r>
          </w:p>
        </w:tc>
      </w:tr>
      <w:tr>
        <w:trPr>
          <w:trHeight w:hRule="exact" w:val="280"/>
        </w:trPr>
        <w:tc>
          <w:tcPr>
            <w:tcW w:type="dxa" w:w="3494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Syrian Arab Republic</w:t>
            </w:r>
          </w:p>
        </w:tc>
        <w:tc>
          <w:tcPr>
            <w:tcW w:type="dxa" w:w="2236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8" w:after="0"/>
              <w:ind w:left="0" w:right="6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24,077</w:t>
            </w:r>
          </w:p>
        </w:tc>
        <w:tc>
          <w:tcPr>
            <w:tcW w:type="dxa" w:w="13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8" w:after="0"/>
              <w:ind w:left="0" w:right="2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0.08</w:t>
            </w:r>
          </w:p>
        </w:tc>
        <w:tc>
          <w:tcPr>
            <w:tcW w:type="dxa" w:w="1894"/>
            <w:vMerge/>
            <w:tcBorders/>
          </w:tcPr>
          <w:p/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1.20 </w:t>
            </w:r>
          </w:p>
        </w:tc>
      </w:tr>
      <w:tr>
        <w:trPr>
          <w:trHeight w:hRule="exact" w:val="280"/>
        </w:trPr>
        <w:tc>
          <w:tcPr>
            <w:tcW w:type="dxa" w:w="3494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Tajikistan</w:t>
            </w:r>
          </w:p>
        </w:tc>
        <w:tc>
          <w:tcPr>
            <w:tcW w:type="dxa" w:w="2236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0" w:right="6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53,918</w:t>
            </w:r>
          </w:p>
        </w:tc>
        <w:tc>
          <w:tcPr>
            <w:tcW w:type="dxa" w:w="13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0" w:right="2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0.17</w:t>
            </w:r>
          </w:p>
        </w:tc>
        <w:tc>
          <w:tcPr>
            <w:tcW w:type="dxa" w:w="1894"/>
            <w:vMerge/>
            <w:tcBorders/>
          </w:tcPr>
          <w:p/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0.53 </w:t>
            </w:r>
          </w:p>
        </w:tc>
      </w:tr>
      <w:tr>
        <w:trPr>
          <w:trHeight w:hRule="exact" w:val="276"/>
        </w:trPr>
        <w:tc>
          <w:tcPr>
            <w:tcW w:type="dxa" w:w="3494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Tanzania</w:t>
            </w:r>
          </w:p>
        </w:tc>
        <w:tc>
          <w:tcPr>
            <w:tcW w:type="dxa" w:w="2236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8" w:after="0"/>
              <w:ind w:left="0" w:right="6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78,715</w:t>
            </w:r>
          </w:p>
        </w:tc>
        <w:tc>
          <w:tcPr>
            <w:tcW w:type="dxa" w:w="13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8" w:after="0"/>
              <w:ind w:left="0" w:right="2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0.25</w:t>
            </w:r>
          </w:p>
        </w:tc>
        <w:tc>
          <w:tcPr>
            <w:tcW w:type="dxa" w:w="1894"/>
            <w:vMerge/>
            <w:tcBorders/>
          </w:tcPr>
          <w:p/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2.34 </w:t>
            </w:r>
          </w:p>
        </w:tc>
      </w:tr>
      <w:tr>
        <w:trPr>
          <w:trHeight w:hRule="exact" w:val="304"/>
        </w:trPr>
        <w:tc>
          <w:tcPr>
            <w:tcW w:type="dxa" w:w="34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Timor-Leste</w:t>
            </w:r>
          </w:p>
        </w:tc>
        <w:tc>
          <w:tcPr>
            <w:tcW w:type="dxa" w:w="22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8" w:after="0"/>
              <w:ind w:left="0" w:right="6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45,123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8" w:after="0"/>
              <w:ind w:left="0" w:right="2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0.14</w:t>
            </w:r>
          </w:p>
        </w:tc>
        <w:tc>
          <w:tcPr>
            <w:tcW w:type="dxa" w:w="8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0.44 </w:t>
            </w:r>
          </w:p>
        </w:tc>
      </w:tr>
      <w:tr>
        <w:trPr>
          <w:trHeight w:hRule="exact" w:val="280"/>
        </w:trPr>
        <w:tc>
          <w:tcPr>
            <w:tcW w:type="dxa" w:w="34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Togo</w:t>
            </w:r>
          </w:p>
        </w:tc>
        <w:tc>
          <w:tcPr>
            <w:tcW w:type="dxa" w:w="22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8" w:after="0"/>
              <w:ind w:left="0" w:right="6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61,840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8" w:after="0"/>
              <w:ind w:left="0" w:right="2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0.19</w:t>
            </w:r>
          </w:p>
        </w:tc>
        <w:tc>
          <w:tcPr>
            <w:tcW w:type="dxa" w:w="1894"/>
            <w:vMerge/>
            <w:tcBorders/>
          </w:tcPr>
          <w:p/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1.18 </w:t>
            </w:r>
          </w:p>
        </w:tc>
      </w:tr>
      <w:tr>
        <w:trPr>
          <w:trHeight w:hRule="exact" w:val="280"/>
        </w:trPr>
        <w:tc>
          <w:tcPr>
            <w:tcW w:type="dxa" w:w="34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Tonga</w:t>
            </w:r>
          </w:p>
        </w:tc>
        <w:tc>
          <w:tcPr>
            <w:tcW w:type="dxa" w:w="22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0" w:right="6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49,514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0" w:right="2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0.16</w:t>
            </w:r>
          </w:p>
        </w:tc>
        <w:tc>
          <w:tcPr>
            <w:tcW w:type="dxa" w:w="1894"/>
            <w:vMerge/>
            <w:tcBorders/>
          </w:tcPr>
          <w:p/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0.11 </w:t>
            </w:r>
          </w:p>
        </w:tc>
      </w:tr>
      <w:tr>
        <w:trPr>
          <w:trHeight w:hRule="exact" w:val="300"/>
        </w:trPr>
        <w:tc>
          <w:tcPr>
            <w:tcW w:type="dxa" w:w="34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Tuvalu</w:t>
            </w:r>
          </w:p>
        </w:tc>
        <w:tc>
          <w:tcPr>
            <w:tcW w:type="dxa" w:w="22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8" w:after="0"/>
              <w:ind w:left="0" w:right="6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16,615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8" w:after="0"/>
              <w:ind w:left="0" w:right="2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0.05</w:t>
            </w:r>
          </w:p>
        </w:tc>
        <w:tc>
          <w:tcPr>
            <w:tcW w:type="dxa" w:w="1894"/>
            <w:vMerge/>
            <w:tcBorders/>
          </w:tcPr>
          <w:p/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0.03 </w:t>
            </w:r>
          </w:p>
        </w:tc>
      </w:tr>
      <w:tr>
        <w:trPr>
          <w:trHeight w:hRule="exact" w:val="262"/>
        </w:trPr>
        <w:tc>
          <w:tcPr>
            <w:tcW w:type="dxa" w:w="34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Uganda</w:t>
            </w:r>
          </w:p>
        </w:tc>
        <w:tc>
          <w:tcPr>
            <w:tcW w:type="dxa" w:w="22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6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50,392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2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0.16</w:t>
            </w:r>
          </w:p>
        </w:tc>
        <w:tc>
          <w:tcPr>
            <w:tcW w:type="dxa" w:w="1894"/>
            <w:vMerge/>
            <w:tcBorders/>
          </w:tcPr>
          <w:p/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2.31 </w:t>
            </w:r>
          </w:p>
        </w:tc>
      </w:tr>
      <w:tr>
        <w:trPr>
          <w:trHeight w:hRule="exact" w:val="298"/>
        </w:trPr>
        <w:tc>
          <w:tcPr>
            <w:tcW w:type="dxa" w:w="3494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Uzbekistan</w:t>
            </w:r>
          </w:p>
        </w:tc>
        <w:tc>
          <w:tcPr>
            <w:tcW w:type="dxa" w:w="2236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6" w:after="0"/>
              <w:ind w:left="0" w:right="6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73,936</w:t>
            </w:r>
          </w:p>
        </w:tc>
        <w:tc>
          <w:tcPr>
            <w:tcW w:type="dxa" w:w="13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6" w:after="0"/>
              <w:ind w:left="0" w:right="2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0.23</w:t>
            </w:r>
          </w:p>
        </w:tc>
        <w:tc>
          <w:tcPr>
            <w:tcW w:type="dxa" w:w="880"/>
            <w:vMerge w:val="restart"/>
            <w:tcBorders>
              <w:bottom w:sz="8.0" w:val="single" w:color="#000000"/>
            </w:tcBorders>
            <w:shd w:fill="dadada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1.92 </w:t>
            </w:r>
          </w:p>
        </w:tc>
      </w:tr>
      <w:tr>
        <w:trPr>
          <w:trHeight w:hRule="exact" w:val="280"/>
        </w:trPr>
        <w:tc>
          <w:tcPr>
            <w:tcW w:type="dxa" w:w="3494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Vanuatu</w:t>
            </w:r>
          </w:p>
        </w:tc>
        <w:tc>
          <w:tcPr>
            <w:tcW w:type="dxa" w:w="2236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0" w:right="6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50,952</w:t>
            </w:r>
          </w:p>
        </w:tc>
        <w:tc>
          <w:tcPr>
            <w:tcW w:type="dxa" w:w="13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0" w:right="2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0.16</w:t>
            </w:r>
          </w:p>
        </w:tc>
        <w:tc>
          <w:tcPr>
            <w:tcW w:type="dxa" w:w="1894"/>
            <w:vMerge/>
            <w:tcBorders>
              <w:bottom w:sz="8.0" w:val="single" w:color="#000000"/>
            </w:tcBorders>
          </w:tcPr>
          <w:p/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0.31 </w:t>
            </w:r>
          </w:p>
        </w:tc>
      </w:tr>
      <w:tr>
        <w:trPr>
          <w:trHeight w:hRule="exact" w:val="300"/>
        </w:trPr>
        <w:tc>
          <w:tcPr>
            <w:tcW w:type="dxa" w:w="3494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Yemen, Republic Of</w:t>
            </w:r>
          </w:p>
        </w:tc>
        <w:tc>
          <w:tcPr>
            <w:tcW w:type="dxa" w:w="2236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8" w:after="0"/>
              <w:ind w:left="0" w:right="6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78,475</w:t>
            </w:r>
          </w:p>
        </w:tc>
        <w:tc>
          <w:tcPr>
            <w:tcW w:type="dxa" w:w="13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8" w:after="0"/>
              <w:ind w:left="0" w:right="2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0.25</w:t>
            </w:r>
          </w:p>
        </w:tc>
        <w:tc>
          <w:tcPr>
            <w:tcW w:type="dxa" w:w="1894"/>
            <w:vMerge/>
            <w:tcBorders>
              <w:bottom w:sz="8.0" w:val="single" w:color="#000000"/>
            </w:tcBorders>
          </w:tcPr>
          <w:p/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2.24 </w:t>
            </w:r>
          </w:p>
        </w:tc>
      </w:tr>
      <w:tr>
        <w:trPr>
          <w:trHeight w:hRule="exact" w:val="280"/>
        </w:trPr>
        <w:tc>
          <w:tcPr>
            <w:tcW w:type="dxa" w:w="3494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Zambia</w:t>
            </w:r>
          </w:p>
        </w:tc>
        <w:tc>
          <w:tcPr>
            <w:tcW w:type="dxa" w:w="2236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6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98,131</w:t>
            </w:r>
          </w:p>
        </w:tc>
        <w:tc>
          <w:tcPr>
            <w:tcW w:type="dxa" w:w="138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2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0.31</w:t>
            </w:r>
          </w:p>
        </w:tc>
        <w:tc>
          <w:tcPr>
            <w:tcW w:type="dxa" w:w="1894"/>
            <w:vMerge/>
            <w:tcBorders>
              <w:bottom w:sz="8.0" w:val="single" w:color="#000000"/>
            </w:tcBorders>
          </w:tcPr>
          <w:p/>
        </w:tc>
        <w:tc>
          <w:tcPr>
            <w:tcW w:type="dxa" w:w="1360"/>
            <w:tcBorders/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3.68 </w:t>
            </w:r>
          </w:p>
        </w:tc>
      </w:tr>
      <w:tr>
        <w:trPr>
          <w:trHeight w:hRule="exact" w:val="268"/>
        </w:trPr>
        <w:tc>
          <w:tcPr>
            <w:tcW w:type="dxa" w:w="3494"/>
            <w:tcBorders>
              <w:bottom w:sz="8.0" w:val="single" w:color="#000000"/>
            </w:tcBorders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Zimbabwe</w:t>
            </w:r>
          </w:p>
        </w:tc>
        <w:tc>
          <w:tcPr>
            <w:tcW w:type="dxa" w:w="2236"/>
            <w:tcBorders>
              <w:bottom w:sz="8.0" w:val="single" w:color="#000000"/>
            </w:tcBorders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8" w:after="0"/>
              <w:ind w:left="0" w:right="6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118,693</w:t>
            </w:r>
          </w:p>
        </w:tc>
        <w:tc>
          <w:tcPr>
            <w:tcW w:type="dxa" w:w="1380"/>
            <w:tcBorders>
              <w:bottom w:sz="8.0" w:val="single" w:color="#000000"/>
            </w:tcBorders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8" w:after="0"/>
              <w:ind w:left="0" w:right="2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0.37</w:t>
            </w:r>
          </w:p>
        </w:tc>
        <w:tc>
          <w:tcPr>
            <w:tcW w:type="dxa" w:w="1894"/>
            <w:vMerge/>
            <w:tcBorders>
              <w:bottom w:sz="8.0" w:val="single" w:color="#000000"/>
            </w:tcBorders>
          </w:tcPr>
          <w:p/>
        </w:tc>
        <w:tc>
          <w:tcPr>
            <w:tcW w:type="dxa" w:w="1360"/>
            <w:tcBorders>
              <w:bottom w:sz="8.0" w:val="single" w:color="#000000"/>
            </w:tcBorders>
            <w:shd w:fill="dadada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8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6.52 </w:t>
            </w:r>
          </w:p>
        </w:tc>
      </w:tr>
      <w:tr>
        <w:trPr>
          <w:trHeight w:hRule="exact" w:val="284"/>
        </w:trPr>
        <w:tc>
          <w:tcPr>
            <w:tcW w:type="dxa" w:w="349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Total Recipients</w:t>
            </w:r>
          </w:p>
        </w:tc>
        <w:tc>
          <w:tcPr>
            <w:tcW w:type="dxa" w:w="22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0" w:right="6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4,809,040</w:t>
            </w:r>
          </w:p>
        </w:tc>
        <w:tc>
          <w:tcPr>
            <w:tcW w:type="dxa" w:w="13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0" w:right="6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15.12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%</w:t>
            </w:r>
          </w:p>
        </w:tc>
        <w:tc>
          <w:tcPr>
            <w:tcW w:type="dxa" w:w="8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7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3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254 </w:t>
            </w:r>
          </w:p>
        </w:tc>
      </w:tr>
      <w:tr>
        <w:trPr>
          <w:trHeight w:hRule="exact" w:val="550"/>
        </w:trPr>
        <w:tc>
          <w:tcPr>
            <w:tcW w:type="dxa" w:w="349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30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Total All Members </w:t>
            </w:r>
            <w:r>
              <w:rPr>
                <w:w w:val="103.99999618530273"/>
                <w:rFonts w:ascii="Arial" w:hAnsi="Arial" w:eastAsia="Arial"/>
                <w:b/>
                <w:i w:val="0"/>
                <w:color w:val="000000"/>
                <w:sz w:val="10"/>
              </w:rPr>
              <w:t>b</w:t>
            </w:r>
          </w:p>
        </w:tc>
        <w:tc>
          <w:tcPr>
            <w:tcW w:type="dxa" w:w="22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52" w:after="0"/>
              <w:ind w:left="0" w:right="6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31,791,138</w:t>
            </w:r>
          </w:p>
        </w:tc>
        <w:tc>
          <w:tcPr>
            <w:tcW w:type="dxa" w:w="13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52" w:after="0"/>
              <w:ind w:left="0" w:right="6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100.00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%</w:t>
            </w:r>
          </w:p>
        </w:tc>
        <w:tc>
          <w:tcPr>
            <w:tcW w:type="dxa" w:w="8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52" w:after="0"/>
              <w:ind w:left="7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3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5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310,983 </w:t>
            </w:r>
          </w:p>
        </w:tc>
      </w:tr>
      <w:tr>
        <w:trPr>
          <w:trHeight w:hRule="exact" w:val="570"/>
        </w:trPr>
        <w:tc>
          <w:tcPr>
            <w:tcW w:type="dxa" w:w="349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50" w:after="0"/>
              <w:ind w:left="54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Total—June 30, 2023 </w:t>
            </w:r>
            <w:r>
              <w:rPr>
                <w:w w:val="103.99999618530273"/>
                <w:rFonts w:ascii="Arial" w:hAnsi="Arial" w:eastAsia="Arial"/>
                <w:b/>
                <w:i w:val="0"/>
                <w:color w:val="000000"/>
                <w:sz w:val="10"/>
              </w:rPr>
              <w:t>b</w:t>
            </w:r>
          </w:p>
        </w:tc>
        <w:tc>
          <w:tcPr>
            <w:tcW w:type="dxa" w:w="22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72" w:after="0"/>
              <w:ind w:left="0" w:right="6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31,149,851</w:t>
            </w:r>
          </w:p>
        </w:tc>
        <w:tc>
          <w:tcPr>
            <w:tcW w:type="dxa" w:w="13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72" w:after="0"/>
              <w:ind w:left="0" w:right="6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100 %</w:t>
            </w:r>
          </w:p>
        </w:tc>
        <w:tc>
          <w:tcPr>
            <w:tcW w:type="dxa" w:w="8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72" w:after="0"/>
              <w:ind w:left="7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3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7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310,672 </w:t>
            </w:r>
          </w:p>
        </w:tc>
      </w:tr>
    </w:tbl>
    <w:p>
      <w:pPr>
        <w:autoSpaceDN w:val="0"/>
        <w:autoSpaceDE w:val="0"/>
        <w:widowControl/>
        <w:spacing w:line="202" w:lineRule="exact" w:before="4036" w:after="0"/>
        <w:ind w:left="1482" w:right="0" w:firstLine="0"/>
        <w:jc w:val="left"/>
      </w:pPr>
      <w:r>
        <w:rPr>
          <w:rFonts w:ascii="Arial" w:hAnsi="Arial" w:eastAsia="Arial"/>
          <w:b/>
          <w:i/>
          <w:color w:val="000000"/>
          <w:sz w:val="18"/>
        </w:rPr>
        <w:t>The Notes to Financial Statements are an integral part of these Statements.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494.0" w:type="dxa"/>
      </w:tblPr>
      <w:tblGrid>
        <w:gridCol w:w="4736"/>
        <w:gridCol w:w="4736"/>
      </w:tblGrid>
      <w:tr>
        <w:trPr>
          <w:trHeight w:hRule="exact" w:val="7342"/>
        </w:trPr>
        <w:tc>
          <w:tcPr>
            <w:tcW w:type="dxa" w:w="535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108" w:after="0"/>
              <w:ind w:left="0" w:right="23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IDA Financial Statements: June 30, 2024</w:t>
            </w:r>
          </w:p>
        </w:tc>
        <w:tc>
          <w:tcPr>
            <w:tcW w:type="dxa" w:w="5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7108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79</w:t>
            </w:r>
          </w:p>
        </w:tc>
      </w:tr>
    </w:tbl>
    <w:p>
      <w:pPr>
        <w:autoSpaceDN w:val="0"/>
        <w:autoSpaceDE w:val="0"/>
        <w:widowControl/>
        <w:spacing w:line="232" w:lineRule="exact" w:before="0" w:after="0"/>
        <w:ind w:left="62" w:right="2016" w:firstLine="0"/>
        <w:jc w:val="left"/>
      </w:pPr>
      <w:r>
        <w:rPr>
          <w:rFonts w:ascii="Arial" w:hAnsi="Arial" w:eastAsia="Arial"/>
          <w:b/>
          <w:i/>
          <w:color w:val="000000"/>
          <w:sz w:val="16"/>
        </w:rPr>
        <w:t xml:space="preserve">Notes </w:t>
      </w:r>
      <w:r>
        <w:br/>
      </w:r>
      <w:r>
        <w:rPr>
          <w:rFonts w:ascii="Arial" w:hAnsi="Arial" w:eastAsia="Arial"/>
          <w:b w:val="0"/>
          <w:i/>
          <w:color w:val="000000"/>
          <w:sz w:val="16"/>
        </w:rPr>
        <w:t>a. See Notes to Financial Statements—Note A for an explanation of the two categories of membership.</w:t>
      </w:r>
    </w:p>
    <w:p>
      <w:pPr>
        <w:autoSpaceDN w:val="0"/>
        <w:autoSpaceDE w:val="0"/>
        <w:widowControl/>
        <w:spacing w:line="180" w:lineRule="exact" w:before="106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b. May differ from the calculated amounts or sum of individual figures shown due to rounding.</w:t>
      </w:r>
    </w:p>
    <w:p>
      <w:pPr>
        <w:autoSpaceDN w:val="0"/>
        <w:tabs>
          <w:tab w:pos="242" w:val="left"/>
        </w:tabs>
        <w:autoSpaceDE w:val="0"/>
        <w:widowControl/>
        <w:spacing w:line="204" w:lineRule="exact" w:before="56" w:after="0"/>
        <w:ind w:left="62" w:right="144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c. Pursuant to the IDA Voting Rights Framework approved by IDA’s Board effective July 1, 2022, for the purposes of additional </w:t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 xml:space="preserve">subscriptions, IDA’s membership structure was changed from either Part I or Part II to either Non-Recipient or Recipient, driven </w:t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 xml:space="preserve">by their IDA borrowing eligibility (See Notes to Financial Statements—Note A for Members' Subscriptions and Contributions). </w:t>
      </w:r>
      <w:r>
        <w:rPr>
          <w:rFonts w:ascii="Arial" w:hAnsi="Arial" w:eastAsia="Arial"/>
          <w:b w:val="0"/>
          <w:i/>
          <w:color w:val="000000"/>
          <w:sz w:val="16"/>
        </w:rPr>
        <w:t xml:space="preserve">d. If a Non-Recipient member has graduated within the last five replenishments, they are classified as Interstitial Non-Recipient </w:t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>members (See Notes to Financial Statements—Note A for Members' Subscriptions and Contributions).</w:t>
      </w:r>
    </w:p>
    <w:p>
      <w:pPr>
        <w:autoSpaceDN w:val="0"/>
        <w:autoSpaceDE w:val="0"/>
        <w:widowControl/>
        <w:spacing w:line="180" w:lineRule="exact" w:before="60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*  Indicates amounts less than 0.005%.</w:t>
      </w:r>
    </w:p>
    <w:p>
      <w:pPr>
        <w:sectPr>
          <w:pgSz w:w="12240" w:h="15840"/>
          <w:pgMar w:top="696" w:right="1338" w:bottom="2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74"/>
        <w:ind w:left="0" w:right="0"/>
      </w:pPr>
    </w:p>
    <w:p>
      <w:pPr>
        <w:autoSpaceDN w:val="0"/>
        <w:autoSpaceDE w:val="0"/>
        <w:widowControl/>
        <w:spacing w:line="314" w:lineRule="exact" w:before="0" w:after="0"/>
        <w:ind w:left="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8"/>
        </w:rPr>
        <w:t>NOTES TO FINANCIAL STATEMENTS</w:t>
      </w:r>
    </w:p>
    <w:p>
      <w:pPr>
        <w:autoSpaceDN w:val="0"/>
        <w:autoSpaceDE w:val="0"/>
        <w:widowControl/>
        <w:spacing w:line="224" w:lineRule="exact" w:before="27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PURPOSE AND AFFILIATED ORGANIZATIONS</w:t>
      </w:r>
    </w:p>
    <w:p>
      <w:pPr>
        <w:autoSpaceDN w:val="0"/>
        <w:autoSpaceDE w:val="0"/>
        <w:widowControl/>
        <w:spacing w:line="240" w:lineRule="exact" w:before="114" w:after="0"/>
        <w:ind w:left="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International Development Association (IDA) is an international organization established in 1960. IDA’s main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goal is reducing poverty through promoting sustainable economic development in the less developed countries of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world that are members of IDA, by extending concessionary and non-concessionary financing in the form of grants,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loans and guarantees, and by providing related technical assistance. The activities of IDA are complemented by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those of three affiliated organizations, the International Bank for Reconstruction and Development (IBRD),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International Finance Corporation (IFC), and the Multilateral Investment Guarantee Agency (MIGA). Each of these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organizations is legally and financially independent from IDA, with separate assets and liabilities, and IDA is not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liable for their respective obligations. Transactions with these affiliates are disclosed in the notes that follow. </w:t>
      </w:r>
    </w:p>
    <w:p>
      <w:pPr>
        <w:autoSpaceDN w:val="0"/>
        <w:autoSpaceDE w:val="0"/>
        <w:widowControl/>
        <w:spacing w:line="240" w:lineRule="exact" w:before="12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is immune from taxation pursuant to Article VIII, Section 9, </w:t>
      </w:r>
      <w:r>
        <w:rPr>
          <w:rFonts w:ascii="TimesNewRoman" w:hAnsi="TimesNewRoman" w:eastAsia="TimesNewRoman"/>
          <w:b w:val="0"/>
          <w:i/>
          <w:color w:val="000000"/>
          <w:sz w:val="20"/>
        </w:rPr>
        <w:t>Immunities from Taxation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, of IDA’s Articles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Agreement.</w:t>
      </w:r>
    </w:p>
    <w:p>
      <w:pPr>
        <w:autoSpaceDN w:val="0"/>
        <w:autoSpaceDE w:val="0"/>
        <w:widowControl/>
        <w:spacing w:line="244" w:lineRule="exact" w:before="250" w:after="0"/>
        <w:ind w:left="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NOTE A—SUMMARY OF SIGNIFICANT ACCOUNTING AND RELATED POLICIES</w:t>
      </w:r>
    </w:p>
    <w:p>
      <w:pPr>
        <w:autoSpaceDN w:val="0"/>
        <w:autoSpaceDE w:val="0"/>
        <w:widowControl/>
        <w:spacing w:line="240" w:lineRule="exact" w:before="13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IDA’s financial statements are prepared in conformity with accounting principles generally accepted in the United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States of America (U.S. GAAP).</w:t>
      </w:r>
    </w:p>
    <w:p>
      <w:pPr>
        <w:autoSpaceDN w:val="0"/>
        <w:autoSpaceDE w:val="0"/>
        <w:widowControl/>
        <w:spacing w:line="224" w:lineRule="exact" w:before="136" w:after="0"/>
        <w:ind w:left="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preparation of financial statements in conformity with U.S. GAAP requires management to make estimates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assumptions that affect the reported amounts of assets and liabilities and disclosures of contingent assets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liabilities at the date of the financial statements and the reported amounts of revenue and expenses during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reporting period. Due to the inherent uncertainty involved in making those estimates, actual results could differ from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these estimates. Significant judgment has been used in the valuation of certain financial instruments and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determination of the adequacy of the accumulated provisions for debt relief and losses on loans and other exposures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that include signed loan commitments, including deferred drawdown options that are effective and irrevocable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commitments, guarantees and project preparation facilities. </w:t>
      </w:r>
    </w:p>
    <w:p>
      <w:pPr>
        <w:autoSpaceDN w:val="0"/>
        <w:autoSpaceDE w:val="0"/>
        <w:widowControl/>
        <w:spacing w:line="240" w:lineRule="exact" w:before="104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Executive Directors approved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these financial statements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for issuance on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August 7, 2024, which was also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date through which IDA’s management evaluated subsequent events.</w:t>
      </w:r>
    </w:p>
    <w:p>
      <w:pPr>
        <w:autoSpaceDN w:val="0"/>
        <w:autoSpaceDE w:val="0"/>
        <w:widowControl/>
        <w:spacing w:line="200" w:lineRule="exact" w:before="16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Certain reclassifications to the prior year’s information have been made to conform with the current year’s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presentation. </w:t>
      </w:r>
    </w:p>
    <w:p>
      <w:pPr>
        <w:autoSpaceDN w:val="0"/>
        <w:autoSpaceDE w:val="0"/>
        <w:widowControl/>
        <w:spacing w:line="244" w:lineRule="exact" w:before="90" w:after="0"/>
        <w:ind w:left="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Translation of Currencies</w:t>
      </w:r>
    </w:p>
    <w:p>
      <w:pPr>
        <w:autoSpaceDN w:val="0"/>
        <w:autoSpaceDE w:val="0"/>
        <w:widowControl/>
        <w:spacing w:line="240" w:lineRule="exact" w:before="13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IDA’s financial statements are expressed in U.S. dollars for the purpose of reporting its financial position and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results of its operations.</w:t>
      </w:r>
    </w:p>
    <w:p>
      <w:pPr>
        <w:autoSpaceDN w:val="0"/>
        <w:autoSpaceDE w:val="0"/>
        <w:widowControl/>
        <w:spacing w:line="240" w:lineRule="exact" w:before="12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conducts its operations in Special Drawing Rights (SDR) and its component currencies of U.S. dollar, euro,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Japanese yen, pound sterling and Chinese renminbi. These constitute the functional currencies of IDA. </w:t>
      </w:r>
    </w:p>
    <w:p>
      <w:pPr>
        <w:autoSpaceDN w:val="0"/>
        <w:autoSpaceDE w:val="0"/>
        <w:widowControl/>
        <w:spacing w:line="240" w:lineRule="exact" w:before="120" w:after="0"/>
        <w:ind w:left="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Assets and liabilities are translated at market exchange rates in effect at the end of the accounting period. Revenue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and expenses are translated at either the market exchange rates in effect on the dates of revenue and expense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recognition, or at an average of the market exchange rates in effect during each month. Translation adjustments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relating to the revaluation of all assets and liabilities denominated in either SDR or the component currencies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SDR, are reflected in Accumulated Other Comprehensive Income. Translation adjustments relating to other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currencies (non-functional currencies) are reported in the Statements of Income.</w:t>
      </w:r>
    </w:p>
    <w:p>
      <w:pPr>
        <w:autoSpaceDN w:val="0"/>
        <w:autoSpaceDE w:val="0"/>
        <w:widowControl/>
        <w:spacing w:line="244" w:lineRule="exact" w:before="130" w:after="0"/>
        <w:ind w:left="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Members’ Subscriptions and Contributions</w:t>
      </w:r>
    </w:p>
    <w:p>
      <w:pPr>
        <w:autoSpaceDN w:val="0"/>
        <w:autoSpaceDE w:val="0"/>
        <w:widowControl/>
        <w:spacing w:line="222" w:lineRule="exact" w:before="148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Recognition</w:t>
      </w:r>
    </w:p>
    <w:p>
      <w:pPr>
        <w:autoSpaceDN w:val="0"/>
        <w:autoSpaceDE w:val="0"/>
        <w:widowControl/>
        <w:spacing w:line="224" w:lineRule="exact" w:before="136" w:after="0"/>
        <w:ind w:left="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Members’ subscriptions and contributions committed for each IDA replenishment are initially recorded as both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subscriptions and contributions committed and, correspondingly, as subscriptions and contributions receivable. Prior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to effectiveness, only a portion of the value of Instruments of Commitment (IoCs) received as specified in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replenishment resolution is recorded as subscriptions and contributions committed. Upon effectiveness,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remainder of the value of IoCs received is subsequently recorded as subscriptions and contributions committed.</w:t>
      </w:r>
    </w:p>
    <w:p>
      <w:pPr>
        <w:autoSpaceDN w:val="0"/>
        <w:tabs>
          <w:tab w:pos="758" w:val="left"/>
        </w:tabs>
        <w:autoSpaceDE w:val="0"/>
        <w:widowControl/>
        <w:spacing w:line="224" w:lineRule="exact" w:before="1098" w:after="0"/>
        <w:ind w:left="5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80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Financial Statements: June 30, 2024</w:t>
      </w:r>
    </w:p>
    <w:p>
      <w:pPr>
        <w:sectPr>
          <w:pgSz w:w="12240" w:h="15840"/>
          <w:pgMar w:top="696" w:right="1370" w:bottom="2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24" w:lineRule="exact" w:before="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IoCs can contain unqualified or qualified commitments. Under an unqualified commitment, a contributing member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agrees to pay a specified amount of its subscription and contribution without requiring appropriation legislation. 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qualified commitment is subject to the contributing member obtaining the necessary appropriation legislation.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Subscriptions and contributions made under IoCs become available for commitment for loans, grants and guarantees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by IDA for a particular replenishment in accordance with the IDA replenishment envelope as approved by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Executive Directors.</w:t>
      </w:r>
    </w:p>
    <w:p>
      <w:pPr>
        <w:autoSpaceDN w:val="0"/>
        <w:autoSpaceDE w:val="0"/>
        <w:widowControl/>
        <w:spacing w:line="224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 replenishment becomes effective when IDA receives IoCs from contributing members whose subscriptions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contributions aggregate to a specified portion of the full replenishment. Amounts not yet paid in at the date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effectiveness, are recorded as subscriptions and contributions receivable and shown as a reduction of subscriptions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and contributions committed. These receivables become due throughout the replenishment period, generally three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years, in accordance with an agreed payment schedule. The actual payment of receivables when they become due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may be subject to the budgetary appropriation processes for certain members.</w:t>
      </w:r>
    </w:p>
    <w:p>
      <w:pPr>
        <w:autoSpaceDN w:val="0"/>
        <w:autoSpaceDE w:val="0"/>
        <w:widowControl/>
        <w:spacing w:line="224" w:lineRule="exact" w:before="12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subscriptions and contributions receivable are settled through payment of cash or deposit of nonnegotiable, non-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interest bearing demand notes. The notes are encashed by IDA on an approximately pro rata basis either as provided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the relevant replenishment resolution over the disbursement period of the loans and grants committed under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replenishment, or as needed.</w:t>
      </w:r>
    </w:p>
    <w:p>
      <w:pPr>
        <w:autoSpaceDN w:val="0"/>
        <w:autoSpaceDE w:val="0"/>
        <w:widowControl/>
        <w:spacing w:line="224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certain replenishments, donors receive discounts (a reduced obligation) when they pay a contribution amount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before the relevant due date, and acceleration credits when they pay their full contribution amount before the due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date. IDA retains any related revenue earned on these early payments, with subscriptions and contributions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committed being recorded at contribution amounts received, grossed up for discounts and acceleration credits.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Acceleration credits and discounts are presented on the Balance Sheet in the line item cumulative discounts/credits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on subscriptions and contributions, net. The discounts and acceleration credits are deducted in arriving at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subscriptions and contributions paid-in. </w:t>
      </w:r>
    </w:p>
    <w:p>
      <w:pPr>
        <w:autoSpaceDN w:val="0"/>
        <w:autoSpaceDE w:val="0"/>
        <w:widowControl/>
        <w:spacing w:line="244" w:lineRule="exact" w:before="10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Under the Seventeenth Replenishment of IDA’s Resources (IDA17), which became effective beginning fiscal year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ended June 30, 2015, IDA’s Executive Directors approved the use of a limited amount of concessional debt funding,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referred to as concessional partner loans (CPL), which continued in the subsequent Replenishments of IDA’s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Resources. The borrowing terms of this concessional debt funding aim to match the concessional features of IDA’s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loans. Proceeds received under this arrangement have two separate components: (1) a borrowing component and (2)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 grant component, for which voting rights are allocated to providers of the CPL. The borrowing component of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CPL is recognized and reported at amortized cost (see Borrowings section of this note for more details). The grant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component is calculated as a function of the terms of the loan and the discount rate agreed upon during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replenishment discussions. This grant component is recorded as equity, equivalent to the cash received.</w:t>
      </w:r>
    </w:p>
    <w:p>
      <w:pPr>
        <w:autoSpaceDN w:val="0"/>
        <w:autoSpaceDE w:val="0"/>
        <w:widowControl/>
        <w:spacing w:line="244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For the purposes of determining its initial subscriptions and additional subscriptions and contributions up to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including IDA19, the membership of IDA is divided into two categories: (1) Part I members, which make payments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of subscriptions and contributions provided to IDA in convertible currencies that may be freely used or exchanged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by IDA in its operations and (2) Part II members, which make payments of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 10%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 of their initial subscriptions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freely convertible currencies, and the remaining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 90%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 of their initial subscriptions, and all additional subscriptions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and contributions in their own currencies or in freely convertible currencies. Certain Part II members provide 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portion of their subscriptions and contributions in the same manner as mentioned in (1) above. IDA’s Articles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Agreement and subsequent replenishment resolutions provide that the currency of any Part II member paid in by it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may not be used by IDA for projects financed by IDA and located outside the territory of the member except by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agreement between the member and IDA. The national currency portion of subscriptions of Part II members is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recorded as restricted under Members’ subscriptions and contributions unless released under an agreement between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member and IDA, or used for administrative expenses. The cash paid and notes deposited in nonconvertible local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currencies for the subscriptions of Part II members are recorded either as Restricted cash under Due from Banks, 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restricted notes included under Nonnegotiable, Noninterest-bearing Demand Obligations on Account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Members’ subscriptions and contributions.</w:t>
      </w:r>
    </w:p>
    <w:p>
      <w:pPr>
        <w:autoSpaceDN w:val="0"/>
        <w:autoSpaceDE w:val="0"/>
        <w:widowControl/>
        <w:spacing w:line="230" w:lineRule="exact" w:before="134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From IDA20 and onwards, under the new Voting Rights Framework, IDA members are classified as either a Non-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Recipient, Interstitial Non-Recipient, or Recipient member. The payment terms for Non-Recipient members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corresponds to those outlined above for Part I members. Payment terms for Interstitial Non-Recipient and Recipient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members follow those outlined above for Part II members.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Each original member shall, in respect of its initial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subscription, have 500 votes plus one additional vote for each $5,000 of its initial subscription. Subscriptions other </w:t>
      </w:r>
    </w:p>
    <w:p>
      <w:pPr>
        <w:autoSpaceDN w:val="0"/>
        <w:tabs>
          <w:tab w:pos="9084" w:val="left"/>
        </w:tabs>
        <w:autoSpaceDE w:val="0"/>
        <w:widowControl/>
        <w:spacing w:line="224" w:lineRule="exact" w:before="946" w:after="0"/>
        <w:ind w:left="498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Financial Statements: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81</w:t>
      </w:r>
    </w:p>
    <w:p>
      <w:pPr>
        <w:sectPr>
          <w:pgSz w:w="12240" w:h="15840"/>
          <w:pgMar w:top="700" w:right="1370" w:bottom="2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than initial subscriptions of original members carry such voting rights as the Board of Governors determine. Certain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subscriptions and contributions do not carry voting rights.</w:t>
      </w:r>
    </w:p>
    <w:p>
      <w:pPr>
        <w:autoSpaceDN w:val="0"/>
        <w:autoSpaceDE w:val="0"/>
        <w:widowControl/>
        <w:spacing w:line="240" w:lineRule="exact" w:before="11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Following adoption by the Board of Governors on April 21, 2006 of a resolution authorizing additions to IDA’s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resources to finance the MDRI (Multilateral Debt Relief Initiative), pledges received in the form of IoCs for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financing the MDRI are recorded and accounted for in their entirety. Therefore, the full value of all IoCs received is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recorded as Subscriptions and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contributions committed. Correspondingly, the IoCs are recorded as Subscriptions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contributions receivable and deducted from equity.</w:t>
      </w:r>
    </w:p>
    <w:p>
      <w:pPr>
        <w:autoSpaceDN w:val="0"/>
        <w:autoSpaceDE w:val="0"/>
        <w:widowControl/>
        <w:spacing w:line="222" w:lineRule="exact" w:before="138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Withdrawal of Membership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Under IDA’s Articles of Agreement, a member may withdraw from membership in IDA at any time. When 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government ceases to be a member, it remains liable for all financial obligations undertaken by it to IDA, whether as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 member, borrower, guarantor or otherwise. The Articles provide that upon withdrawal, IDA and the government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shall proceed to a settlement of accounts. If agreement is not reached within six months, standard arrangements are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provided. Under these arrangements, IDA would pay to the government the lower of the member’s total paid-in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subscriptions and contributions or the member’s proportionate share of IDA’s net assets. These funds would be paid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a proportionate share of all principal repayments received by IDA on loans made during the period of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government’s membership.</w:t>
      </w:r>
    </w:p>
    <w:p>
      <w:pPr>
        <w:autoSpaceDN w:val="0"/>
        <w:autoSpaceDE w:val="0"/>
        <w:widowControl/>
        <w:spacing w:line="222" w:lineRule="exact" w:before="138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Valuation of Subscriptions and Contributions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subscriptions and contributions provided through the Third Replenishment are expressed in terms of “U.S.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dollars of the weight and fineness in effect on January 1, 1960” (1960 dollars). Following the abolition of gold as 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common denominator of the monetary system and the repeal of the provision of the U.S. law defining the par value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of the U.S. dollar in terms of gold, the pre-existing basis for translating 1960 dollars into current dollars or any other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currency disappeared. The Executive Directors of IDA decided, that until such time as the relevant provisions of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Articles of Agreement are amended, the words “U.S. dollars of the weight and fineness in effect on January 1, 1960”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Article II, Section 2(b) of the Articles of Agreement of IDA are interpreted to mean the SDR introduced by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International Monetary Fund as the SDR was valued in terms of U.S. dollars immediately before the introduction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basket method of valuing the SDR on July 1, 1974, such value being equal to $1.20635 for one SDR (the 1974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SDR). The Executive Directors also decided to apply the same standard of value to amounts expressed in 1960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dollars in the relevant resolutions of the Board of Governors.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subscriptions and contributions provided through the Third Replenishment are expressed on the basis of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1974 SDR. Prior to the decision of the Executive Directors, IDA had valued these subscriptions and contributions 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basis of the SDR at the current market value of the SDR.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subscriptions and contributions provided under the Fourth Replenishment and thereafter are expressed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members’ currencies or SDRs and are payable in members’ currencies. Subscriptions and contributions made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available for disbursement in cash to IDA are translated at market exchange rates in effect on the dates they were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made available. Subscriptions and contributions not yet available for disbursements are translated at market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exchange rates in effect at the end of the reporting period.</w:t>
      </w:r>
    </w:p>
    <w:p>
      <w:pPr>
        <w:autoSpaceDN w:val="0"/>
        <w:autoSpaceDE w:val="0"/>
        <w:widowControl/>
        <w:spacing w:line="222" w:lineRule="exact" w:before="138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Maintenance of Value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Article IV, Section 2(a) and (b) of IDA’s Articles of Agreement provides for maintenance of value payments 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account of the local currency portion of the initial subscription whenever the par value of the member’s currency 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its foreign exchange value has depreciated or appreciated to a significant extent, so long as, and to the extent that,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such currency shall not have been initially disbursed or exchanged for the currency of another member.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provisions of Article IV, Section 2(a) and (b) have by agreement been extended to cover additional subscriptions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contributions of IDA through the Third Replenishment, but are not applicable to those of the Fourth and subsequent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replenishments.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Executive Directors decided on June 30, 1987 that settlements of maintenance of value, which would result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from the resolution of the valuation issue on the basis of the 1974 SDR, would be deferred until the Executive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Directors decide to resume such settlements. These amounts are shown as Deferred Amounts to Maintain Value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Currency Holdings and deducted from equity; any changes relate solely to translation adjustments.</w:t>
      </w:r>
    </w:p>
    <w:p>
      <w:pPr>
        <w:autoSpaceDN w:val="0"/>
        <w:tabs>
          <w:tab w:pos="758" w:val="left"/>
        </w:tabs>
        <w:autoSpaceDE w:val="0"/>
        <w:widowControl/>
        <w:spacing w:line="224" w:lineRule="exact" w:before="1134" w:after="0"/>
        <w:ind w:left="5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82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Financial Statements: June 30, 2024</w:t>
      </w:r>
    </w:p>
    <w:p>
      <w:pPr>
        <w:sectPr>
          <w:pgSz w:w="12240" w:h="15840"/>
          <w:pgMar w:top="700" w:right="1370" w:bottom="2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22" w:lineRule="exact" w:before="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Nonnegotiable, Noninterest-bearing Demand Obligations on Account of Members’ Subscriptions and Contributions</w:t>
      </w:r>
    </w:p>
    <w:p>
      <w:pPr>
        <w:autoSpaceDN w:val="0"/>
        <w:autoSpaceDE w:val="0"/>
        <w:widowControl/>
        <w:spacing w:line="240" w:lineRule="exact" w:before="12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Payments on these instruments are due to IDA upon demand and these instruments are held in bank accounts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IDA’s name. These instruments are carried and reported at face value as a reduction to equity on the Balance Sheets.</w:t>
      </w:r>
    </w:p>
    <w:p>
      <w:pPr>
        <w:autoSpaceDN w:val="0"/>
        <w:autoSpaceDE w:val="0"/>
        <w:widowControl/>
        <w:spacing w:line="244" w:lineRule="exact" w:before="130" w:after="0"/>
        <w:ind w:left="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Loans and Other Exposures</w:t>
      </w:r>
    </w:p>
    <w:p>
      <w:pPr>
        <w:autoSpaceDN w:val="0"/>
        <w:autoSpaceDE w:val="0"/>
        <w:widowControl/>
        <w:spacing w:line="222" w:lineRule="exact" w:before="128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Loans</w:t>
      </w:r>
    </w:p>
    <w:p>
      <w:pPr>
        <w:autoSpaceDN w:val="0"/>
        <w:autoSpaceDE w:val="0"/>
        <w:widowControl/>
        <w:spacing w:line="240" w:lineRule="exact" w:before="10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fulfilling its mission, IDA makes concessional and non-concessional loans. These loans and other exposures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(collectively “exposures”) are made to, or guaranteed by, member governments or to the government of a territory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 member (except for loans which have been made to regional development institutions for the benefit of members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or territories of members of IDA). In order to qualify for lending on IDA regular terms, a country’s per capita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income must be below a certain level ($1,315 for the fiscal year ended June 30, 2024 and $1,255 for the fiscal year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ended June 30, 2023) and the country may have only limited or no access to IBRD lending.</w:t>
      </w:r>
    </w:p>
    <w:p>
      <w:pPr>
        <w:autoSpaceDN w:val="0"/>
        <w:autoSpaceDE w:val="0"/>
        <w:widowControl/>
        <w:spacing w:line="240" w:lineRule="exact" w:before="120" w:after="0"/>
        <w:ind w:left="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Loans are carried at amortized cost. Commitment charges on the undisbursed balance of loans, are recognized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revenue as earned. Any loan origination fees incorporated in the terms of a loan are deferred and recognized over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life of the loan as an adjustment of the yield. Accrued interest is presented on the Balance Sheets in the line item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Other receivables, accrued interest and commitment charges.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It is IDA’s practice not to reschedule service charges, interest or principal payments on its loans or participate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debt rescheduling agreements with respect to its loans. Should modifications be made to the terms of existing loans,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would perform an evaluation to determine the required accounting treatment, including whether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modifications would result in the affected loans being accounted for as a new loan, or as a continuation of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existing loans.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It is the policy of IDA to place into nonaccrual status all loans and other exposures made to, or guaranteed by, 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member or to the territory of a member if principal or charges with respect to any such loan and other exposures are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overdue by more than six months, unless IDA’s management determines that the overdue amount will be collected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the immediate future. In addition, if loans by IBRD to a member government are placed into nonaccrual status, all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loans and other exposures to that member will also be placed into nonaccrual status by IDA. On the date a member’s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loans and other exposures are placed into nonaccrual status, unpaid charges that had been accrued on loans are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deducted from loan revenue in the current period.</w:t>
      </w:r>
    </w:p>
    <w:p>
      <w:pPr>
        <w:autoSpaceDN w:val="0"/>
        <w:autoSpaceDE w:val="0"/>
        <w:widowControl/>
        <w:spacing w:line="240" w:lineRule="exact" w:before="120" w:after="0"/>
        <w:ind w:left="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Interest and other charges on nonaccruing exposures are included in revenue only to the extent that payments have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been received by IDA. A decision on the restoration of accrual status is made upon arrears clearance. If collectibility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risk is considered to be particularly high at the time of arrears clearance, the member’s exposures may not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automatically emerge from nonaccrual status until a suitable period of payment or policy performance has passed.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repayment obligations of loans funded from resources through the Fifth Replenishment are expressed in the loan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agreements in terms of 1960 dollars. In June 1987, the Executive Directors decided to value those loans at the rate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$1.20635 per 1960 dollar on a permanent basis. Loans funded from resources provided under the Sixth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Replenishment and thereafter are denominated in SDRs, with the exception of loans provided under the Single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Currency Lending program, which allows IDA recipients to denominate new IDA loans in one of the five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constituent currencies of the SDR basket.</w:t>
      </w:r>
    </w:p>
    <w:p>
      <w:pPr>
        <w:autoSpaceDN w:val="0"/>
        <w:autoSpaceDE w:val="0"/>
        <w:widowControl/>
        <w:spacing w:line="222" w:lineRule="exact" w:before="118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Loan commitments</w:t>
      </w:r>
    </w:p>
    <w:p>
      <w:pPr>
        <w:autoSpaceDN w:val="0"/>
        <w:autoSpaceDE w:val="0"/>
        <w:widowControl/>
        <w:spacing w:line="240" w:lineRule="exact" w:before="10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Undisbursed loans relate to operations approved by the Executive Directors for which disbursements are yet to be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made. IDA records a provision for expected losses on undisbursed loan commitments including Deferred Drawdown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Options (DDOs), when signed by both parties. The signature of the loan agreement is a binding event that prevents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from unconditionally withdrawing from the agreement. </w:t>
      </w:r>
    </w:p>
    <w:p>
      <w:pPr>
        <w:autoSpaceDN w:val="0"/>
        <w:autoSpaceDE w:val="0"/>
        <w:widowControl/>
        <w:spacing w:line="244" w:lineRule="exact" w:before="110" w:after="0"/>
        <w:ind w:left="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Buy-down of Loans</w:t>
      </w:r>
    </w:p>
    <w:p>
      <w:pPr>
        <w:autoSpaceDN w:val="0"/>
        <w:autoSpaceDE w:val="0"/>
        <w:widowControl/>
        <w:spacing w:line="240" w:lineRule="exact" w:before="11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enters into loan buy-down agreements with third party donors who make payments on the borrower’s service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and commitment charges through a trust fund until the borrower reaches agreed performance goals. The trust fund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then buys down the related loans for an amount equivalent to the present value of the remaining cash flows of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related loans. The difference between the carrying amount of the related loans and their net present value is reflected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through provision expense.</w:t>
      </w:r>
    </w:p>
    <w:p>
      <w:pPr>
        <w:autoSpaceDN w:val="0"/>
        <w:tabs>
          <w:tab w:pos="9084" w:val="left"/>
        </w:tabs>
        <w:autoSpaceDE w:val="0"/>
        <w:widowControl/>
        <w:spacing w:line="224" w:lineRule="exact" w:before="826" w:after="0"/>
        <w:ind w:left="498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Financial Statements: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83</w:t>
      </w:r>
    </w:p>
    <w:p>
      <w:pPr>
        <w:sectPr>
          <w:pgSz w:w="12240" w:h="15840"/>
          <w:pgMar w:top="700" w:right="1370" w:bottom="2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76"/>
        <w:ind w:left="0" w:right="0"/>
      </w:pPr>
    </w:p>
    <w:p>
      <w:pPr>
        <w:autoSpaceDN w:val="0"/>
        <w:autoSpaceDE w:val="0"/>
        <w:widowControl/>
        <w:spacing w:line="244" w:lineRule="exact" w:before="0" w:after="0"/>
        <w:ind w:left="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Development Grants</w:t>
      </w:r>
    </w:p>
    <w:p>
      <w:pPr>
        <w:autoSpaceDN w:val="0"/>
        <w:autoSpaceDE w:val="0"/>
        <w:widowControl/>
        <w:spacing w:line="240" w:lineRule="exact" w:before="130" w:after="0"/>
        <w:ind w:left="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Development grants made by IDA that are deemed to be conditional, are expensed when all the conditions have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been met, which generally occurs at the time of disbursement. At times, grant advances may be disbursed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recipients prior to the conditions stipulated in the grant agreement being met and are presented in the Other assets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line on the Balance Sheets. Once the conditions for the grant advances are met, they are expensed. Development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grants that are deemed to be unconditional are expensed upon approval.</w:t>
      </w:r>
    </w:p>
    <w:p>
      <w:pPr>
        <w:autoSpaceDN w:val="0"/>
        <w:autoSpaceDE w:val="0"/>
        <w:widowControl/>
        <w:spacing w:line="222" w:lineRule="exact" w:before="138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Commitment charges on the undisbursed balance of development grants are recognized in revenue as earned.</w:t>
      </w:r>
    </w:p>
    <w:p>
      <w:pPr>
        <w:autoSpaceDN w:val="0"/>
        <w:autoSpaceDE w:val="0"/>
        <w:widowControl/>
        <w:spacing w:line="244" w:lineRule="exact" w:before="130" w:after="0"/>
        <w:ind w:left="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Project Preparation Advances</w:t>
      </w:r>
    </w:p>
    <w:p>
      <w:pPr>
        <w:autoSpaceDN w:val="0"/>
        <w:autoSpaceDE w:val="0"/>
        <w:widowControl/>
        <w:spacing w:line="240" w:lineRule="exact" w:before="130" w:after="0"/>
        <w:ind w:left="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Project Preparation Advances (PPAs) are advances made to borrowers to finance project preparation costs pending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approval of follow-on development operations. If approved under grant terms, these amounts are expensed upon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approval by management. To the extent there are follow-on loans or grants, these PPAs are refinanced out of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proceeds of the loans and grants. Accordingly, the PPA grant amounts initially charged to expense are reversed upon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approval of the follow-on development grants or loans.</w:t>
      </w:r>
    </w:p>
    <w:p>
      <w:pPr>
        <w:autoSpaceDN w:val="0"/>
        <w:autoSpaceDE w:val="0"/>
        <w:widowControl/>
        <w:spacing w:line="244" w:lineRule="exact" w:before="130" w:after="0"/>
        <w:ind w:left="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Guarantees Provided</w:t>
      </w:r>
    </w:p>
    <w:p>
      <w:pPr>
        <w:autoSpaceDN w:val="0"/>
        <w:autoSpaceDE w:val="0"/>
        <w:widowControl/>
        <w:spacing w:line="240" w:lineRule="exact" w:before="13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Financial guarantees are commitments issued by IDA to guarantee payment performance by a member country (the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debtor) to a third party in the event that a member government (or government-owned entity) fails to perform its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contractual obligations to a third party. 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Guarantees are regarded as outstanding when the underlying financial obligation of the borrower is incurred,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called when a guaranteed party demands payment under the guarantee. IDA would be required to perform under its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guarantees if the payments guaranteed are not made by the borrower and the guaranteed party called the guarantee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by demanding payment from IDA in accordance with the terms of the guarantee.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At inception of the guarantees, IDA records the fair value of the obligation to stand ready and a corresponding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guarantee fee receivable, included in Other Liabilities - Accounts payable and miscellaneous liabilities and in Other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Assets, respectively, on the Balance Sheets. Upfront guarantee fees received are deferred and amortized over the life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of the guarantee.</w:t>
      </w:r>
    </w:p>
    <w:p>
      <w:pPr>
        <w:autoSpaceDN w:val="0"/>
        <w:autoSpaceDE w:val="0"/>
        <w:widowControl/>
        <w:spacing w:line="240" w:lineRule="exact" w:before="120" w:after="0"/>
        <w:ind w:left="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the event that a sovereign guarantee is called, IDA has the contractual right to require payment from the member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country under an indemnity agreement. The receivable arising out of the indemnity agreements for amounts paid by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IDA are presented as Loans outstanding on the Balance Sheets.</w:t>
      </w:r>
    </w:p>
    <w:p>
      <w:pPr>
        <w:autoSpaceDN w:val="0"/>
        <w:autoSpaceDE w:val="0"/>
        <w:widowControl/>
        <w:spacing w:line="244" w:lineRule="exact" w:before="130" w:after="0"/>
        <w:ind w:left="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HIPC Debt Initiative</w:t>
      </w:r>
    </w:p>
    <w:p>
      <w:pPr>
        <w:autoSpaceDN w:val="0"/>
        <w:autoSpaceDE w:val="0"/>
        <w:widowControl/>
        <w:spacing w:line="240" w:lineRule="exact" w:before="130" w:after="0"/>
        <w:ind w:left="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Heavily Indebted Poor Countries (HIPC) Debt Initiative was launched in 1996 as a joint effort by bilateral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multilateral creditors to ensure that reform efforts of HIPCs would not be put at risk by unsustainable external debt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burdens.</w:t>
      </w:r>
    </w:p>
    <w:p>
      <w:pPr>
        <w:autoSpaceDN w:val="0"/>
        <w:autoSpaceDE w:val="0"/>
        <w:widowControl/>
        <w:spacing w:line="240" w:lineRule="exact" w:before="120" w:after="0"/>
        <w:ind w:left="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Under the Enhanced HIPC Framework, implementation mechanisms include: (i) partial forgiveness of IDA debt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service as it comes due, and ii) in the case of countries with a substantial amount of outstanding IBRD debt, partial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repayment with IDA resources (excluding transfers from IBRD) of outstanding IBRD debt.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Upon signature by IDA of the country specific legal notification, immediately following the decision by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Executive Directors of IDA to provide debt relief to the country (the Decision Point), the country becomes eligible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for debt relief up to the nominal value equivalent of one third of the net present value of the total HIPC debt relief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committed to the specific country. Completion Point is reached when the conditions specified in the legal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notification are met and the country’s other creditors have confirmed their full participation in the debt relief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initiative. When the country reaches its Completion Point, IDA’s commitment to provide the total debt relief for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which the country is eligible, becomes irrevocable. IDA’s provisioning policy for the HIPC Debt Initiative is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discussed below.</w:t>
      </w:r>
    </w:p>
    <w:p>
      <w:pPr>
        <w:autoSpaceDN w:val="0"/>
        <w:autoSpaceDE w:val="0"/>
        <w:widowControl/>
        <w:spacing w:line="240" w:lineRule="exact" w:before="120" w:after="0"/>
        <w:ind w:left="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Donors compensate IDA on a “pay-as-you-go” basis to finance IDA’s forgone loan reflows (principal and service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charge repayments) under the HIPC Debt Initiative. This means that for the debt relief provided by writing off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principal and charges during a replenishment, the donors compensate IDA for the forgone reflows through additional </w:t>
      </w:r>
    </w:p>
    <w:p>
      <w:pPr>
        <w:autoSpaceDN w:val="0"/>
        <w:tabs>
          <w:tab w:pos="758" w:val="left"/>
        </w:tabs>
        <w:autoSpaceDE w:val="0"/>
        <w:widowControl/>
        <w:spacing w:line="224" w:lineRule="exact" w:before="1018" w:after="0"/>
        <w:ind w:left="5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84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Financial Statements: June 30, 2024</w:t>
      </w:r>
    </w:p>
    <w:p>
      <w:pPr>
        <w:sectPr>
          <w:pgSz w:w="12240" w:h="15840"/>
          <w:pgMar w:top="696" w:right="1370" w:bottom="2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30" w:lineRule="exact" w:before="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contributions in the relevant replenishment. These additional resources are accounted for as equity, as subscriptions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and contributions, because they carry voting rights.</w:t>
      </w:r>
    </w:p>
    <w:p>
      <w:pPr>
        <w:autoSpaceDN w:val="0"/>
        <w:autoSpaceDE w:val="0"/>
        <w:widowControl/>
        <w:spacing w:line="244" w:lineRule="exact" w:before="130" w:after="0"/>
        <w:ind w:left="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MDRI</w:t>
      </w:r>
    </w:p>
    <w:p>
      <w:pPr>
        <w:autoSpaceDN w:val="0"/>
        <w:autoSpaceDE w:val="0"/>
        <w:widowControl/>
        <w:spacing w:line="240" w:lineRule="exact" w:before="13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Debt relief provided under the Multilateral Debt Relief Initiative (MDRI), which is characterized by the write-off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eligible loans upon qualifying borrowers reaching the HIPC Completion Point, is in addition to existing debt relief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commitments provided by IDA and other creditors under the HIPC Debt Initiative. When a country reaches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Completion Point, the applicable loans are written off. This write off occurs at the beginning of the quarterly period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following the date on which the country reaches Completion Point. For forgone repayments under MDRI, donors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established a separate MDRI replenishment spanning fiscal years 2007 through 2044 and pledged to compensate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for the costs of providing debt relief under MDRI on a “dollar-for-dollar” basis. These additional resources are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accounted for as equity, as subscriptions and contributions, because they carry voting rights.</w:t>
      </w:r>
    </w:p>
    <w:p>
      <w:pPr>
        <w:autoSpaceDN w:val="0"/>
        <w:autoSpaceDE w:val="0"/>
        <w:widowControl/>
        <w:spacing w:line="244" w:lineRule="exact" w:before="130" w:after="0"/>
        <w:ind w:left="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Accumulated Provision for Losses on Loans and Other Exposures</w:t>
      </w:r>
    </w:p>
    <w:p>
      <w:pPr>
        <w:autoSpaceDN w:val="0"/>
        <w:autoSpaceDE w:val="0"/>
        <w:widowControl/>
        <w:spacing w:line="240" w:lineRule="exact" w:before="13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Management determines the appropriate level of accumulated provisions for losses on loan exposures, which reflects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expected losses inherent in IDA’s exposures.</w:t>
      </w:r>
    </w:p>
    <w:p>
      <w:pPr>
        <w:autoSpaceDN w:val="0"/>
        <w:autoSpaceDE w:val="0"/>
        <w:widowControl/>
        <w:spacing w:line="240" w:lineRule="exact" w:before="12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accumulated provision for losses on loans and other exposures includes the accumulated provision for the HIPC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Debt Initiative and MDRI.</w:t>
      </w:r>
    </w:p>
    <w:p>
      <w:pPr>
        <w:autoSpaceDN w:val="0"/>
        <w:autoSpaceDE w:val="0"/>
        <w:widowControl/>
        <w:spacing w:line="222" w:lineRule="exact" w:before="138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HIPC Debt Initiative and MDRI</w:t>
      </w:r>
    </w:p>
    <w:p>
      <w:pPr>
        <w:autoSpaceDN w:val="0"/>
        <w:autoSpaceDE w:val="0"/>
        <w:widowControl/>
        <w:spacing w:line="240" w:lineRule="exact" w:before="120" w:after="0"/>
        <w:ind w:left="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adequacy of the accumulated provision for the HIPC Debt Initiative and MDRI is based on both quantitative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and qualitative analyses of various factors, including estimates of the Decision and the Completion point dates. IDA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periodically reviews these factors and reassesses the adequacy of the accumulated provision for the HIPC Debt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Initiative and MDRI. 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Upon approval by the Executive Directors of a country as potentially eligible for IDA debt relief under the Enhanced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HIPC Initiative, the principal component of the estimated debt relief costs is recorded within the accumulated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provision for loan losses on the Balance Sheets, and as a provision expense in the Statements of Income. This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estimate is subject to periodic revision. Adjustments to the accumulated provision are recorded as a charge to 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release of provision in the Statements of Income. The accumulated provision for HIPC Debt Initiative is reduced as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debt relief is provided. The accumulated provision for the HIPC Debt Initiative is reduced by the amount of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eligible loans written off when the country reaches Completion Point and becomes eligible for MDRI debt relief.</w:t>
      </w:r>
    </w:p>
    <w:p>
      <w:pPr>
        <w:autoSpaceDN w:val="0"/>
        <w:autoSpaceDE w:val="0"/>
        <w:widowControl/>
        <w:spacing w:line="240" w:lineRule="exact" w:before="120" w:after="0"/>
        <w:ind w:left="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Following the Executive Directors' approval of IDA's participation in the MDRI in June 2006, IDA fully provided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for the estimated write-off of the principal component of debt relief to be delivered under the MDRI for the HIPC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eligible countries confirmed by the Executive Directors as eligible for relief at that time.</w:t>
      </w:r>
    </w:p>
    <w:p>
      <w:pPr>
        <w:autoSpaceDN w:val="0"/>
        <w:autoSpaceDE w:val="0"/>
        <w:widowControl/>
        <w:spacing w:line="222" w:lineRule="exact" w:before="138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Loans</w:t>
      </w:r>
    </w:p>
    <w:p>
      <w:pPr>
        <w:autoSpaceDN w:val="0"/>
        <w:autoSpaceDE w:val="0"/>
        <w:widowControl/>
        <w:spacing w:line="240" w:lineRule="exact" w:before="120" w:after="0"/>
        <w:ind w:left="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Loan exposures are disaggregated into two groups: exposures in accrual status and exposures in nonaccrual status.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each group, a credit risk rating is then assigned to the exposures for each borrower (defined as the nominal amount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of loans outstanding less the accumulated provision for loss under the HIPC Debt Relief Initiative and MDRI). </w:t>
      </w:r>
    </w:p>
    <w:p>
      <w:pPr>
        <w:autoSpaceDN w:val="0"/>
        <w:autoSpaceDE w:val="0"/>
        <w:widowControl/>
        <w:spacing w:line="240" w:lineRule="exact" w:before="120" w:after="0"/>
        <w:ind w:left="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total exposure for provisioning is the current exposure and the estimated exposure taking into account expected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disbursements and repayments over the life of the instruments. The expected credit losses related to loans and other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exposures are calculated over the life of the instruments based on the expected exposures, the expected default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frequency (probability of default to IDA) and the estimated loss given default. The provision for expected losses is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sum of the expected annual losses over the life of the instruments. </w:t>
      </w:r>
    </w:p>
    <w:p>
      <w:pPr>
        <w:autoSpaceDN w:val="0"/>
        <w:autoSpaceDE w:val="0"/>
        <w:widowControl/>
        <w:spacing w:line="240" w:lineRule="exact" w:before="120" w:after="0"/>
        <w:ind w:left="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For countries in accrual status, these exposures are grouped in pools of borrowers with a similar risk rating.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determination of a borrower’s rating is based on various factors (see Note D—Loans and other exposures). Each risk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rating is mapped to an expected default frequency using IDA’s credit migration matrix, based on historical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observations of credit ratings at the beginning and at the end of each year.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Expected losses on loan exposures comprise estimates of potential losses arising from default and nonpayment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principal and interest amounts due, and any economic loss due to delays in receiving payments. The estimated loss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given default is determined at each balance sheet date, based on IDA’s historical experience as well as parameters </w:t>
      </w:r>
    </w:p>
    <w:p>
      <w:pPr>
        <w:autoSpaceDN w:val="0"/>
        <w:tabs>
          <w:tab w:pos="9084" w:val="left"/>
        </w:tabs>
        <w:autoSpaceDE w:val="0"/>
        <w:widowControl/>
        <w:spacing w:line="224" w:lineRule="exact" w:before="826" w:after="0"/>
        <w:ind w:left="498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Financial Statements: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85</w:t>
      </w:r>
    </w:p>
    <w:p>
      <w:pPr>
        <w:sectPr>
          <w:pgSz w:w="12240" w:h="15840"/>
          <w:pgMar w:top="700" w:right="1370" w:bottom="2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36" w:lineRule="exact" w:before="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adjusted for current conditions during the reasonable and supportable forecast period of IDA. The loss given default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is based on the borrower’s eligibility, namely: IDA, Blend (IBRD and IDA) and IBRD, with the highest loss given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default associated with IDA eligibility. The borrower’s eligibility is assessed at least annually. The main factors used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to determine the loss given default are the estimated length of delays in receiving loan payments and the effective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interest rate of the exposures. IDA’s loan portfolio comprises mostly fixed interest rate loans, therefore,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measurement of loss severity is not sensitive to market interest rate movements.</w:t>
      </w:r>
    </w:p>
    <w:p>
      <w:pPr>
        <w:autoSpaceDN w:val="0"/>
        <w:autoSpaceDE w:val="0"/>
        <w:widowControl/>
        <w:spacing w:line="240" w:lineRule="exact" w:before="12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For the calculation of expected credit losses, IDA applies a three-year reasonable and supportable forecast period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representing the most reliable and available economic data during this period. IDA also applies a ten-year straight-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line reversion to the mean to reflect the historical pattern of rating migration to the mean of its loan portfolio.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This methodology is also applied to countries with exposures in nonaccrual status, although the expected default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frequency is equal to 100%. At times, to reflect certain distinguishing circumstances of a particular nonaccrual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situation, different input assumptions may be used for a specific country. 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All exposures for countries in nonaccrual status are individually assessed. Except for debt relief provided under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HIPC Debt Initiative and MDRI, it is IDA’s practice not to write off its loans. To date, no loans have been written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off, other than under the HIPC Debt Initiative, MDRI and buy-down of loans. 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Management reassesses the adequacy of the accumulated provision on a quarterly basis and adjustments to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accumulated provision are recorded as a charge to or release of provision in the Statements of Income. In addition,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reasonableness of the inputs used is reassessed quarterly.</w:t>
      </w:r>
    </w:p>
    <w:p>
      <w:pPr>
        <w:autoSpaceDN w:val="0"/>
        <w:autoSpaceDE w:val="0"/>
        <w:widowControl/>
        <w:spacing w:line="240" w:lineRule="exact" w:before="120" w:after="0"/>
        <w:ind w:left="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When a member country prepays its outstanding loans, it may receive a discount equivalent to the difference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between the outstanding carrying amount and the present value of the remaining cash flows. In such instances, IDA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records a provision for losses on loans equivalent to the discount provided at the time when the prepayment terms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are agreed between IDA and the member country. </w:t>
      </w:r>
    </w:p>
    <w:p>
      <w:pPr>
        <w:autoSpaceDN w:val="0"/>
        <w:autoSpaceDE w:val="0"/>
        <w:widowControl/>
        <w:spacing w:line="222" w:lineRule="exact" w:before="138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Loan Commitments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records the expected credit losses on loan commitments based on the projected disbursements of signed loan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commitments (adjusted by cancellations based on historical experience), the probability of default and loss given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default. The provision is included in Other liabilities - Accounts payable and miscellaneous liabilities on the Balance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Sheets.</w:t>
      </w:r>
    </w:p>
    <w:p>
      <w:pPr>
        <w:autoSpaceDN w:val="0"/>
        <w:autoSpaceDE w:val="0"/>
        <w:widowControl/>
        <w:spacing w:line="222" w:lineRule="exact" w:before="138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Guarantees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records a contingent liability for the expected losses related to guarantees over the projected life of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instruments, which is determined based on the estimated exposure at default multiplied by the corresponding loss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given default and expected default probability for the projected life of the guarantee. This provision, as well as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unamortized balance of the deferred guarantee fees, and the unamortized balance of the obligation to stand ready, are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included in Other liabilities - Accounts payable and miscellaneous liabilities on the Balance Sheets.</w:t>
      </w:r>
    </w:p>
    <w:p>
      <w:pPr>
        <w:autoSpaceDN w:val="0"/>
        <w:autoSpaceDE w:val="0"/>
        <w:widowControl/>
        <w:spacing w:line="244" w:lineRule="exact" w:before="130" w:after="0"/>
        <w:ind w:left="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Segment Reporting</w:t>
      </w:r>
    </w:p>
    <w:p>
      <w:pPr>
        <w:autoSpaceDN w:val="0"/>
        <w:autoSpaceDE w:val="0"/>
        <w:widowControl/>
        <w:spacing w:line="240" w:lineRule="exact" w:before="13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Based on an evaluation of its operations, management has determined that IDA has only one reportable segment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since financial results are reviewed and resource allocation decisions are made at the entity level. </w:t>
      </w:r>
    </w:p>
    <w:p>
      <w:pPr>
        <w:autoSpaceDN w:val="0"/>
        <w:autoSpaceDE w:val="0"/>
        <w:widowControl/>
        <w:spacing w:line="244" w:lineRule="exact" w:before="130" w:after="0"/>
        <w:ind w:left="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Statements of Cash Flows</w:t>
      </w:r>
    </w:p>
    <w:p>
      <w:pPr>
        <w:autoSpaceDN w:val="0"/>
        <w:autoSpaceDE w:val="0"/>
        <w:widowControl/>
        <w:spacing w:line="240" w:lineRule="exact" w:before="13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For the purpose of IDA's Statements of Cash Flows, cash is defined as the amount of both Unrestricted cash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Restricted cash presented under the Due from banks line on the Balance Sheets.</w:t>
      </w:r>
    </w:p>
    <w:p>
      <w:pPr>
        <w:autoSpaceDN w:val="0"/>
        <w:autoSpaceDE w:val="0"/>
        <w:widowControl/>
        <w:spacing w:line="244" w:lineRule="exact" w:before="130" w:after="0"/>
        <w:ind w:left="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Restricted Cash</w:t>
      </w:r>
    </w:p>
    <w:p>
      <w:pPr>
        <w:autoSpaceDN w:val="0"/>
        <w:autoSpaceDE w:val="0"/>
        <w:widowControl/>
        <w:spacing w:line="240" w:lineRule="exact" w:before="13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This mainly includes amounts which have been received from members as part of their subscriptions, which are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restricted for specified purposes. </w:t>
      </w:r>
    </w:p>
    <w:p>
      <w:pPr>
        <w:autoSpaceDN w:val="0"/>
        <w:autoSpaceDE w:val="0"/>
        <w:widowControl/>
        <w:spacing w:line="244" w:lineRule="exact" w:before="130" w:after="0"/>
        <w:ind w:left="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Investments</w:t>
      </w:r>
    </w:p>
    <w:p>
      <w:pPr>
        <w:autoSpaceDN w:val="0"/>
        <w:autoSpaceDE w:val="0"/>
        <w:widowControl/>
        <w:spacing w:line="240" w:lineRule="exact" w:before="130" w:after="0"/>
        <w:ind w:left="0" w:right="0" w:firstLine="0"/>
        <w:jc w:val="center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Investment securities are classified based on management’s intention on the date of purchase, their nature,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IDA’s policies governing the level and use of such investments. All investment securities are held in the trading </w:t>
      </w:r>
    </w:p>
    <w:p>
      <w:pPr>
        <w:autoSpaceDN w:val="0"/>
        <w:tabs>
          <w:tab w:pos="758" w:val="left"/>
        </w:tabs>
        <w:autoSpaceDE w:val="0"/>
        <w:widowControl/>
        <w:spacing w:line="224" w:lineRule="exact" w:before="898" w:after="0"/>
        <w:ind w:left="5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86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Financial Statements: June 30, 2024</w:t>
      </w:r>
    </w:p>
    <w:p>
      <w:pPr>
        <w:sectPr>
          <w:pgSz w:w="12240" w:h="15840"/>
          <w:pgMar w:top="700" w:right="1370" w:bottom="2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38" w:lineRule="exact" w:before="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portfolio except for a security purchased from IFC in 2015 which is classified as non-trading. While IDA does not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plan to sell the IFC security, IDA elected to measure it at fair value, so that all of its investment securities are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measured on the same basis. All investment securities and related financial instruments held by IDA are carried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reported at fair value, or at face value which approximates fair value. Where available, quoted market prices are used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to determine the fair value of trading securities. Examples include most government and agency securities, asset-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backed securities (ABS) and mortgage-backed securities (MBS). For instruments for which market quotations are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not available, fair values are determined using model-based valuation techniques, whether internally generated 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vendor-supplied, that include the standard discounted cash flow method using observable market inputs such as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yield curves, credit spreads, and constant prepayment rates. Unless quoted prices are available, time deposits are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reported at face value, which approximates fair value, as they are short term in nature. The first-in first-out method is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used to determine the cost of securities sold in computing the realized gains and losses on these instruments. </w:t>
      </w:r>
    </w:p>
    <w:p>
      <w:pPr>
        <w:autoSpaceDN w:val="0"/>
        <w:autoSpaceDE w:val="0"/>
        <w:widowControl/>
        <w:spacing w:line="240" w:lineRule="exact" w:before="120" w:after="0"/>
        <w:ind w:left="0" w:right="3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Interest revenue is included in the Investments, net line in the Statements of Income. Unrealized mark-to-market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gains and losses for investment trading securities and related financial instruments held in the investment portfolio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are included in the Unrealized mark-to-market gains (losses) on Investments-Trading portfolio, net line in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Statements of Income. Realized gains and losses on investment trading securities are recognized in the same line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Statements of Income when securities are sold.</w:t>
      </w:r>
    </w:p>
    <w:p>
      <w:pPr>
        <w:autoSpaceDN w:val="0"/>
        <w:autoSpaceDE w:val="0"/>
        <w:widowControl/>
        <w:spacing w:line="240" w:lineRule="exact" w:before="120" w:after="0"/>
        <w:ind w:left="0" w:right="3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may require collateral in the form of cash or approved liquid securities from individual counterparties under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legal agreements that provide for collateralization, in order to mitigate its credit exposure to these counterparties. For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collateral received in the form of cash from counterparties, IDA invests the amounts received and records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investment and a corresponding obligation to return the cash. Collateral received in the form of liquid securities is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only recorded on IDA’s Balance Sheets to the extent that it has been transferred under securities lending agreements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return for cash. </w:t>
      </w:r>
    </w:p>
    <w:p>
      <w:pPr>
        <w:autoSpaceDN w:val="0"/>
        <w:autoSpaceDE w:val="0"/>
        <w:widowControl/>
        <w:spacing w:line="264" w:lineRule="exact" w:before="110" w:after="0"/>
        <w:ind w:left="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 xml:space="preserve">Securities Purchased Under Resale Agreements, Securities Sold Under Repurchase Agreements, </w:t>
      </w:r>
      <w:r>
        <w:rPr>
          <w:rFonts w:ascii="TimesNewRoman" w:hAnsi="TimesNewRoman" w:eastAsia="TimesNewRoman"/>
          <w:b/>
          <w:i w:val="0"/>
          <w:color w:val="000000"/>
          <w:sz w:val="22"/>
        </w:rPr>
        <w:t>Securities Lent Under Securities Lending Agreements and Payable for Cash Collateral Received</w:t>
      </w:r>
    </w:p>
    <w:p>
      <w:pPr>
        <w:autoSpaceDN w:val="0"/>
        <w:autoSpaceDE w:val="0"/>
        <w:widowControl/>
        <w:spacing w:line="240" w:lineRule="exact" w:before="130" w:after="0"/>
        <w:ind w:left="0" w:right="3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Securities purchased under resale agreements, securities sold under repurchase agreements, securities lent under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securities lending agreements and payable for cash collateral received are recorded at face value, which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approximates fair value, as they are short term in nature. IDA receives securities purchased under resale agreements,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monitors the fair value of the securities and, if necessary, closes out transactions and enters into new repriced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transactions. The securities transferred to counterparties under the repurchase and security lending arrangements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securities transferred to IDA under the resale agreements have not met the accounting criteria for treatment as 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sale. Therefore, securities transferred under repurchase agreements and security lending arrangements are retained as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assets on the Balance Sheets, and securities received under resale agreements are not recorded on the Balance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Sheets. Securities lent under securities lending agreements and sold under securities repurchase agreements as well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securities purchased under resale agreements are presented on a gross basis, which is consistent with the manner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which these instruments are settled. The interest earned with respect to securities purchased under resale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agreements is included in Investments, net, line in the Statements of Income. The interest expense pertaining to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securities sold under repurchase agreements and security lending arrangements is included in the Borrowing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expenses, net line in the Statements of Income.</w:t>
      </w:r>
    </w:p>
    <w:p>
      <w:pPr>
        <w:autoSpaceDN w:val="0"/>
        <w:autoSpaceDE w:val="0"/>
        <w:widowControl/>
        <w:spacing w:line="244" w:lineRule="exact" w:before="130" w:after="0"/>
        <w:ind w:left="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Borrowings</w:t>
      </w:r>
    </w:p>
    <w:p>
      <w:pPr>
        <w:autoSpaceDN w:val="0"/>
        <w:autoSpaceDE w:val="0"/>
        <w:widowControl/>
        <w:spacing w:line="240" w:lineRule="exact" w:before="130" w:after="0"/>
        <w:ind w:left="0" w:right="3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introduced long term borrowings through CPL for the first time in the fiscal year commencing July 1, 2014.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borrowing terms of the CPL aim to match the features of IDA’s concessional loans. These borrowings are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unsecured and unsubordinated debt in SDR component currencies. IDA may prepay some or the entire outstanding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amounts without penalty. These borrowings are carried and reported at amortized cost.</w:t>
      </w:r>
    </w:p>
    <w:p>
      <w:pPr>
        <w:autoSpaceDN w:val="0"/>
        <w:autoSpaceDE w:val="0"/>
        <w:widowControl/>
        <w:spacing w:line="240" w:lineRule="exact" w:before="120" w:after="0"/>
        <w:ind w:left="0" w:right="3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also issues debt instruments in the capital markets that are reported at either fair value or amortized cost.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Through June 30, 2021, all market debt was carried at fair value. Starting July 1, 2021, IDA only elects fair value for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market debt designated to fund liquidity or variable rate loans. Market debt not meeting the fair value election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criteria are reported at amortized cost. For debt carried at fair value, changes in fair value are recognized in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related Unrealized mark-to-market gains (losses) on non-trading portfolios, net, line in the Statements of Income,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except for changes in the fair value that relate to IDA’s own credit risk, which are reported in Other Comprehensive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Income (OCI) as a Debit Valuation Adjustment (DVA). The DVA on fair value option elected liabilities is measured </w:t>
      </w:r>
    </w:p>
    <w:p>
      <w:pPr>
        <w:autoSpaceDN w:val="0"/>
        <w:tabs>
          <w:tab w:pos="9084" w:val="left"/>
        </w:tabs>
        <w:autoSpaceDE w:val="0"/>
        <w:widowControl/>
        <w:spacing w:line="224" w:lineRule="exact" w:before="922" w:after="0"/>
        <w:ind w:left="498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Financial Statements: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87</w:t>
      </w:r>
    </w:p>
    <w:p>
      <w:pPr>
        <w:sectPr>
          <w:pgSz w:w="12240" w:h="15840"/>
          <w:pgMar w:top="700" w:right="1360" w:bottom="2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30" w:lineRule="exact" w:before="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by revaluing each liability to determine the changes in fair value of that liability arising from changes in IDA’s cost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of funding relative to the applicable reference rates.</w:t>
      </w:r>
    </w:p>
    <w:p>
      <w:pPr>
        <w:autoSpaceDN w:val="0"/>
        <w:autoSpaceDE w:val="0"/>
        <w:widowControl/>
        <w:spacing w:line="240" w:lineRule="exact" w:before="120" w:after="0"/>
        <w:ind w:left="0" w:right="144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Plain vanilla bonds and discount notes, if any, are valued using the standard discounted cash flow method which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relies on observable market inputs such as yield curves, foreign exchange rates, basis spreads and funding spreads.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Where available, quoted market prices are used to determine the fair value of short-term notes.</w:t>
      </w:r>
    </w:p>
    <w:p>
      <w:pPr>
        <w:autoSpaceDN w:val="0"/>
        <w:autoSpaceDE w:val="0"/>
        <w:widowControl/>
        <w:spacing w:line="240" w:lineRule="exact" w:before="12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Interest expense relating to all debt instruments in IDA’s borrowing portfolio is measured on an effective yield basis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and is reported as part of the Borrowing expenses, net line in the Statements of Income.</w:t>
      </w:r>
    </w:p>
    <w:p>
      <w:pPr>
        <w:autoSpaceDN w:val="0"/>
        <w:autoSpaceDE w:val="0"/>
        <w:widowControl/>
        <w:spacing w:line="240" w:lineRule="exact" w:before="12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Amortization of discounts and premiums is also included in the Borrowing expenses, net line in the Statements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Income.</w:t>
      </w:r>
    </w:p>
    <w:p>
      <w:pPr>
        <w:autoSpaceDN w:val="0"/>
        <w:autoSpaceDE w:val="0"/>
        <w:widowControl/>
        <w:spacing w:line="240" w:lineRule="exact" w:before="12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For the purpose of the Statements of Cash Flows, short term borrowings, if any, with an original maturity of less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than 90 days, are presented net of new issuances and retirements. In contrast, short term borrowings with an original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maturity greater than 90 days and less than one year are presented on a gross basis.</w:t>
      </w:r>
    </w:p>
    <w:p>
      <w:pPr>
        <w:autoSpaceDN w:val="0"/>
        <w:autoSpaceDE w:val="0"/>
        <w:widowControl/>
        <w:spacing w:line="244" w:lineRule="exact" w:before="130" w:after="0"/>
        <w:ind w:left="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Accounting for Derivatives</w:t>
      </w:r>
    </w:p>
    <w:p>
      <w:pPr>
        <w:autoSpaceDN w:val="0"/>
        <w:autoSpaceDE w:val="0"/>
        <w:widowControl/>
        <w:spacing w:line="240" w:lineRule="exact" w:before="13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IDA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has elected not to designate any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hedging relationships for accounting purposes. Rather, all derivative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instruments are recorded at fair value on the Balance Sheets, with changes in fair value accounted for through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Statements of Income. 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presentation of derivative instruments on IDA’s Balance Sheets reflects the netting of derivative asset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liability positions and the related cash collateral received from the counterparty when a legally enforceable master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netting agreement exists, and other conditions are met. In addition, in the Notes to the financial statements, unless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stated differently, derivatives are presented on a net basis by instrument.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 master netting agreement is an industry standard agreement with a counterparty that permits multiple transactions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governed by that agreement to be terminated or accelerated and settled through a single payment in a single currency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the event of a default (e.g., bankruptcy, failure to make a required payment or transfer securities or deliver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collateral when due). Obligations under master netting agreements are often secured by collateral posted under an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industry standard credit support annex to the master netting agreement. Upon default by the counterparty,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collateral agreement grants an entity the right to set-off any amounts payable by the counterparty against any posted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collateral.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uses derivative instruments in its investment trading portfolio to manage interest rate and currency risks. These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derivatives are carried and reported at fair value. Interest revenue (expenses) from these instruments are reflected as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part of Investment interest revenue, while unrealized mark-to-market gains and losses on these derivatives are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reflected as part of the Unrealized mark-to-market gains (losses) on Investments-Trading portfolio, net line in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Statements of Income.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also uses derivatives in its loan, asset-liability management and borrowing portfolios. Within the asset-liability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management portfolio, currency forward contracts are used to manage foreign exchange fluctuation risks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interest rate swap contracts under the Capital Value Protection program are used to manage interest rate volatility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IDA’s capital adequacy model. In the loan and borrowing portfolios, interest rate swaps are used to modify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interest rate characteristics of these portfolios. The interest component of these derivatives is recognized as an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adjustment to the loan revenue and borrowing costs over the life of the derivative contracts and is included in Loans,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net and Borrowing expenses, net lines in the Statements of Income. Changes in fair values of these derivatives are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recorded in the Statements of Income as Unrealized mark-to-market gains and losses on non-trading portfolios, net.</w:t>
      </w:r>
    </w:p>
    <w:p>
      <w:pPr>
        <w:autoSpaceDN w:val="0"/>
        <w:autoSpaceDE w:val="0"/>
        <w:widowControl/>
        <w:spacing w:line="240" w:lineRule="exact" w:before="120" w:after="0"/>
        <w:ind w:left="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For the purpose of the Statements of Cash Flows, IDA has elected to report the cash flows associated with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derivative instruments that are used to economically hedge its borrowings and investments, in a manner consistent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with the presentation of the related borrowing and investment cash flows.</w:t>
      </w:r>
    </w:p>
    <w:p>
      <w:pPr>
        <w:autoSpaceDN w:val="0"/>
        <w:autoSpaceDE w:val="0"/>
        <w:widowControl/>
        <w:spacing w:line="240" w:lineRule="exact" w:before="120" w:after="0"/>
        <w:ind w:left="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Derivative contracts include currency forward contracts, TBA securities, swaptions, exchange traded options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futures contracts, currency swaps and interest rate swaps. Currency swaps and interest rate swaps are primarily plain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vanilla instruments and they are valued based on standard discounted cash flow methods using observable market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inputs such as yield curves, foreign exchange rates, basis spreads and funding spreads.</w:t>
      </w:r>
    </w:p>
    <w:p>
      <w:pPr>
        <w:autoSpaceDN w:val="0"/>
        <w:tabs>
          <w:tab w:pos="758" w:val="left"/>
        </w:tabs>
        <w:autoSpaceDE w:val="0"/>
        <w:widowControl/>
        <w:spacing w:line="224" w:lineRule="exact" w:before="1090" w:after="0"/>
        <w:ind w:left="5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88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Financial Statements: June 30, 2024</w:t>
      </w:r>
    </w:p>
    <w:p>
      <w:pPr>
        <w:sectPr>
          <w:pgSz w:w="12240" w:h="15840"/>
          <w:pgMar w:top="700" w:right="1370" w:bottom="2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24" w:lineRule="exact" w:before="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Most outstanding derivative positions are transacted over-the-counter and are therefore valued using internally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developed valuation models. For commercial and non-commercial counterparties where IDA is in a net receivable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position, IDA calculates a Credit Valuation Adjustment (CVA) to reflect credit risk. For net derivative positions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with commercial and non-commercial counterparties where IDA is in a net payable position, IDA calculates a DVA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to reflect its own credit risk. The CVA is calculated using future projected exposures of the derivative contracts, net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of collateral received under credit support agreements, and the probability of counterparty default based on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Credit Default Swaps (CDS) spread and, where applicable, proxy CDS spreads. The DVA calculation is generally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consistent with the CVA methodology and incorporates IDA’s own credit spread as observed through the CDS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market.</w:t>
      </w:r>
    </w:p>
    <w:p>
      <w:pPr>
        <w:autoSpaceDN w:val="0"/>
        <w:autoSpaceDE w:val="0"/>
        <w:widowControl/>
        <w:spacing w:line="244" w:lineRule="exact" w:before="114" w:after="0"/>
        <w:ind w:left="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Valuation of Financial Instruments</w:t>
      </w:r>
    </w:p>
    <w:p>
      <w:pPr>
        <w:autoSpaceDN w:val="0"/>
        <w:autoSpaceDE w:val="0"/>
        <w:widowControl/>
        <w:spacing w:line="240" w:lineRule="exact" w:before="13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has an established and documented process for determining fair values. Fair value is based upon quoted market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prices for the same or similar securities, where available.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Financial instruments for which quoted market prices are not readily available are valued based on discounted cash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flow models and other established valuation models. These models primarily use market-based or independently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sourced market parameters such as yield curves, interest rates, volatilities, foreign exchange rates and credit curves,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and may incorporate unobservable inputs. Selection of these inputs may involve some judgment. In instances where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management relies on instrument valuations supplied by external pricing vendors, there are procedures in place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validate the appropriateness of the models used as well as the inputs applied in determining those values.</w:t>
      </w:r>
    </w:p>
    <w:p>
      <w:pPr>
        <w:autoSpaceDN w:val="0"/>
        <w:autoSpaceDE w:val="0"/>
        <w:widowControl/>
        <w:spacing w:line="240" w:lineRule="exact" w:before="12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also has various internal controls in place to ensure that the valuations are appropriate where internally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developed models are used.</w:t>
      </w:r>
    </w:p>
    <w:p>
      <w:pPr>
        <w:autoSpaceDN w:val="0"/>
        <w:autoSpaceDE w:val="0"/>
        <w:widowControl/>
        <w:spacing w:line="240" w:lineRule="exact" w:before="12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As of June 30, 2024 and June 30, 2023, IDA had no financial assets or liabilities measured at fair value on a non-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recurring basis.</w:t>
      </w:r>
    </w:p>
    <w:p>
      <w:pPr>
        <w:autoSpaceDN w:val="0"/>
        <w:autoSpaceDE w:val="0"/>
        <w:widowControl/>
        <w:spacing w:line="244" w:lineRule="exact" w:before="130" w:after="0"/>
        <w:ind w:left="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Fair Value Hierarchy</w:t>
      </w:r>
    </w:p>
    <w:p>
      <w:pPr>
        <w:autoSpaceDN w:val="0"/>
        <w:autoSpaceDE w:val="0"/>
        <w:widowControl/>
        <w:spacing w:line="240" w:lineRule="exact" w:before="13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Financial instruments are categorized based on the priority of the inputs to the valuation technique. The fair value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hierarchy gives the highest priority to quoted prices in active markets for identical assets or liabilities (Level 1),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next highest priority to observable market-based inputs or inputs that are corroborated by market data (Level 2)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lowest priority to unobservable inputs that are not corroborated by market data (Level 3).</w:t>
      </w:r>
    </w:p>
    <w:p>
      <w:pPr>
        <w:autoSpaceDN w:val="0"/>
        <w:autoSpaceDE w:val="0"/>
        <w:widowControl/>
        <w:spacing w:line="240" w:lineRule="exact" w:before="12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Financial assets and liabilities recorded at fair value on the Balance Sheets are categorized based on the inputs to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valuation techniques as follows:</w:t>
      </w:r>
    </w:p>
    <w:p>
      <w:pPr>
        <w:autoSpaceDN w:val="0"/>
        <w:tabs>
          <w:tab w:pos="720" w:val="left"/>
        </w:tabs>
        <w:autoSpaceDE w:val="0"/>
        <w:widowControl/>
        <w:spacing w:line="240" w:lineRule="exact" w:before="12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Level 1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: Financial assets and liabilities whose values are based on unadjusted quoted prices for identical assets or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liabilities in active markets.</w:t>
      </w:r>
    </w:p>
    <w:p>
      <w:pPr>
        <w:autoSpaceDN w:val="0"/>
        <w:autoSpaceDE w:val="0"/>
        <w:widowControl/>
        <w:spacing w:line="240" w:lineRule="exact" w:before="120" w:after="0"/>
        <w:ind w:left="720" w:right="22" w:hanging="720"/>
        <w:jc w:val="both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Level 2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: Financial assets and liabilities whose values are based on quoted prices for similar assets or liabilities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active markets; quoted prices for identical or similar assets or liabilities in non-active markets; or pricing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models for which all significant inputs are observable, either directly or indirectly for substantially the full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term of the asset or liability.</w:t>
      </w:r>
    </w:p>
    <w:p>
      <w:pPr>
        <w:autoSpaceDN w:val="0"/>
        <w:tabs>
          <w:tab w:pos="720" w:val="left"/>
        </w:tabs>
        <w:autoSpaceDE w:val="0"/>
        <w:widowControl/>
        <w:spacing w:line="240" w:lineRule="exact" w:before="12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Level 3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: Financial assets and liabilities whose values are based on prices or valuation techniques that require inputs </w:t>
      </w:r>
      <w:r>
        <w:tab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that are both unobservable and significant to the overall fair value measurement.</w:t>
      </w:r>
    </w:p>
    <w:p>
      <w:pPr>
        <w:autoSpaceDN w:val="0"/>
        <w:autoSpaceDE w:val="0"/>
        <w:widowControl/>
        <w:spacing w:line="240" w:lineRule="exact" w:before="12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IDA’s policy is to recognize transfers in and transfers out of levels as of the end of the reporting period in which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they occur.</w:t>
      </w:r>
    </w:p>
    <w:p>
      <w:pPr>
        <w:autoSpaceDN w:val="0"/>
        <w:autoSpaceDE w:val="0"/>
        <w:widowControl/>
        <w:spacing w:line="244" w:lineRule="exact" w:before="130" w:after="0"/>
        <w:ind w:left="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Accounting for Contributions to Special Programs</w:t>
      </w:r>
    </w:p>
    <w:p>
      <w:pPr>
        <w:autoSpaceDN w:val="0"/>
        <w:autoSpaceDE w:val="0"/>
        <w:widowControl/>
        <w:spacing w:line="240" w:lineRule="exact" w:before="13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recognizes unconditional grants such as contributions to special programs as an expense upon approval by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Executive Directors. </w:t>
      </w:r>
    </w:p>
    <w:p>
      <w:pPr>
        <w:autoSpaceDN w:val="0"/>
        <w:autoSpaceDE w:val="0"/>
        <w:widowControl/>
        <w:spacing w:line="244" w:lineRule="exact" w:before="130" w:after="0"/>
        <w:ind w:left="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Transfers</w:t>
      </w:r>
    </w:p>
    <w:p>
      <w:pPr>
        <w:autoSpaceDN w:val="0"/>
        <w:autoSpaceDE w:val="0"/>
        <w:widowControl/>
        <w:spacing w:line="240" w:lineRule="exact" w:before="130" w:after="0"/>
        <w:ind w:left="0" w:right="0" w:firstLine="0"/>
        <w:jc w:val="center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Transfers from IBRD’s net income to IDA are recognized in the Statements of Income upon approval by the Board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of Governors of IBRD. Similarly, transfers relating to grants made from IFC’s retained earnings to IDA are </w:t>
      </w:r>
    </w:p>
    <w:p>
      <w:pPr>
        <w:autoSpaceDN w:val="0"/>
        <w:tabs>
          <w:tab w:pos="9084" w:val="left"/>
        </w:tabs>
        <w:autoSpaceDE w:val="0"/>
        <w:widowControl/>
        <w:spacing w:line="224" w:lineRule="exact" w:before="1162" w:after="0"/>
        <w:ind w:left="498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Financial Statements: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89</w:t>
      </w:r>
    </w:p>
    <w:p>
      <w:pPr>
        <w:sectPr>
          <w:pgSz w:w="12240" w:h="15840"/>
          <w:pgMar w:top="700" w:right="1370" w:bottom="2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30" w:lineRule="exact" w:before="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recognized in the Transfers from affiliated organizations and others on the Statements of Income upon execution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 grant agreement between IFC and IDA. </w:t>
      </w:r>
    </w:p>
    <w:p>
      <w:pPr>
        <w:autoSpaceDN w:val="0"/>
        <w:autoSpaceDE w:val="0"/>
        <w:widowControl/>
        <w:spacing w:line="240" w:lineRule="exact" w:before="120" w:after="0"/>
        <w:ind w:left="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addition, IDA periodically receives contributions from trust funds and private institutions. IDA does not assign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any voting rights for these contributions. Temporary restrictions relating to these contributions may arise from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timing of receipt of cash, or donor imposed restrictions as to use. </w:t>
      </w:r>
    </w:p>
    <w:p>
      <w:pPr>
        <w:autoSpaceDN w:val="0"/>
        <w:autoSpaceDE w:val="0"/>
        <w:widowControl/>
        <w:spacing w:line="244" w:lineRule="exact" w:before="130" w:after="0"/>
        <w:ind w:left="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Trust Funds</w:t>
      </w:r>
    </w:p>
    <w:p>
      <w:pPr>
        <w:autoSpaceDN w:val="0"/>
        <w:autoSpaceDE w:val="0"/>
        <w:widowControl/>
        <w:spacing w:line="240" w:lineRule="exact" w:before="13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To the extent that IDA acts as an agent for or controls Bank-executed activities for trust funds, assets held on behalf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of specified beneficiaries are recorded on IDA’s Balance Sheets, along with corresponding liabilities. Amounts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disbursed from these trust funds are recorded as expenses with the corresponding amounts recognized as revenue.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For recipient-executed activities for trust funds, since IDA acts as a trustee, no assets or liabilities relating to these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activities are recorded on the Balance Sheets.</w:t>
      </w:r>
    </w:p>
    <w:p>
      <w:pPr>
        <w:autoSpaceDN w:val="0"/>
        <w:autoSpaceDE w:val="0"/>
        <w:widowControl/>
        <w:spacing w:line="240" w:lineRule="exact" w:before="120" w:after="0"/>
        <w:ind w:left="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some trust funds, execution is split between recipient-executed and IDA-executed portions. Decisions 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assignment of funding resources between the two types of execution may be made on an ongoing basis; therefore,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execution of a portion of these available resources may not yet be assigned.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also acts as a financial intermediary to provide specific administrative or financial services with a limited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fiduciary or operational role. These arrangements, referred to as Financial Intermediary Funds, include, for example,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administration of debt service trust funds, financial intermediation and other more specialized limited fund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management roles. For these arrangements, funds are held and disbursed in accordance with instructions from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donors or, in some cases, an external governance structure or a body operating on behalf of donors. For Financial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Intermediary Funds, since IDA acts as a trustee, no assets or liabilities relating to these activities are recorded 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IDA’s Balance Sheets.</w:t>
      </w:r>
    </w:p>
    <w:p>
      <w:pPr>
        <w:autoSpaceDN w:val="0"/>
        <w:autoSpaceDE w:val="0"/>
        <w:widowControl/>
        <w:spacing w:line="244" w:lineRule="exact" w:before="130" w:after="0"/>
        <w:ind w:left="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Accounting and Reporting Developments</w:t>
      </w:r>
    </w:p>
    <w:p>
      <w:pPr>
        <w:autoSpaceDN w:val="0"/>
        <w:autoSpaceDE w:val="0"/>
        <w:widowControl/>
        <w:spacing w:line="222" w:lineRule="exact" w:before="148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Evaluated Accounting Standards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March 2022, the Financial Accounting Standards Board (FASB) issued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Accounting Standard Update (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ASU)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2022-02, </w:t>
      </w:r>
      <w:r>
        <w:rPr>
          <w:rFonts w:ascii="TimesNewRoman" w:hAnsi="TimesNewRoman" w:eastAsia="TimesNewRoman"/>
          <w:b w:val="0"/>
          <w:i/>
          <w:color w:val="000000"/>
          <w:sz w:val="20"/>
        </w:rPr>
        <w:t>Troubled Debt Restructurings and Vintage Disclosures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, which eliminates the accounting guidance 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troubled debt restructurings for creditors and amends the guidance on “vintage disclosures” to require disclosure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current-period gross write-offs by year of origination. The ASU became effective for IDA from the quarter ended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September 30, 2023.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a result of adoption of the ASU, IDA included additional vintage disclosure information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Note D - Loans and Other exposures. </w:t>
      </w:r>
    </w:p>
    <w:p>
      <w:pPr>
        <w:autoSpaceDN w:val="0"/>
        <w:autoSpaceDE w:val="0"/>
        <w:widowControl/>
        <w:spacing w:line="222" w:lineRule="exact" w:before="138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Accounting Standards Under Evaluation</w:t>
      </w:r>
    </w:p>
    <w:p>
      <w:pPr>
        <w:autoSpaceDN w:val="0"/>
        <w:autoSpaceDE w:val="0"/>
        <w:widowControl/>
        <w:spacing w:line="224" w:lineRule="exact" w:before="136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November 2023, the FASB issued ASU 2023-07, </w:t>
      </w:r>
      <w:r>
        <w:rPr>
          <w:rFonts w:ascii="TimesNewRoman" w:hAnsi="TimesNewRoman" w:eastAsia="TimesNewRoman"/>
          <w:b w:val="0"/>
          <w:i/>
          <w:color w:val="000000"/>
          <w:sz w:val="20"/>
        </w:rPr>
        <w:t xml:space="preserve">Segment Reporting (Topic 280): Improvements to Reportable </w:t>
      </w:r>
      <w:r>
        <w:rPr>
          <w:rFonts w:ascii="TimesNewRoman" w:hAnsi="TimesNewRoman" w:eastAsia="TimesNewRoman"/>
          <w:b w:val="0"/>
          <w:i/>
          <w:color w:val="000000"/>
          <w:sz w:val="20"/>
        </w:rPr>
        <w:t xml:space="preserve">Segment Disclosures,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which requires additional segment disclosures for public entities, including those with a single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reportable segment, such as the significant segment expenses that are regularly provided to the chief operating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decision maker (CODM), the title and position of the CODM, as well as an explanation of how the CODM uses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reported measure of segment profit or loss. All existing annual disclosures about segment profit or loss must be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provided on an interim basis in addition to disclosure of significant segment expenses. For IDA, the ASU will be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effective for the annual period ending June 30, 2025 (annual statements of fiscal year 2025). IDA is currently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evaluating the impact of the ASU on its financial statements.</w:t>
      </w:r>
    </w:p>
    <w:p>
      <w:pPr>
        <w:autoSpaceDN w:val="0"/>
        <w:autoSpaceDE w:val="0"/>
        <w:widowControl/>
        <w:spacing w:line="240" w:lineRule="exact" w:before="104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October 2023, the FASB issued ASU 2023-06, </w:t>
      </w:r>
      <w:r>
        <w:rPr>
          <w:rFonts w:ascii="TimesNewRoman" w:hAnsi="TimesNewRoman" w:eastAsia="TimesNewRoman"/>
          <w:b w:val="0"/>
          <w:i/>
          <w:color w:val="000000"/>
          <w:sz w:val="20"/>
        </w:rPr>
        <w:t xml:space="preserve">Disclosure Improvements: Codification Amendments in Response </w:t>
      </w:r>
      <w:r>
        <w:rPr>
          <w:rFonts w:ascii="TimesNewRoman" w:hAnsi="TimesNewRoman" w:eastAsia="TimesNewRoman"/>
          <w:b w:val="0"/>
          <w:i/>
          <w:color w:val="000000"/>
          <w:sz w:val="20"/>
        </w:rPr>
        <w:t>to the SEC’s Disclosure Update and Simplification Initiative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. The new guidance is intended to align U.S. GAAP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requirements with those of the SEC and to facilitate the application of U.S. GAAP for all entities. If by June 30,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2027, the SEC has not removed the related SEC requirement, the related ASU amendment will not become effective. </w:t>
      </w:r>
    </w:p>
    <w:p>
      <w:pPr>
        <w:autoSpaceDN w:val="0"/>
        <w:autoSpaceDE w:val="0"/>
        <w:widowControl/>
        <w:spacing w:line="222" w:lineRule="exact" w:before="44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IDA is currently evaluating the impact of the ASU on its financial statements.</w:t>
      </w:r>
    </w:p>
    <w:p>
      <w:pPr>
        <w:autoSpaceDN w:val="0"/>
        <w:tabs>
          <w:tab w:pos="758" w:val="left"/>
        </w:tabs>
        <w:autoSpaceDE w:val="0"/>
        <w:widowControl/>
        <w:spacing w:line="224" w:lineRule="exact" w:before="2248" w:after="0"/>
        <w:ind w:left="5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90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Financial Statements: June 30, 2024</w:t>
      </w:r>
    </w:p>
    <w:p>
      <w:pPr>
        <w:sectPr>
          <w:pgSz w:w="12240" w:h="15840"/>
          <w:pgMar w:top="700" w:right="1370" w:bottom="2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2"/>
        <w:ind w:left="0" w:right="0"/>
      </w:pPr>
    </w:p>
    <w:p>
      <w:pPr>
        <w:autoSpaceDN w:val="0"/>
        <w:autoSpaceDE w:val="0"/>
        <w:widowControl/>
        <w:spacing w:line="224" w:lineRule="exact" w:before="0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NOTE B—MEMBERS’ SUBSCRIPTIONS AND CONTRIBUTIONS AND MEMBERSHIP</w:t>
      </w:r>
    </w:p>
    <w:p>
      <w:pPr>
        <w:autoSpaceDN w:val="0"/>
        <w:autoSpaceDE w:val="0"/>
        <w:widowControl/>
        <w:spacing w:line="222" w:lineRule="exact" w:before="132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movement in Subscriptions and Contributions paid-in is summarized below: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B1: Subscriptions and contributions paid-in</w:t>
      </w:r>
    </w:p>
    <w:p>
      <w:pPr>
        <w:autoSpaceDN w:val="0"/>
        <w:autoSpaceDE w:val="0"/>
        <w:widowControl/>
        <w:spacing w:line="178" w:lineRule="exact" w:before="154" w:after="20"/>
        <w:ind w:left="118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88"/>
        <w:gridCol w:w="1888"/>
        <w:gridCol w:w="1888"/>
        <w:gridCol w:w="1888"/>
        <w:gridCol w:w="1888"/>
      </w:tblGrid>
      <w:tr>
        <w:trPr>
          <w:trHeight w:hRule="exact" w:val="240"/>
        </w:trPr>
        <w:tc>
          <w:tcPr>
            <w:tcW w:type="dxa" w:w="55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2024</w:t>
            </w:r>
          </w:p>
        </w:tc>
        <w:tc>
          <w:tcPr>
            <w:tcW w:type="dxa" w:w="5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1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1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2023</w:t>
            </w:r>
          </w:p>
        </w:tc>
      </w:tr>
      <w:tr>
        <w:trPr>
          <w:trHeight w:hRule="exact" w:val="220"/>
        </w:trPr>
        <w:tc>
          <w:tcPr>
            <w:tcW w:type="dxa" w:w="55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Beginning of the fiscal year</w:t>
            </w:r>
          </w:p>
        </w:tc>
        <w:tc>
          <w:tcPr>
            <w:tcW w:type="dxa" w:w="25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3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271,258 </w:t>
            </w:r>
          </w:p>
        </w:tc>
        <w:tc>
          <w:tcPr>
            <w:tcW w:type="dxa" w:w="57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51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257,777 </w:t>
            </w:r>
          </w:p>
        </w:tc>
      </w:tr>
      <w:tr>
        <w:trPr>
          <w:trHeight w:hRule="exact" w:val="260"/>
        </w:trPr>
        <w:tc>
          <w:tcPr>
            <w:tcW w:type="dxa" w:w="5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Cash contributions received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a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3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0" w:right="3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4,620 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5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0" w:right="4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5,100 </w:t>
            </w:r>
          </w:p>
        </w:tc>
      </w:tr>
      <w:tr>
        <w:trPr>
          <w:trHeight w:hRule="exact" w:val="240"/>
        </w:trPr>
        <w:tc>
          <w:tcPr>
            <w:tcW w:type="dxa" w:w="5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Demand obligations received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3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4,276 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5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4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8,506 </w:t>
            </w:r>
          </w:p>
        </w:tc>
      </w:tr>
      <w:tr>
        <w:trPr>
          <w:trHeight w:hRule="exact" w:val="240"/>
        </w:trPr>
        <w:tc>
          <w:tcPr>
            <w:tcW w:type="dxa" w:w="55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Translation adjustment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3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(81) 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51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(125) </w:t>
            </w:r>
          </w:p>
        </w:tc>
      </w:tr>
      <w:tr>
        <w:trPr>
          <w:trHeight w:hRule="exact" w:val="220"/>
        </w:trPr>
        <w:tc>
          <w:tcPr>
            <w:tcW w:type="dxa" w:w="55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End of the fiscal year</w:t>
            </w:r>
          </w:p>
        </w:tc>
        <w:tc>
          <w:tcPr>
            <w:tcW w:type="dxa" w:w="2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3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280,073 </w:t>
            </w:r>
          </w:p>
        </w:tc>
        <w:tc>
          <w:tcPr>
            <w:tcW w:type="dxa" w:w="5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51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271,258 </w:t>
            </w:r>
          </w:p>
        </w:tc>
      </w:tr>
    </w:tbl>
    <w:p>
      <w:pPr>
        <w:autoSpaceDN w:val="0"/>
        <w:autoSpaceDE w:val="0"/>
        <w:widowControl/>
        <w:spacing w:line="178" w:lineRule="exact" w:before="342" w:after="0"/>
        <w:ind w:left="118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a. Includes any restricted cash subscriptions.</w:t>
      </w:r>
    </w:p>
    <w:p>
      <w:pPr>
        <w:autoSpaceDN w:val="0"/>
        <w:autoSpaceDE w:val="0"/>
        <w:widowControl/>
        <w:spacing w:line="240" w:lineRule="exact" w:before="188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 xml:space="preserve">Table B2: Nonnegotiable, non interest-bearing demand obligations on account of members' subscriptions and </w:t>
      </w:r>
      <w:r>
        <w:rPr>
          <w:rFonts w:ascii="TimesNewRoman" w:hAnsi="TimesNewRoman" w:eastAsia="TimesNewRoman"/>
          <w:b/>
          <w:i w:val="0"/>
          <w:color w:val="000000"/>
          <w:sz w:val="20"/>
        </w:rPr>
        <w:t>contributions</w:t>
      </w:r>
    </w:p>
    <w:p>
      <w:pPr>
        <w:autoSpaceDN w:val="0"/>
        <w:autoSpaceDE w:val="0"/>
        <w:widowControl/>
        <w:spacing w:line="178" w:lineRule="exact" w:before="154" w:after="20"/>
        <w:ind w:left="118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88"/>
        <w:gridCol w:w="1888"/>
        <w:gridCol w:w="1888"/>
        <w:gridCol w:w="1888"/>
        <w:gridCol w:w="1888"/>
      </w:tblGrid>
      <w:tr>
        <w:trPr>
          <w:trHeight w:hRule="exact" w:val="240"/>
        </w:trPr>
        <w:tc>
          <w:tcPr>
            <w:tcW w:type="dxa" w:w="55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2024</w:t>
            </w:r>
          </w:p>
        </w:tc>
        <w:tc>
          <w:tcPr>
            <w:tcW w:type="dxa" w:w="5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1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2023</w:t>
            </w:r>
          </w:p>
        </w:tc>
      </w:tr>
      <w:tr>
        <w:trPr>
          <w:trHeight w:hRule="exact" w:val="240"/>
        </w:trPr>
        <w:tc>
          <w:tcPr>
            <w:tcW w:type="dxa" w:w="55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Beginning of the fiscal year</w:t>
            </w:r>
          </w:p>
        </w:tc>
        <w:tc>
          <w:tcPr>
            <w:tcW w:type="dxa" w:w="25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3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13,477 </w:t>
            </w:r>
          </w:p>
        </w:tc>
        <w:tc>
          <w:tcPr>
            <w:tcW w:type="dxa" w:w="55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53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46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10,167 </w:t>
            </w:r>
          </w:p>
        </w:tc>
      </w:tr>
      <w:tr>
        <w:trPr>
          <w:trHeight w:hRule="exact" w:val="240"/>
        </w:trPr>
        <w:tc>
          <w:tcPr>
            <w:tcW w:type="dxa" w:w="5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Demand obligations received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3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4,276 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5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46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8,506 </w:t>
            </w:r>
          </w:p>
        </w:tc>
      </w:tr>
      <w:tr>
        <w:trPr>
          <w:trHeight w:hRule="exact" w:val="240"/>
        </w:trPr>
        <w:tc>
          <w:tcPr>
            <w:tcW w:type="dxa" w:w="5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Demand obligations encashed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3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0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(5,119) 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5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4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(5,071) </w:t>
            </w:r>
          </w:p>
        </w:tc>
      </w:tr>
      <w:tr>
        <w:trPr>
          <w:trHeight w:hRule="exact" w:val="240"/>
        </w:trPr>
        <w:tc>
          <w:tcPr>
            <w:tcW w:type="dxa" w:w="55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Translation adjustment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3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0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(81) 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53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4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(125) </w:t>
            </w:r>
          </w:p>
        </w:tc>
      </w:tr>
      <w:tr>
        <w:trPr>
          <w:trHeight w:hRule="exact" w:val="220"/>
        </w:trPr>
        <w:tc>
          <w:tcPr>
            <w:tcW w:type="dxa" w:w="55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End of the fiscal year</w:t>
            </w:r>
          </w:p>
        </w:tc>
        <w:tc>
          <w:tcPr>
            <w:tcW w:type="dxa" w:w="2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3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12,553 </w:t>
            </w:r>
          </w:p>
        </w:tc>
        <w:tc>
          <w:tcPr>
            <w:tcW w:type="dxa" w:w="5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5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13,477 </w:t>
            </w:r>
          </w:p>
        </w:tc>
      </w:tr>
    </w:tbl>
    <w:p>
      <w:pPr>
        <w:autoSpaceDN w:val="0"/>
        <w:autoSpaceDE w:val="0"/>
        <w:widowControl/>
        <w:spacing w:line="224" w:lineRule="exact" w:before="614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NOTE C—INVESTMENTS</w:t>
      </w:r>
    </w:p>
    <w:p>
      <w:pPr>
        <w:autoSpaceDN w:val="0"/>
        <w:autoSpaceDE w:val="0"/>
        <w:widowControl/>
        <w:spacing w:line="240" w:lineRule="exact" w:before="114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investment securities held by IDA are designated as either trading or non-trading. All securities are carried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reported at fair value, or at face value, which approximates fair value.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of June 30, 2024, IDA’s Investments were mainly comprised of government and agency obligations (56%)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time deposits (43%), with all of the instruments classified as either Level 1 or Level 2 within the fair value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hierarchy. </w:t>
      </w:r>
    </w:p>
    <w:p>
      <w:pPr>
        <w:autoSpaceDN w:val="0"/>
        <w:autoSpaceDE w:val="0"/>
        <w:widowControl/>
        <w:spacing w:line="222" w:lineRule="exact" w:before="138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 summary of IDA’s Investments is as follows: 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C1: Investments-composition</w:t>
      </w:r>
    </w:p>
    <w:p>
      <w:pPr>
        <w:autoSpaceDN w:val="0"/>
        <w:autoSpaceDE w:val="0"/>
        <w:widowControl/>
        <w:spacing w:line="178" w:lineRule="exact" w:before="154" w:after="2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0"/>
        <w:gridCol w:w="4720"/>
      </w:tblGrid>
      <w:tr>
        <w:trPr>
          <w:trHeight w:hRule="exact" w:val="240"/>
        </w:trPr>
        <w:tc>
          <w:tcPr>
            <w:tcW w:type="dxa" w:w="741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58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2024</w:t>
            </w:r>
          </w:p>
        </w:tc>
        <w:tc>
          <w:tcPr>
            <w:tcW w:type="dxa" w:w="190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1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2023</w:t>
            </w:r>
          </w:p>
        </w:tc>
      </w:tr>
    </w:tbl>
    <w:p>
      <w:pPr>
        <w:autoSpaceDN w:val="0"/>
        <w:autoSpaceDE w:val="0"/>
        <w:widowControl/>
        <w:spacing w:line="178" w:lineRule="exact" w:before="22" w:after="30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Trading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0.0" w:type="dxa"/>
      </w:tblPr>
      <w:tblGrid>
        <w:gridCol w:w="1888"/>
        <w:gridCol w:w="1888"/>
        <w:gridCol w:w="1888"/>
        <w:gridCol w:w="1888"/>
        <w:gridCol w:w="1888"/>
      </w:tblGrid>
      <w:tr>
        <w:trPr>
          <w:trHeight w:hRule="exact" w:val="240"/>
        </w:trPr>
        <w:tc>
          <w:tcPr>
            <w:tcW w:type="dxa" w:w="55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Government and agency obligations</w:t>
            </w:r>
          </w:p>
        </w:tc>
        <w:tc>
          <w:tcPr>
            <w:tcW w:type="dxa" w:w="52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4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3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19,380 </w:t>
            </w:r>
          </w:p>
        </w:tc>
        <w:tc>
          <w:tcPr>
            <w:tcW w:type="dxa" w:w="47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19,770 </w:t>
            </w:r>
          </w:p>
        </w:tc>
      </w:tr>
      <w:tr>
        <w:trPr>
          <w:trHeight w:hRule="exact" w:val="240"/>
        </w:trPr>
        <w:tc>
          <w:tcPr>
            <w:tcW w:type="dxa" w:w="55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Time deposits</w:t>
            </w:r>
          </w:p>
        </w:tc>
        <w:tc>
          <w:tcPr>
            <w:tcW w:type="dxa" w:w="1888"/>
            <w:vMerge/>
            <w:tcBorders>
              <w:bottom w:sz="8.0" w:val="single" w:color="#000000"/>
            </w:tcBorders>
          </w:tcPr>
          <w:p/>
        </w:tc>
        <w:tc>
          <w:tcPr>
            <w:tcW w:type="dxa" w:w="14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3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14,715 </w:t>
            </w:r>
          </w:p>
        </w:tc>
        <w:tc>
          <w:tcPr>
            <w:tcW w:type="dxa" w:w="1888"/>
            <w:vMerge/>
            <w:tcBorders>
              <w:bottom w:sz="8.0" w:val="single" w:color="#000000"/>
            </w:tcBorders>
          </w:tcPr>
          <w:p/>
        </w:tc>
        <w:tc>
          <w:tcPr>
            <w:tcW w:type="dxa" w:w="11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11,703 </w:t>
            </w:r>
          </w:p>
        </w:tc>
      </w:tr>
      <w:tr>
        <w:trPr>
          <w:trHeight w:hRule="exact" w:val="240"/>
        </w:trPr>
        <w:tc>
          <w:tcPr>
            <w:tcW w:type="dxa" w:w="557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Asset-backed securities (ABS)</w:t>
            </w:r>
          </w:p>
        </w:tc>
        <w:tc>
          <w:tcPr>
            <w:tcW w:type="dxa" w:w="1888"/>
            <w:vMerge/>
            <w:tcBorders>
              <w:bottom w:sz="8.0" w:val="single" w:color="#000000"/>
            </w:tcBorders>
          </w:tcPr>
          <w:p/>
        </w:tc>
        <w:tc>
          <w:tcPr>
            <w:tcW w:type="dxa" w:w="14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111 </w:t>
            </w:r>
          </w:p>
        </w:tc>
        <w:tc>
          <w:tcPr>
            <w:tcW w:type="dxa" w:w="1888"/>
            <w:vMerge/>
            <w:tcBorders>
              <w:bottom w:sz="8.0" w:val="single" w:color="#000000"/>
            </w:tcBorders>
          </w:tcPr>
          <w:p/>
        </w:tc>
        <w:tc>
          <w:tcPr>
            <w:tcW w:type="dxa" w:w="11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105 </w:t>
            </w:r>
          </w:p>
        </w:tc>
      </w:tr>
      <w:tr>
        <w:trPr>
          <w:trHeight w:hRule="exact" w:val="240"/>
        </w:trPr>
        <w:tc>
          <w:tcPr>
            <w:tcW w:type="dxa" w:w="557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2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47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3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34,206 </w:t>
            </w:r>
          </w:p>
        </w:tc>
        <w:tc>
          <w:tcPr>
            <w:tcW w:type="dxa" w:w="47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7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31,578 </w:t>
            </w:r>
          </w:p>
        </w:tc>
      </w:tr>
    </w:tbl>
    <w:p>
      <w:pPr>
        <w:autoSpaceDN w:val="0"/>
        <w:autoSpaceDE w:val="0"/>
        <w:widowControl/>
        <w:spacing w:line="178" w:lineRule="exact" w:before="32" w:after="30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Non-trading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73"/>
        <w:gridCol w:w="1573"/>
        <w:gridCol w:w="1573"/>
        <w:gridCol w:w="1573"/>
        <w:gridCol w:w="1573"/>
        <w:gridCol w:w="1573"/>
      </w:tblGrid>
      <w:tr>
        <w:trPr>
          <w:trHeight w:hRule="exact" w:val="240"/>
        </w:trPr>
        <w:tc>
          <w:tcPr>
            <w:tcW w:type="dxa" w:w="30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Debt security</w:t>
            </w:r>
          </w:p>
        </w:tc>
        <w:tc>
          <w:tcPr>
            <w:tcW w:type="dxa" w:w="5080"/>
            <w:gridSpan w:val="3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0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171 </w:t>
            </w:r>
          </w:p>
        </w:tc>
        <w:tc>
          <w:tcPr>
            <w:tcW w:type="dxa" w:w="8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244 </w:t>
            </w:r>
          </w:p>
        </w:tc>
        <w:tc>
          <w:tcPr>
            <w:tcW w:type="dxa" w:w="2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20"/>
        </w:trPr>
        <w:tc>
          <w:tcPr>
            <w:tcW w:type="dxa" w:w="30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31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2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34,377 </w:t>
            </w:r>
          </w:p>
        </w:tc>
        <w:tc>
          <w:tcPr>
            <w:tcW w:type="dxa" w:w="7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31,822 </w:t>
            </w:r>
          </w:p>
        </w:tc>
        <w:tc>
          <w:tcPr>
            <w:tcW w:type="dxa" w:w="2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820"/>
        </w:trPr>
        <w:tc>
          <w:tcPr>
            <w:tcW w:type="dxa" w:w="307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960"/>
            <w:gridSpan w:val="4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606" w:after="0"/>
              <w:ind w:left="0" w:right="4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IDA Financial Statements: June 30, 2024</w:t>
            </w:r>
          </w:p>
        </w:tc>
        <w:tc>
          <w:tcPr>
            <w:tcW w:type="dxa" w:w="2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60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91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02" w:right="1370" w:bottom="2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30" w:lineRule="exact" w:before="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manages its investments on a net portfolio basis. As of June 30, 2024, the largest holdings from a single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counterparty within the net investment portfolio was French government instruments (13%). 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uses derivative instruments to manage currency and interest rate risk in the investment portfolio. For details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regarding these instruments, see Note F—Derivative Instruments. The following table summarizes IDA’s net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portfolio position: 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C2: Net investment portfolio position</w:t>
      </w:r>
    </w:p>
    <w:p>
      <w:pPr>
        <w:autoSpaceDN w:val="0"/>
        <w:autoSpaceDE w:val="0"/>
        <w:widowControl/>
        <w:spacing w:line="178" w:lineRule="exact" w:before="154" w:after="2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0"/>
        <w:gridCol w:w="4720"/>
      </w:tblGrid>
      <w:tr>
        <w:trPr>
          <w:trHeight w:hRule="exact" w:val="240"/>
        </w:trPr>
        <w:tc>
          <w:tcPr>
            <w:tcW w:type="dxa" w:w="76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66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2024</w:t>
            </w:r>
          </w:p>
        </w:tc>
        <w:tc>
          <w:tcPr>
            <w:tcW w:type="dxa" w:w="15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2023</w:t>
            </w:r>
          </w:p>
        </w:tc>
      </w:tr>
    </w:tbl>
    <w:p>
      <w:pPr>
        <w:autoSpaceDN w:val="0"/>
        <w:autoSpaceDE w:val="0"/>
        <w:widowControl/>
        <w:spacing w:line="178" w:lineRule="exact" w:before="22" w:after="32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Investments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1888"/>
        <w:gridCol w:w="1888"/>
        <w:gridCol w:w="1888"/>
        <w:gridCol w:w="1888"/>
        <w:gridCol w:w="1888"/>
      </w:tblGrid>
      <w:tr>
        <w:trPr>
          <w:trHeight w:hRule="exact" w:val="238"/>
        </w:trPr>
        <w:tc>
          <w:tcPr>
            <w:tcW w:type="dxa" w:w="58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Trading</w:t>
            </w:r>
          </w:p>
        </w:tc>
        <w:tc>
          <w:tcPr>
            <w:tcW w:type="dxa" w:w="52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34,206 </w:t>
            </w:r>
          </w:p>
        </w:tc>
        <w:tc>
          <w:tcPr>
            <w:tcW w:type="dxa" w:w="46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31,578 </w:t>
            </w:r>
          </w:p>
        </w:tc>
      </w:tr>
      <w:tr>
        <w:trPr>
          <w:trHeight w:hRule="exact" w:val="240"/>
        </w:trPr>
        <w:tc>
          <w:tcPr>
            <w:tcW w:type="dxa" w:w="583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Non-trading</w:t>
            </w:r>
          </w:p>
        </w:tc>
        <w:tc>
          <w:tcPr>
            <w:tcW w:type="dxa" w:w="1888"/>
            <w:vMerge/>
            <w:tcBorders>
              <w:bottom w:sz="8.0" w:val="single" w:color="#000000"/>
            </w:tcBorders>
          </w:tcPr>
          <w:p/>
        </w:tc>
        <w:tc>
          <w:tcPr>
            <w:tcW w:type="dxa" w:w="12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171 </w:t>
            </w:r>
          </w:p>
        </w:tc>
        <w:tc>
          <w:tcPr>
            <w:tcW w:type="dxa" w:w="1888"/>
            <w:vMerge/>
            <w:tcBorders>
              <w:bottom w:sz="8.0" w:val="single" w:color="#000000"/>
            </w:tcBorders>
          </w:tcPr>
          <w:p/>
        </w:tc>
        <w:tc>
          <w:tcPr>
            <w:tcW w:type="dxa" w:w="111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244 </w:t>
            </w:r>
          </w:p>
        </w:tc>
      </w:tr>
      <w:tr>
        <w:trPr>
          <w:trHeight w:hRule="exact" w:val="240"/>
        </w:trPr>
        <w:tc>
          <w:tcPr>
            <w:tcW w:type="dxa" w:w="58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39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5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34,377 </w:t>
            </w:r>
          </w:p>
        </w:tc>
        <w:tc>
          <w:tcPr>
            <w:tcW w:type="dxa" w:w="4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1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31,822 </w:t>
            </w:r>
          </w:p>
        </w:tc>
      </w:tr>
      <w:tr>
        <w:trPr>
          <w:trHeight w:hRule="exact" w:val="580"/>
        </w:trPr>
        <w:tc>
          <w:tcPr>
            <w:tcW w:type="dxa" w:w="583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46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Securities purchased under resale agreements</w:t>
            </w:r>
          </w:p>
        </w:tc>
        <w:tc>
          <w:tcPr>
            <w:tcW w:type="dxa" w:w="524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2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46" w:after="0"/>
              <w:ind w:left="0" w:right="3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58 </w:t>
            </w:r>
          </w:p>
        </w:tc>
        <w:tc>
          <w:tcPr>
            <w:tcW w:type="dxa" w:w="460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11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46" w:after="0"/>
              <w:ind w:left="0" w:right="3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168 </w:t>
            </w:r>
          </w:p>
        </w:tc>
      </w:tr>
      <w:tr>
        <w:trPr>
          <w:trHeight w:hRule="exact" w:val="318"/>
        </w:trPr>
        <w:tc>
          <w:tcPr>
            <w:tcW w:type="dxa" w:w="58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38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Securities sold under repurchase agreements, securities lent under securities </w:t>
            </w:r>
          </w:p>
        </w:tc>
        <w:tc>
          <w:tcPr>
            <w:tcW w:type="dxa" w:w="1888"/>
            <w:vMerge/>
            <w:tcBorders>
              <w:top w:sz="8.0" w:val="single" w:color="#000000"/>
            </w:tcBorders>
          </w:tcPr>
          <w:p/>
        </w:tc>
        <w:tc>
          <w:tcPr>
            <w:tcW w:type="dxa" w:w="1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0" w:right="3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(964) </w:t>
            </w:r>
          </w:p>
        </w:tc>
        <w:tc>
          <w:tcPr>
            <w:tcW w:type="dxa" w:w="1888"/>
            <w:vMerge/>
            <w:tcBorders>
              <w:top w:sz="8.0" w:val="single" w:color="#000000"/>
            </w:tcBorders>
          </w:tcPr>
          <w:p/>
        </w:tc>
        <w:tc>
          <w:tcPr>
            <w:tcW w:type="dxa" w:w="111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0" w:right="26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(660) </w:t>
            </w:r>
          </w:p>
        </w:tc>
      </w:tr>
      <w:tr>
        <w:trPr>
          <w:trHeight w:hRule="exact" w:val="258"/>
        </w:trPr>
        <w:tc>
          <w:tcPr>
            <w:tcW w:type="dxa" w:w="58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0" w:after="0"/>
              <w:ind w:left="1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lending agreements, and payable for cash collateral received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a</w:t>
            </w:r>
          </w:p>
        </w:tc>
        <w:tc>
          <w:tcPr>
            <w:tcW w:type="dxa" w:w="1888"/>
            <w:vMerge/>
            <w:tcBorders>
              <w:top w:sz="8.0" w:val="single" w:color="#000000"/>
            </w:tcBorders>
          </w:tcPr>
          <w:p/>
        </w:tc>
        <w:tc>
          <w:tcPr>
            <w:tcW w:type="dxa" w:w="1888"/>
            <w:vMerge/>
            <w:tcBorders/>
          </w:tcPr>
          <w:p/>
        </w:tc>
        <w:tc>
          <w:tcPr>
            <w:tcW w:type="dxa" w:w="1888"/>
            <w:vMerge/>
            <w:tcBorders>
              <w:top w:sz="8.0" w:val="single" w:color="#000000"/>
            </w:tcBorders>
          </w:tcPr>
          <w:p/>
        </w:tc>
        <w:tc>
          <w:tcPr>
            <w:tcW w:type="dxa" w:w="1888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78" w:lineRule="exact" w:before="106" w:after="32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Derivative Assets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0.0" w:type="dxa"/>
      </w:tblPr>
      <w:tblGrid>
        <w:gridCol w:w="3147"/>
        <w:gridCol w:w="3147"/>
        <w:gridCol w:w="3147"/>
      </w:tblGrid>
      <w:tr>
        <w:trPr>
          <w:trHeight w:hRule="exact" w:val="228"/>
        </w:trPr>
        <w:tc>
          <w:tcPr>
            <w:tcW w:type="dxa" w:w="57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Currency swaps and currency forward contracts</w:t>
            </w:r>
          </w:p>
        </w:tc>
        <w:tc>
          <w:tcPr>
            <w:tcW w:type="dxa" w:w="17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232 </w:t>
            </w:r>
          </w:p>
        </w:tc>
        <w:tc>
          <w:tcPr>
            <w:tcW w:type="dxa" w:w="15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135 </w:t>
            </w:r>
          </w:p>
        </w:tc>
      </w:tr>
      <w:tr>
        <w:trPr>
          <w:trHeight w:hRule="exact" w:val="240"/>
        </w:trPr>
        <w:tc>
          <w:tcPr>
            <w:tcW w:type="dxa" w:w="57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Interest rate swaps</w:t>
            </w:r>
          </w:p>
        </w:tc>
        <w:tc>
          <w:tcPr>
            <w:tcW w:type="dxa" w:w="17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 </w:t>
            </w:r>
          </w:p>
        </w:tc>
        <w:tc>
          <w:tcPr>
            <w:tcW w:type="dxa" w:w="15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 </w:t>
            </w:r>
          </w:p>
        </w:tc>
      </w:tr>
      <w:tr>
        <w:trPr>
          <w:trHeight w:hRule="exact" w:val="250"/>
        </w:trPr>
        <w:tc>
          <w:tcPr>
            <w:tcW w:type="dxa" w:w="575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Other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b</w:t>
            </w:r>
          </w:p>
        </w:tc>
        <w:tc>
          <w:tcPr>
            <w:tcW w:type="dxa" w:w="174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 </w:t>
            </w:r>
          </w:p>
        </w:tc>
        <w:tc>
          <w:tcPr>
            <w:tcW w:type="dxa" w:w="157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</w:tr>
      <w:tr>
        <w:trPr>
          <w:trHeight w:hRule="exact" w:val="240"/>
        </w:trPr>
        <w:tc>
          <w:tcPr>
            <w:tcW w:type="dxa" w:w="57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3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17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237 </w:t>
            </w:r>
          </w:p>
        </w:tc>
        <w:tc>
          <w:tcPr>
            <w:tcW w:type="dxa" w:w="15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140 </w:t>
            </w:r>
          </w:p>
        </w:tc>
      </w:tr>
    </w:tbl>
    <w:p>
      <w:pPr>
        <w:autoSpaceDN w:val="0"/>
        <w:autoSpaceDE w:val="0"/>
        <w:widowControl/>
        <w:spacing w:line="180" w:lineRule="exact" w:before="256" w:after="30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Derivative Liabilities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88"/>
        <w:gridCol w:w="1888"/>
        <w:gridCol w:w="1888"/>
        <w:gridCol w:w="1888"/>
        <w:gridCol w:w="1888"/>
      </w:tblGrid>
      <w:tr>
        <w:trPr>
          <w:trHeight w:hRule="exact" w:val="238"/>
        </w:trPr>
        <w:tc>
          <w:tcPr>
            <w:tcW w:type="dxa" w:w="586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Currency swaps and currency forward contracts</w:t>
            </w:r>
          </w:p>
        </w:tc>
        <w:tc>
          <w:tcPr>
            <w:tcW w:type="dxa" w:w="52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3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(20) </w:t>
            </w:r>
          </w:p>
        </w:tc>
        <w:tc>
          <w:tcPr>
            <w:tcW w:type="dxa" w:w="4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1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3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(49) </w:t>
            </w:r>
          </w:p>
        </w:tc>
      </w:tr>
      <w:tr>
        <w:trPr>
          <w:trHeight w:hRule="exact" w:val="240"/>
        </w:trPr>
        <w:tc>
          <w:tcPr>
            <w:tcW w:type="dxa" w:w="586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4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5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(20) </w:t>
            </w:r>
          </w:p>
        </w:tc>
        <w:tc>
          <w:tcPr>
            <w:tcW w:type="dxa" w:w="4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1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(49) </w:t>
            </w:r>
          </w:p>
        </w:tc>
      </w:tr>
      <w:tr>
        <w:trPr>
          <w:trHeight w:hRule="exact" w:val="446"/>
        </w:trPr>
        <w:tc>
          <w:tcPr>
            <w:tcW w:type="dxa" w:w="586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26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Cash held in investment portfolio </w:t>
            </w:r>
            <w:r>
              <w:rPr>
                <w:w w:val="103.99999618530273"/>
                <w:rFonts w:ascii="Arial" w:hAnsi="Arial" w:eastAsia="Arial"/>
                <w:b/>
                <w:i w:val="0"/>
                <w:color w:val="000000"/>
                <w:sz w:val="10"/>
              </w:rPr>
              <w:t>c</w:t>
            </w:r>
          </w:p>
        </w:tc>
        <w:tc>
          <w:tcPr>
            <w:tcW w:type="dxa" w:w="52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2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8" w:after="0"/>
              <w:ind w:left="0" w:right="3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532 </w:t>
            </w:r>
          </w:p>
        </w:tc>
        <w:tc>
          <w:tcPr>
            <w:tcW w:type="dxa" w:w="46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11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570 </w:t>
            </w:r>
          </w:p>
        </w:tc>
      </w:tr>
      <w:tr>
        <w:trPr>
          <w:trHeight w:hRule="exact" w:val="240"/>
        </w:trPr>
        <w:tc>
          <w:tcPr>
            <w:tcW w:type="dxa" w:w="58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Receivable from investment securities traded and other assets </w:t>
            </w:r>
            <w:r>
              <w:rPr>
                <w:w w:val="103.99999618530273"/>
                <w:rFonts w:ascii="Arial" w:hAnsi="Arial" w:eastAsia="Arial"/>
                <w:b/>
                <w:i w:val="0"/>
                <w:color w:val="000000"/>
                <w:sz w:val="10"/>
              </w:rPr>
              <w:t>d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0" w:right="3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 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1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0" w:right="38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 </w:t>
            </w:r>
          </w:p>
        </w:tc>
      </w:tr>
      <w:tr>
        <w:trPr>
          <w:trHeight w:hRule="exact" w:val="260"/>
        </w:trPr>
        <w:tc>
          <w:tcPr>
            <w:tcW w:type="dxa" w:w="586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Payable for investment securities purchased </w:t>
            </w:r>
            <w:r>
              <w:rPr>
                <w:w w:val="103.99999618530273"/>
                <w:rFonts w:ascii="Arial" w:hAnsi="Arial" w:eastAsia="Arial"/>
                <w:b/>
                <w:i w:val="0"/>
                <w:color w:val="000000"/>
                <w:sz w:val="10"/>
              </w:rPr>
              <w:t>e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2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0" w:right="3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(648) 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11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(1,322) </w:t>
            </w:r>
          </w:p>
        </w:tc>
      </w:tr>
      <w:tr>
        <w:trPr>
          <w:trHeight w:hRule="exact" w:val="220"/>
        </w:trPr>
        <w:tc>
          <w:tcPr>
            <w:tcW w:type="dxa" w:w="586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Net Investment Portfolio</w:t>
            </w:r>
          </w:p>
        </w:tc>
        <w:tc>
          <w:tcPr>
            <w:tcW w:type="dxa" w:w="5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2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33,581 </w:t>
            </w:r>
          </w:p>
        </w:tc>
        <w:tc>
          <w:tcPr>
            <w:tcW w:type="dxa" w:w="4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1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30,672 </w:t>
            </w:r>
          </w:p>
        </w:tc>
      </w:tr>
    </w:tbl>
    <w:p>
      <w:pPr>
        <w:autoSpaceDN w:val="0"/>
        <w:tabs>
          <w:tab w:pos="242" w:val="left"/>
        </w:tabs>
        <w:autoSpaceDE w:val="0"/>
        <w:widowControl/>
        <w:spacing w:line="192" w:lineRule="exact" w:before="282" w:after="0"/>
        <w:ind w:left="62" w:right="144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a. As of June 30, 2024, this amount includes cash collateral of $893 million received from counterparties under derivative </w:t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>agreements ($439 million - June 30, 2023).</w:t>
      </w:r>
    </w:p>
    <w:p>
      <w:pPr>
        <w:autoSpaceDN w:val="0"/>
        <w:autoSpaceDE w:val="0"/>
        <w:widowControl/>
        <w:spacing w:line="180" w:lineRule="exact" w:before="60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b. These relate to to-be-announced (TBA) Securities, swaptions, exchange traded options and futures contracts.</w:t>
      </w:r>
    </w:p>
    <w:p>
      <w:pPr>
        <w:autoSpaceDN w:val="0"/>
        <w:autoSpaceDE w:val="0"/>
        <w:widowControl/>
        <w:spacing w:line="180" w:lineRule="exact" w:before="60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c. These amounts are included in Unrestricted cash under Due from banks on the Balance Sheets.</w:t>
      </w:r>
    </w:p>
    <w:p>
      <w:pPr>
        <w:autoSpaceDN w:val="0"/>
        <w:autoSpaceDE w:val="0"/>
        <w:widowControl/>
        <w:spacing w:line="180" w:lineRule="exact" w:before="60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d. These amounts are included in Other receivables on the Balance Sheets.</w:t>
      </w:r>
    </w:p>
    <w:p>
      <w:pPr>
        <w:autoSpaceDN w:val="0"/>
        <w:tabs>
          <w:tab w:pos="242" w:val="left"/>
        </w:tabs>
        <w:autoSpaceDE w:val="0"/>
        <w:widowControl/>
        <w:spacing w:line="192" w:lineRule="exact" w:before="50" w:after="0"/>
        <w:ind w:left="62" w:right="576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e. These amounts are included in Other liabilities on the Balance Sheets. As of June 30, 2024, short sales amounted to $59 </w:t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>million ($112 million - June 30, 2023).</w:t>
      </w:r>
    </w:p>
    <w:p>
      <w:pPr>
        <w:autoSpaceDN w:val="0"/>
        <w:autoSpaceDE w:val="0"/>
        <w:widowControl/>
        <w:spacing w:line="240" w:lineRule="exact" w:before="252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of June 30, 2024, IDA’s non-trading investment portfolio (principal amount due on a debt security with IFC) was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$185 million ($262 million—June 30, 2023). For details regarding this instrument, see Note H - Transactions with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Affiliated Organizations.</w:t>
      </w:r>
    </w:p>
    <w:p>
      <w:pPr>
        <w:autoSpaceDN w:val="0"/>
        <w:tabs>
          <w:tab w:pos="768" w:val="left"/>
        </w:tabs>
        <w:autoSpaceDE w:val="0"/>
        <w:widowControl/>
        <w:spacing w:line="224" w:lineRule="exact" w:before="3264" w:after="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92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Financial Statements: June 30, 2024</w:t>
      </w:r>
    </w:p>
    <w:p>
      <w:pPr>
        <w:sectPr>
          <w:pgSz w:w="12240" w:h="15840"/>
          <w:pgMar w:top="700" w:right="1370" w:bottom="2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76"/>
        <w:ind w:left="0" w:right="0"/>
      </w:pPr>
    </w:p>
    <w:p>
      <w:pPr>
        <w:autoSpaceDN w:val="0"/>
        <w:autoSpaceDE w:val="0"/>
        <w:widowControl/>
        <w:spacing w:line="244" w:lineRule="exact" w:before="0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Commercial Credit Risk</w:t>
      </w:r>
    </w:p>
    <w:p>
      <w:pPr>
        <w:autoSpaceDN w:val="0"/>
        <w:autoSpaceDE w:val="0"/>
        <w:widowControl/>
        <w:spacing w:line="240" w:lineRule="exact" w:before="13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For the purposes of risk management, IDA is party to a variety of financial transactions, certain of which involve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elements of credit risk. Credit risk exposure represents the maximum potential loss due to possible nonperformance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by obligors and counterparties under the terms of the contracts. For all securities, IDA limits trading to a list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authorized dealers and counterparties. In addition, credit limits have been established for counterparties by type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instrument and maturity category.</w:t>
      </w:r>
    </w:p>
    <w:p>
      <w:pPr>
        <w:autoSpaceDN w:val="0"/>
        <w:autoSpaceDE w:val="0"/>
        <w:widowControl/>
        <w:spacing w:line="222" w:lineRule="exact" w:before="138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Swap Agreements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Credit risk is mitigated through a credit approval process, volume limits, monitoring procedures and the use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mark-to-market collateral arrangements. IDA may require collateral in the form of cash or other approved liquid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securities from individual counterparties to mitigate its credit exposure. 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has entered into master derivative agreements, which contain legally enforceable close-out netting provisions.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These agreements may further reduce the gross credit risk exposure related to the swaps. Credit risk with financial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assets subject to a master derivatives arrangement is further reduced under these agreements to the extent that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payments and receipts with the counterparty are netted at settlement. The reduction in exposure as a result of these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netting provisions can vary due to the impact of changes in market conditions on existing and new transactions.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extent of the reduction in exposure may therefore change substantially within a short period of time following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balance sheet date. For more information on netting and offsetting provisions, see Note F—Derivative Instruments.</w:t>
      </w:r>
    </w:p>
    <w:p>
      <w:pPr>
        <w:autoSpaceDN w:val="0"/>
        <w:autoSpaceDE w:val="0"/>
        <w:widowControl/>
        <w:spacing w:line="222" w:lineRule="exact" w:before="138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following is a summary of the collateral received by IDA in relation to swap transactions.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C3: Collateral received</w:t>
      </w:r>
    </w:p>
    <w:p>
      <w:pPr>
        <w:autoSpaceDN w:val="0"/>
        <w:autoSpaceDE w:val="0"/>
        <w:widowControl/>
        <w:spacing w:line="178" w:lineRule="exact" w:before="154" w:after="2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0"/>
        <w:gridCol w:w="4720"/>
      </w:tblGrid>
      <w:tr>
        <w:trPr>
          <w:trHeight w:hRule="exact" w:val="240"/>
        </w:trPr>
        <w:tc>
          <w:tcPr>
            <w:tcW w:type="dxa" w:w="73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55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2024</w:t>
            </w:r>
          </w:p>
        </w:tc>
        <w:tc>
          <w:tcPr>
            <w:tcW w:type="dxa" w:w="20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2023</w:t>
            </w:r>
          </w:p>
        </w:tc>
      </w:tr>
    </w:tbl>
    <w:p>
      <w:pPr>
        <w:autoSpaceDN w:val="0"/>
        <w:autoSpaceDE w:val="0"/>
        <w:widowControl/>
        <w:spacing w:line="178" w:lineRule="exact" w:before="22" w:after="3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Collateral received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88"/>
        <w:gridCol w:w="1888"/>
        <w:gridCol w:w="1888"/>
        <w:gridCol w:w="1888"/>
        <w:gridCol w:w="1888"/>
      </w:tblGrid>
      <w:tr>
        <w:trPr>
          <w:trHeight w:hRule="exact" w:val="236"/>
        </w:trPr>
        <w:tc>
          <w:tcPr>
            <w:tcW w:type="dxa" w:w="51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Cash</w:t>
            </w:r>
          </w:p>
        </w:tc>
        <w:tc>
          <w:tcPr>
            <w:tcW w:type="dxa" w:w="68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6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893 </w:t>
            </w:r>
          </w:p>
        </w:tc>
        <w:tc>
          <w:tcPr>
            <w:tcW w:type="dxa" w:w="64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3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5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439 </w:t>
            </w:r>
          </w:p>
        </w:tc>
      </w:tr>
      <w:tr>
        <w:trPr>
          <w:trHeight w:hRule="exact" w:val="244"/>
        </w:trPr>
        <w:tc>
          <w:tcPr>
            <w:tcW w:type="dxa" w:w="51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Securities</w:t>
            </w:r>
          </w:p>
        </w:tc>
        <w:tc>
          <w:tcPr>
            <w:tcW w:type="dxa" w:w="1888"/>
            <w:vMerge/>
            <w:tcBorders>
              <w:bottom w:sz="8.0" w:val="single" w:color="#000000"/>
            </w:tcBorders>
          </w:tcPr>
          <w:p/>
        </w:tc>
        <w:tc>
          <w:tcPr>
            <w:tcW w:type="dxa" w:w="14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888"/>
            <w:vMerge/>
            <w:tcBorders>
              <w:bottom w:sz="8.0" w:val="single" w:color="#000000"/>
            </w:tcBorders>
          </w:tcPr>
          <w:p/>
        </w:tc>
        <w:tc>
          <w:tcPr>
            <w:tcW w:type="dxa" w:w="13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6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104 </w:t>
            </w:r>
          </w:p>
        </w:tc>
      </w:tr>
      <w:tr>
        <w:trPr>
          <w:trHeight w:hRule="exact" w:val="240"/>
        </w:trPr>
        <w:tc>
          <w:tcPr>
            <w:tcW w:type="dxa" w:w="51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 collateral received</w:t>
            </w:r>
          </w:p>
        </w:tc>
        <w:tc>
          <w:tcPr>
            <w:tcW w:type="dxa" w:w="6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4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6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893 </w:t>
            </w:r>
          </w:p>
        </w:tc>
        <w:tc>
          <w:tcPr>
            <w:tcW w:type="dxa" w:w="6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3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6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543 </w:t>
            </w:r>
          </w:p>
        </w:tc>
      </w:tr>
      <w:tr>
        <w:trPr>
          <w:trHeight w:hRule="exact" w:val="236"/>
        </w:trPr>
        <w:tc>
          <w:tcPr>
            <w:tcW w:type="dxa" w:w="51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Collateral permitted to be repledged</w:t>
            </w:r>
          </w:p>
        </w:tc>
        <w:tc>
          <w:tcPr>
            <w:tcW w:type="dxa" w:w="6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4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6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893 </w:t>
            </w:r>
          </w:p>
        </w:tc>
        <w:tc>
          <w:tcPr>
            <w:tcW w:type="dxa" w:w="6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3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6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543 </w:t>
            </w:r>
          </w:p>
        </w:tc>
      </w:tr>
      <w:tr>
        <w:trPr>
          <w:trHeight w:hRule="exact" w:val="244"/>
        </w:trPr>
        <w:tc>
          <w:tcPr>
            <w:tcW w:type="dxa" w:w="51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Amount of collateral repledged</w:t>
            </w:r>
          </w:p>
        </w:tc>
        <w:tc>
          <w:tcPr>
            <w:tcW w:type="dxa" w:w="68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7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64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7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3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</w:tr>
      <w:tr>
        <w:trPr>
          <w:trHeight w:hRule="exact" w:val="480"/>
        </w:trPr>
        <w:tc>
          <w:tcPr>
            <w:tcW w:type="dxa" w:w="51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Amount of cash collateral invested</w:t>
            </w:r>
          </w:p>
        </w:tc>
        <w:tc>
          <w:tcPr>
            <w:tcW w:type="dxa" w:w="1888"/>
            <w:vMerge/>
            <w:tcBorders>
              <w:bottom w:sz="8.0" w:val="single" w:color="#000000"/>
            </w:tcBorders>
          </w:tcPr>
          <w:p/>
        </w:tc>
        <w:tc>
          <w:tcPr>
            <w:tcW w:type="dxa" w:w="14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6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601 </w:t>
            </w:r>
          </w:p>
        </w:tc>
        <w:tc>
          <w:tcPr>
            <w:tcW w:type="dxa" w:w="1888"/>
            <w:vMerge/>
            <w:tcBorders>
              <w:bottom w:sz="8.0" w:val="single" w:color="#000000"/>
            </w:tcBorders>
          </w:tcPr>
          <w:p/>
        </w:tc>
        <w:tc>
          <w:tcPr>
            <w:tcW w:type="dxa" w:w="13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6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349 </w:t>
            </w:r>
          </w:p>
        </w:tc>
      </w:tr>
    </w:tbl>
    <w:p>
      <w:pPr>
        <w:autoSpaceDN w:val="0"/>
        <w:autoSpaceDE w:val="0"/>
        <w:widowControl/>
        <w:spacing w:line="222" w:lineRule="exact" w:before="18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Securities Lending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may engage in securities lending and repurchases, against adequate collateral, as well as securities borrowing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and reverse repurchases (resales) of government and agency obligations, and ABS. These transactions have been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conducted under legally enforceable master netting arrangements, which allow IDA to reduce its gross credit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exposure related to these transactions. IDA presents its securities lending and repurchases, as well as resales, on 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gross basis on the Balance Sheets. As of June 30, 2024, amounts that could potentially be offset as a result of legally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enforceable master netting arrangements were $58 million (Nil—June 30, 2023). </w:t>
      </w:r>
    </w:p>
    <w:p>
      <w:pPr>
        <w:autoSpaceDN w:val="0"/>
        <w:autoSpaceDE w:val="0"/>
        <w:widowControl/>
        <w:spacing w:line="240" w:lineRule="exact" w:before="120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Transfers of securities by IDA to counterparties are not accounted for as sales as the accounting criteria for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treatment as a sale have not been met. Counterparties are permitted to repledge these securities until the repurchase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date.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Securities lending agreements and repurchase agreements expose IDA to several risks, including counterparty risk,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reinvestment risk, and risk of a collateral gap (increase or decrease in the fair value of collateral pledged). IDA has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procedures in place to ensure that trading activity and balances under these agreements are below predefined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counterparty and maturity limits, and to actively monitor net counterparty exposure, after collateral, using daily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market values. Whenever the collateral pledged by IDA related to its borrowings under securities lending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agreements and repurchase agreements declines in value, the transaction is re-priced as appropriate by returning cash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or pledging additional collateral.</w:t>
      </w:r>
    </w:p>
    <w:p>
      <w:pPr>
        <w:autoSpaceDN w:val="0"/>
        <w:tabs>
          <w:tab w:pos="9094" w:val="left"/>
        </w:tabs>
        <w:autoSpaceDE w:val="0"/>
        <w:widowControl/>
        <w:spacing w:line="224" w:lineRule="exact" w:before="1410" w:after="0"/>
        <w:ind w:left="499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Financial Statements: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93</w:t>
      </w:r>
    </w:p>
    <w:p>
      <w:pPr>
        <w:sectPr>
          <w:pgSz w:w="12240" w:h="15840"/>
          <w:pgMar w:top="696" w:right="1370" w:bottom="2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30" w:lineRule="exact" w:before="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following is a summary of the carrying amount of the securities transferred under repurchase or securities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lending agreements, and the related liabilities: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C4: Amounts related to securities transferred under repurchase or securities lending agreements</w:t>
      </w:r>
    </w:p>
    <w:p>
      <w:pPr>
        <w:autoSpaceDN w:val="0"/>
        <w:autoSpaceDE w:val="0"/>
        <w:widowControl/>
        <w:spacing w:line="178" w:lineRule="exact" w:before="154" w:after="20"/>
        <w:ind w:left="118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73"/>
        <w:gridCol w:w="1573"/>
        <w:gridCol w:w="1573"/>
        <w:gridCol w:w="1573"/>
        <w:gridCol w:w="1573"/>
        <w:gridCol w:w="1573"/>
      </w:tblGrid>
      <w:tr>
        <w:trPr>
          <w:trHeight w:hRule="exact" w:val="240"/>
        </w:trPr>
        <w:tc>
          <w:tcPr>
            <w:tcW w:type="dxa" w:w="265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5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2024</w:t>
            </w:r>
          </w:p>
        </w:tc>
        <w:tc>
          <w:tcPr>
            <w:tcW w:type="dxa" w:w="4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5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2023</w:t>
            </w:r>
          </w:p>
        </w:tc>
        <w:tc>
          <w:tcPr>
            <w:tcW w:type="dxa" w:w="322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26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Financial Statement Presentation</w:t>
            </w:r>
          </w:p>
        </w:tc>
      </w:tr>
      <w:tr>
        <w:trPr>
          <w:trHeight w:hRule="exact" w:val="220"/>
        </w:trPr>
        <w:tc>
          <w:tcPr>
            <w:tcW w:type="dxa" w:w="265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Securities transferred under</w:t>
            </w:r>
          </w:p>
        </w:tc>
        <w:tc>
          <w:tcPr>
            <w:tcW w:type="dxa" w:w="236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360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0" w:after="0"/>
              <w:ind w:left="0" w:right="3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69 </w:t>
            </w:r>
          </w:p>
        </w:tc>
        <w:tc>
          <w:tcPr>
            <w:tcW w:type="dxa" w:w="440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0" w:after="0"/>
              <w:ind w:left="0" w:right="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344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0" w:after="0"/>
              <w:ind w:left="0" w:right="3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217 </w:t>
            </w:r>
          </w:p>
        </w:tc>
        <w:tc>
          <w:tcPr>
            <w:tcW w:type="dxa" w:w="3226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4" w:after="0"/>
              <w:ind w:left="2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Included under Investments-Trading on </w:t>
            </w:r>
          </w:p>
        </w:tc>
      </w:tr>
      <w:tr>
        <w:trPr>
          <w:trHeight w:hRule="exact" w:val="100"/>
        </w:trPr>
        <w:tc>
          <w:tcPr>
            <w:tcW w:type="dxa" w:w="265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1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repurchase or securities lending</w:t>
            </w:r>
          </w:p>
        </w:tc>
        <w:tc>
          <w:tcPr>
            <w:tcW w:type="dxa" w:w="1573"/>
            <w:vMerge/>
            <w:tcBorders>
              <w:top w:sz="8.0" w:val="single" w:color="#000000"/>
            </w:tcBorders>
          </w:tcPr>
          <w:p/>
        </w:tc>
        <w:tc>
          <w:tcPr>
            <w:tcW w:type="dxa" w:w="1573"/>
            <w:vMerge/>
            <w:tcBorders>
              <w:top w:sz="8.0" w:val="single" w:color="#000000"/>
            </w:tcBorders>
          </w:tcPr>
          <w:p/>
        </w:tc>
        <w:tc>
          <w:tcPr>
            <w:tcW w:type="dxa" w:w="1573"/>
            <w:vMerge/>
            <w:tcBorders>
              <w:top w:sz="8.0" w:val="single" w:color="#000000"/>
            </w:tcBorders>
          </w:tcPr>
          <w:p/>
        </w:tc>
        <w:tc>
          <w:tcPr>
            <w:tcW w:type="dxa" w:w="1573"/>
            <w:vMerge/>
            <w:tcBorders>
              <w:top w:sz="8.0" w:val="single" w:color="#000000"/>
            </w:tcBorders>
          </w:tcPr>
          <w:p/>
        </w:tc>
        <w:tc>
          <w:tcPr>
            <w:tcW w:type="dxa" w:w="1573"/>
            <w:vMerge/>
            <w:tcBorders>
              <w:top w:sz="8.0" w:val="single" w:color="#000000"/>
            </w:tcBorders>
          </w:tcPr>
          <w:p/>
        </w:tc>
      </w:tr>
      <w:tr>
        <w:trPr>
          <w:trHeight w:hRule="exact" w:val="80"/>
        </w:trPr>
        <w:tc>
          <w:tcPr>
            <w:tcW w:type="dxa" w:w="1573"/>
            <w:vMerge/>
            <w:tcBorders/>
          </w:tcPr>
          <w:p/>
        </w:tc>
        <w:tc>
          <w:tcPr>
            <w:tcW w:type="dxa" w:w="1573"/>
            <w:vMerge/>
            <w:tcBorders>
              <w:top w:sz="8.0" w:val="single" w:color="#000000"/>
            </w:tcBorders>
          </w:tcPr>
          <w:p/>
        </w:tc>
        <w:tc>
          <w:tcPr>
            <w:tcW w:type="dxa" w:w="1573"/>
            <w:vMerge/>
            <w:tcBorders>
              <w:top w:sz="8.0" w:val="single" w:color="#000000"/>
            </w:tcBorders>
          </w:tcPr>
          <w:p/>
        </w:tc>
        <w:tc>
          <w:tcPr>
            <w:tcW w:type="dxa" w:w="1573"/>
            <w:vMerge/>
            <w:tcBorders>
              <w:top w:sz="8.0" w:val="single" w:color="#000000"/>
            </w:tcBorders>
          </w:tcPr>
          <w:p/>
        </w:tc>
        <w:tc>
          <w:tcPr>
            <w:tcW w:type="dxa" w:w="1573"/>
            <w:vMerge/>
            <w:tcBorders>
              <w:top w:sz="8.0" w:val="single" w:color="#000000"/>
            </w:tcBorders>
          </w:tcPr>
          <w:p/>
        </w:tc>
        <w:tc>
          <w:tcPr>
            <w:tcW w:type="dxa" w:w="322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2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the Balance Sheets</w:t>
            </w:r>
          </w:p>
        </w:tc>
      </w:tr>
      <w:tr>
        <w:trPr>
          <w:trHeight w:hRule="exact" w:val="262"/>
        </w:trPr>
        <w:tc>
          <w:tcPr>
            <w:tcW w:type="dxa" w:w="265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1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agreements</w:t>
            </w:r>
          </w:p>
        </w:tc>
        <w:tc>
          <w:tcPr>
            <w:tcW w:type="dxa" w:w="1573"/>
            <w:vMerge/>
            <w:tcBorders>
              <w:top w:sz="8.0" w:val="single" w:color="#000000"/>
            </w:tcBorders>
          </w:tcPr>
          <w:p/>
        </w:tc>
        <w:tc>
          <w:tcPr>
            <w:tcW w:type="dxa" w:w="1573"/>
            <w:vMerge/>
            <w:tcBorders>
              <w:top w:sz="8.0" w:val="single" w:color="#000000"/>
            </w:tcBorders>
          </w:tcPr>
          <w:p/>
        </w:tc>
        <w:tc>
          <w:tcPr>
            <w:tcW w:type="dxa" w:w="1573"/>
            <w:vMerge/>
            <w:tcBorders>
              <w:top w:sz="8.0" w:val="single" w:color="#000000"/>
            </w:tcBorders>
          </w:tcPr>
          <w:p/>
        </w:tc>
        <w:tc>
          <w:tcPr>
            <w:tcW w:type="dxa" w:w="1573"/>
            <w:vMerge/>
            <w:tcBorders>
              <w:top w:sz="8.0" w:val="single" w:color="#000000"/>
            </w:tcBorders>
          </w:tcPr>
          <w:p/>
        </w:tc>
        <w:tc>
          <w:tcPr>
            <w:tcW w:type="dxa" w:w="1573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78" w:lineRule="exact" w:before="182" w:after="6"/>
        <w:ind w:left="0" w:right="544" w:firstLine="0"/>
        <w:jc w:val="right"/>
      </w:pPr>
      <w:r>
        <w:rPr>
          <w:rFonts w:ascii="ArialMT" w:hAnsi="ArialMT" w:eastAsia="ArialMT"/>
          <w:b w:val="0"/>
          <w:i w:val="0"/>
          <w:color w:val="000000"/>
          <w:sz w:val="16"/>
        </w:rPr>
        <w:t>Included under Securities sold under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1573"/>
        <w:gridCol w:w="1573"/>
        <w:gridCol w:w="1573"/>
        <w:gridCol w:w="1573"/>
        <w:gridCol w:w="1573"/>
        <w:gridCol w:w="1573"/>
      </w:tblGrid>
      <w:tr>
        <w:trPr>
          <w:trHeight w:hRule="exact" w:val="182"/>
        </w:trPr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Liabilities relating to securities</w:t>
            </w:r>
          </w:p>
        </w:tc>
        <w:tc>
          <w:tcPr>
            <w:tcW w:type="dxa" w:w="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98" w:after="0"/>
              <w:ind w:left="1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98" w:after="0"/>
              <w:ind w:left="0" w:right="3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71 </w:t>
            </w:r>
          </w:p>
        </w:tc>
        <w:tc>
          <w:tcPr>
            <w:tcW w:type="dxa" w:w="8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9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9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221 </w:t>
            </w:r>
          </w:p>
        </w:tc>
        <w:tc>
          <w:tcPr>
            <w:tcW w:type="dxa" w:w="3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" w:after="0"/>
              <w:ind w:left="3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repurchase agreements, securities lent </w:t>
            </w:r>
          </w:p>
        </w:tc>
      </w:tr>
      <w:tr>
        <w:trPr>
          <w:trHeight w:hRule="exact" w:val="180"/>
        </w:trPr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transferred under repurchase or</w:t>
            </w:r>
          </w:p>
        </w:tc>
        <w:tc>
          <w:tcPr>
            <w:tcW w:type="dxa" w:w="1573"/>
            <w:vMerge/>
            <w:tcBorders/>
          </w:tcPr>
          <w:p/>
        </w:tc>
        <w:tc>
          <w:tcPr>
            <w:tcW w:type="dxa" w:w="1573"/>
            <w:vMerge/>
            <w:tcBorders/>
          </w:tcPr>
          <w:p/>
        </w:tc>
        <w:tc>
          <w:tcPr>
            <w:tcW w:type="dxa" w:w="1573"/>
            <w:vMerge/>
            <w:tcBorders/>
          </w:tcPr>
          <w:p/>
        </w:tc>
        <w:tc>
          <w:tcPr>
            <w:tcW w:type="dxa" w:w="1573"/>
            <w:vMerge/>
            <w:tcBorders/>
          </w:tcPr>
          <w:p/>
        </w:tc>
        <w:tc>
          <w:tcPr>
            <w:tcW w:type="dxa" w:w="3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3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under securities lending agreements, </w:t>
            </w:r>
          </w:p>
        </w:tc>
      </w:tr>
      <w:tr>
        <w:trPr>
          <w:trHeight w:hRule="exact" w:val="216"/>
        </w:trPr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8" w:after="0"/>
              <w:ind w:left="1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securities lending agreements</w:t>
            </w:r>
          </w:p>
        </w:tc>
        <w:tc>
          <w:tcPr>
            <w:tcW w:type="dxa" w:w="1573"/>
            <w:vMerge/>
            <w:tcBorders/>
          </w:tcPr>
          <w:p/>
        </w:tc>
        <w:tc>
          <w:tcPr>
            <w:tcW w:type="dxa" w:w="1573"/>
            <w:vMerge/>
            <w:tcBorders/>
          </w:tcPr>
          <w:p/>
        </w:tc>
        <w:tc>
          <w:tcPr>
            <w:tcW w:type="dxa" w:w="1573"/>
            <w:vMerge/>
            <w:tcBorders/>
          </w:tcPr>
          <w:p/>
        </w:tc>
        <w:tc>
          <w:tcPr>
            <w:tcW w:type="dxa" w:w="1573"/>
            <w:vMerge/>
            <w:tcBorders/>
          </w:tcPr>
          <w:p/>
        </w:tc>
        <w:tc>
          <w:tcPr>
            <w:tcW w:type="dxa" w:w="3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3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and payable for cash collateral </w:t>
            </w:r>
          </w:p>
        </w:tc>
      </w:tr>
    </w:tbl>
    <w:p>
      <w:pPr>
        <w:autoSpaceDN w:val="0"/>
        <w:autoSpaceDE w:val="0"/>
        <w:widowControl/>
        <w:spacing w:line="178" w:lineRule="exact" w:before="6" w:after="0"/>
        <w:ind w:left="0" w:right="790" w:firstLine="0"/>
        <w:jc w:val="right"/>
      </w:pPr>
      <w:r>
        <w:rPr>
          <w:rFonts w:ascii="ArialMT" w:hAnsi="ArialMT" w:eastAsia="ArialMT"/>
          <w:b w:val="0"/>
          <w:i w:val="0"/>
          <w:color w:val="000000"/>
          <w:sz w:val="16"/>
        </w:rPr>
        <w:t>received on the Balance Sheets</w:t>
      </w:r>
    </w:p>
    <w:p>
      <w:pPr>
        <w:autoSpaceDN w:val="0"/>
        <w:autoSpaceDE w:val="0"/>
        <w:widowControl/>
        <w:spacing w:line="240" w:lineRule="exact" w:before="416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of June 30, 2024, liabilities relating to securities transferred under repurchase or securities lending agreements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were $71 million ($221 million—June 30, 2023) and there were no unsettled trades relating to repurchase 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securities lending agreements (Nil—June 30, 2023). There were no replacement trades entered into in anticipation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maturing trades of a similar amount (Nil—June 30, 2023). The remaining contractual maturity of these agreements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of June 30, 2024 was less than 30 days. The securities transferred were mainly comprised of government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agency obligations.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the case of resale agreements, IDA receives collateral in the form of liquid securities and is permitted to repledge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these securities. While these transactions are legally considered to be true purchases and sales, the securities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received are not recorded on IDA’s Balance Sheets as the accounting criteria for treatment as a sale have not been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met. As of June 30, 2024, and June 30, 2023, there were no unsettled trades pertaining to securities purchased under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resale agreements. For resale agreements, IDA received securities with a fair value of $59 million as of June 30,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2024 ($169 million—June 30, 2023). As of June 30, 2024 and June 30, 2023, none of these securities had been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transferred under repurchase or security lending agreements.</w:t>
      </w:r>
    </w:p>
    <w:p>
      <w:pPr>
        <w:autoSpaceDN w:val="0"/>
        <w:autoSpaceDE w:val="0"/>
        <w:widowControl/>
        <w:spacing w:line="222" w:lineRule="exact" w:before="264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NOTE D—LOANS AND OTHER EXPOSURES</w:t>
      </w:r>
    </w:p>
    <w:p>
      <w:pPr>
        <w:autoSpaceDN w:val="0"/>
        <w:autoSpaceDE w:val="0"/>
        <w:widowControl/>
        <w:spacing w:line="240" w:lineRule="exact" w:before="114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IDA’s loans and other exposures are generally made to, or guaranteed by, member countries of IDA. Loans are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carried at amortized cost. Other exposures include signed loan commitments, Deferred Drawdown Options (DDO),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irrevocable commitments, grant advances, project preparation advances and guarantees. Based on IDA’s internal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credit quality indicators, the loans outstanding are in the High and Medium risk classes.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excludes the interest and service charges receivable balance from the amortized cost basis and the related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disclosures. As of June 30, 2024, accrued interest income and service charges on loans of $715 million ($659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million—June 30, 2023) are presented in Other receivables - Accrued interest and commitment charges on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Balance Sheets. </w:t>
      </w:r>
    </w:p>
    <w:p>
      <w:pPr>
        <w:autoSpaceDN w:val="0"/>
        <w:autoSpaceDE w:val="0"/>
        <w:widowControl/>
        <w:spacing w:line="224" w:lineRule="exact" w:before="136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of June 30, 2024, 0.4% of IDA’s loans were in nonaccrual status and related to three borrowers. The total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accumulated provision for losses on loans in accrual status and nonaccrual status was 2% of total loans as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June 30, 2024.</w:t>
      </w:r>
    </w:p>
    <w:p>
      <w:pPr>
        <w:autoSpaceDN w:val="0"/>
        <w:tabs>
          <w:tab w:pos="768" w:val="left"/>
        </w:tabs>
        <w:autoSpaceDE w:val="0"/>
        <w:widowControl/>
        <w:spacing w:line="224" w:lineRule="exact" w:before="3492" w:after="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94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Financial Statements: June 30, 2024</w:t>
      </w:r>
    </w:p>
    <w:p>
      <w:pPr>
        <w:sectPr>
          <w:pgSz w:w="12240" w:h="15840"/>
          <w:pgMar w:top="700" w:right="1370" w:bottom="2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22" w:lineRule="exact" w:before="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maturity structure of loans outstanding was as follows:</w:t>
      </w:r>
    </w:p>
    <w:p>
      <w:pPr>
        <w:autoSpaceDN w:val="0"/>
        <w:autoSpaceDE w:val="0"/>
        <w:widowControl/>
        <w:spacing w:line="220" w:lineRule="exact" w:before="14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D1: Loans - Maturity structure</w:t>
      </w:r>
    </w:p>
    <w:p>
      <w:pPr>
        <w:autoSpaceDN w:val="0"/>
        <w:autoSpaceDE w:val="0"/>
        <w:widowControl/>
        <w:spacing w:line="178" w:lineRule="exact" w:before="144" w:after="20"/>
        <w:ind w:left="118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73"/>
        <w:gridCol w:w="1573"/>
        <w:gridCol w:w="1573"/>
        <w:gridCol w:w="1573"/>
        <w:gridCol w:w="1573"/>
        <w:gridCol w:w="1573"/>
      </w:tblGrid>
      <w:tr>
        <w:trPr>
          <w:trHeight w:hRule="exact" w:val="240"/>
        </w:trPr>
        <w:tc>
          <w:tcPr>
            <w:tcW w:type="dxa" w:w="31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44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2024</w:t>
            </w:r>
          </w:p>
        </w:tc>
        <w:tc>
          <w:tcPr>
            <w:tcW w:type="dxa" w:w="2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8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44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2023</w:t>
            </w:r>
          </w:p>
        </w:tc>
        <w:tc>
          <w:tcPr>
            <w:tcW w:type="dxa" w:w="3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8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0"/>
        </w:trPr>
        <w:tc>
          <w:tcPr>
            <w:tcW w:type="dxa" w:w="31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July 01, 2024 through June 30, 2025</w:t>
            </w:r>
          </w:p>
        </w:tc>
        <w:tc>
          <w:tcPr>
            <w:tcW w:type="dxa" w:w="27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9,359 </w:t>
            </w:r>
          </w:p>
        </w:tc>
        <w:tc>
          <w:tcPr>
            <w:tcW w:type="dxa" w:w="38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8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July 01, 2023 through June 30, 2024</w:t>
            </w:r>
          </w:p>
        </w:tc>
        <w:tc>
          <w:tcPr>
            <w:tcW w:type="dxa" w:w="33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7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8,759 </w:t>
            </w:r>
          </w:p>
        </w:tc>
      </w:tr>
      <w:tr>
        <w:trPr>
          <w:trHeight w:hRule="exact" w:val="240"/>
        </w:trPr>
        <w:tc>
          <w:tcPr>
            <w:tcW w:type="dxa" w:w="3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1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July 01, 2025 through June 30, 2029</w:t>
            </w:r>
          </w:p>
        </w:tc>
        <w:tc>
          <w:tcPr>
            <w:tcW w:type="dxa" w:w="1573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41,030 </w:t>
            </w:r>
          </w:p>
        </w:tc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8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July 01, 2024 through June 30, 2028</w:t>
            </w:r>
          </w:p>
        </w:tc>
        <w:tc>
          <w:tcPr>
            <w:tcW w:type="dxa" w:w="1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38,782 </w:t>
            </w:r>
          </w:p>
        </w:tc>
      </w:tr>
      <w:tr>
        <w:trPr>
          <w:trHeight w:hRule="exact" w:val="240"/>
        </w:trPr>
        <w:tc>
          <w:tcPr>
            <w:tcW w:type="dxa" w:w="3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1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July 01, 2029 through June 30, 2039</w:t>
            </w:r>
          </w:p>
        </w:tc>
        <w:tc>
          <w:tcPr>
            <w:tcW w:type="dxa" w:w="1573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90,203 </w:t>
            </w:r>
          </w:p>
        </w:tc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8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July 01, 2028 through June 30, 2038</w:t>
            </w:r>
          </w:p>
        </w:tc>
        <w:tc>
          <w:tcPr>
            <w:tcW w:type="dxa" w:w="1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85,693 </w:t>
            </w:r>
          </w:p>
        </w:tc>
      </w:tr>
      <w:tr>
        <w:trPr>
          <w:trHeight w:hRule="exact" w:val="240"/>
        </w:trPr>
        <w:tc>
          <w:tcPr>
            <w:tcW w:type="dxa" w:w="31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1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Thereafter</w:t>
            </w:r>
          </w:p>
        </w:tc>
        <w:tc>
          <w:tcPr>
            <w:tcW w:type="dxa" w:w="1573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61,956 </w:t>
            </w:r>
          </w:p>
        </w:tc>
        <w:tc>
          <w:tcPr>
            <w:tcW w:type="dxa" w:w="38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8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Thereafter</w:t>
            </w:r>
          </w:p>
        </w:tc>
        <w:tc>
          <w:tcPr>
            <w:tcW w:type="dxa" w:w="122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7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58,450 </w:t>
            </w:r>
          </w:p>
        </w:tc>
      </w:tr>
      <w:tr>
        <w:trPr>
          <w:trHeight w:hRule="exact" w:val="220"/>
        </w:trPr>
        <w:tc>
          <w:tcPr>
            <w:tcW w:type="dxa" w:w="31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2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0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202,548 </w:t>
            </w:r>
          </w:p>
        </w:tc>
        <w:tc>
          <w:tcPr>
            <w:tcW w:type="dxa" w:w="38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8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122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$ 191,684 </w:t>
            </w:r>
          </w:p>
        </w:tc>
      </w:tr>
    </w:tbl>
    <w:p>
      <w:pPr>
        <w:autoSpaceDN w:val="0"/>
        <w:autoSpaceDE w:val="0"/>
        <w:widowControl/>
        <w:spacing w:line="222" w:lineRule="exact" w:before="43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Loans outstanding had the following currency composition: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D2: Loans outstanding- Currency composition</w:t>
      </w:r>
    </w:p>
    <w:p>
      <w:pPr>
        <w:autoSpaceDN w:val="0"/>
        <w:autoSpaceDE w:val="0"/>
        <w:widowControl/>
        <w:spacing w:line="178" w:lineRule="exact" w:before="94" w:after="20"/>
        <w:ind w:left="118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88"/>
        <w:gridCol w:w="1888"/>
        <w:gridCol w:w="1888"/>
        <w:gridCol w:w="1888"/>
        <w:gridCol w:w="1888"/>
      </w:tblGrid>
      <w:tr>
        <w:trPr>
          <w:trHeight w:hRule="exact" w:val="240"/>
        </w:trPr>
        <w:tc>
          <w:tcPr>
            <w:tcW w:type="dxa" w:w="64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1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2024</w:t>
            </w:r>
          </w:p>
        </w:tc>
        <w:tc>
          <w:tcPr>
            <w:tcW w:type="dxa" w:w="1576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50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2023</w:t>
            </w:r>
          </w:p>
        </w:tc>
      </w:tr>
      <w:tr>
        <w:trPr>
          <w:trHeight w:hRule="exact" w:val="240"/>
        </w:trPr>
        <w:tc>
          <w:tcPr>
            <w:tcW w:type="dxa" w:w="64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SDR</w:t>
            </w:r>
          </w:p>
        </w:tc>
        <w:tc>
          <w:tcPr>
            <w:tcW w:type="dxa" w:w="3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160,957 </w:t>
            </w:r>
          </w:p>
        </w:tc>
        <w:tc>
          <w:tcPr>
            <w:tcW w:type="dxa" w:w="6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5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159,759 </w:t>
            </w:r>
          </w:p>
        </w:tc>
      </w:tr>
      <w:tr>
        <w:trPr>
          <w:trHeight w:hRule="exact" w:val="240"/>
        </w:trPr>
        <w:tc>
          <w:tcPr>
            <w:tcW w:type="dxa" w:w="6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1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U.S. dollar</w:t>
            </w:r>
          </w:p>
        </w:tc>
        <w:tc>
          <w:tcPr>
            <w:tcW w:type="dxa" w:w="13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5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22,310 </w:t>
            </w:r>
          </w:p>
        </w:tc>
        <w:tc>
          <w:tcPr>
            <w:tcW w:type="dxa" w:w="15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5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17,139 </w:t>
            </w:r>
          </w:p>
        </w:tc>
      </w:tr>
      <w:tr>
        <w:trPr>
          <w:trHeight w:hRule="exact" w:val="240"/>
        </w:trPr>
        <w:tc>
          <w:tcPr>
            <w:tcW w:type="dxa" w:w="6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1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Euro</w:t>
            </w:r>
          </w:p>
        </w:tc>
        <w:tc>
          <w:tcPr>
            <w:tcW w:type="dxa" w:w="13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5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18,626 </w:t>
            </w:r>
          </w:p>
        </w:tc>
        <w:tc>
          <w:tcPr>
            <w:tcW w:type="dxa" w:w="15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5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14,571 </w:t>
            </w:r>
          </w:p>
        </w:tc>
      </w:tr>
      <w:tr>
        <w:trPr>
          <w:trHeight w:hRule="exact" w:val="240"/>
        </w:trPr>
        <w:tc>
          <w:tcPr>
            <w:tcW w:type="dxa" w:w="6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1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Japanese yen</w:t>
            </w:r>
          </w:p>
        </w:tc>
        <w:tc>
          <w:tcPr>
            <w:tcW w:type="dxa" w:w="13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5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569 </w:t>
            </w:r>
          </w:p>
        </w:tc>
        <w:tc>
          <w:tcPr>
            <w:tcW w:type="dxa" w:w="157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133 </w:t>
            </w:r>
          </w:p>
        </w:tc>
      </w:tr>
      <w:tr>
        <w:trPr>
          <w:trHeight w:hRule="exact" w:val="240"/>
        </w:trPr>
        <w:tc>
          <w:tcPr>
            <w:tcW w:type="dxa" w:w="64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1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Pound sterling</w:t>
            </w:r>
          </w:p>
        </w:tc>
        <w:tc>
          <w:tcPr>
            <w:tcW w:type="dxa" w:w="131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5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86 </w:t>
            </w:r>
          </w:p>
        </w:tc>
        <w:tc>
          <w:tcPr>
            <w:tcW w:type="dxa" w:w="1576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82 </w:t>
            </w:r>
          </w:p>
        </w:tc>
      </w:tr>
      <w:tr>
        <w:trPr>
          <w:trHeight w:hRule="exact" w:val="220"/>
        </w:trPr>
        <w:tc>
          <w:tcPr>
            <w:tcW w:type="dxa" w:w="64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3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202,548 </w:t>
            </w:r>
          </w:p>
        </w:tc>
        <w:tc>
          <w:tcPr>
            <w:tcW w:type="dxa" w:w="6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191,684 </w:t>
            </w:r>
          </w:p>
        </w:tc>
      </w:tr>
    </w:tbl>
    <w:p>
      <w:pPr>
        <w:autoSpaceDN w:val="0"/>
        <w:autoSpaceDE w:val="0"/>
        <w:widowControl/>
        <w:spacing w:line="244" w:lineRule="exact" w:before="422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Credit Quality of Sovereign Loans</w:t>
      </w:r>
    </w:p>
    <w:p>
      <w:pPr>
        <w:autoSpaceDN w:val="0"/>
        <w:autoSpaceDE w:val="0"/>
        <w:widowControl/>
        <w:spacing w:line="240" w:lineRule="exact" w:before="13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Based on an evaluation of IDA’s exposures, management has determined that IDA has one portfolio segment –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Sovereign Exposures. IDA’s loans constitute the majority of the Sovereign Exposures portfolio segment.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IDA’s country risk ratings are an assessment of its borrowers’ ability and willingness to repay IDA on time and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full. These ratings are internal credit quality indicators. Individual country risk ratings are derived on the basis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both quantitative and qualitative analyses. The components considered in the analysis can be grouped broadly into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eight categories: political risks, external debt and liquidity, fiscal policy and public debt burden, balance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payments risks, economic structure and growth prospects, monetary and exchange rate policy, financial sector risks,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and corporate sector debt and vulnerabilities. The analysis also takes into account Environmental, Social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Governance factors. For the purpose of analyzing their risk characteristics, these exposures are grouped into three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classes in accordance with assigned borrower risk ratings, which relate to the likelihood of loss: Low, Medium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High risk classes, as well as exposures in nonaccrual status. 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IDA’s borrower country risk ratings are key determinants in the provision for loan losses. Country risk ratings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borrowers in accrual status are grouped in pools with similar credit ratings for the purpose of the calculation of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expected credit losses. Exposure for certain countries in accrual status may be individually assessed on the basis that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they do not share common risk characteristics with an existing pool of exposures. All exposures for countries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nonaccrual status are individually assessed. Country risk ratings are determined in review meetings that take place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several times a year. All countries are reviewed at least once a year, or more frequently if circumstances warrant,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determine the appropriate ratings.</w:t>
      </w:r>
    </w:p>
    <w:p>
      <w:pPr>
        <w:autoSpaceDN w:val="0"/>
        <w:autoSpaceDE w:val="0"/>
        <w:widowControl/>
        <w:spacing w:line="240" w:lineRule="exact" w:before="120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 assessment was also performed to determine whether a qualitative adjustment was needed on the loan loss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provision as of June 30, 2024, including consideration of global and macroeconomic events. Management concluded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that a qualitative adjustment beyond the regular application of IDA’s loan loss provision framework was not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warranted.</w:t>
      </w:r>
    </w:p>
    <w:p>
      <w:pPr>
        <w:autoSpaceDN w:val="0"/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considers loans to be past due when a borrower fails to make payment on any principal, interest or other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charges due to IDA on the dates provided in the contractual loan agreement.</w:t>
      </w:r>
    </w:p>
    <w:p>
      <w:pPr>
        <w:autoSpaceDN w:val="0"/>
        <w:tabs>
          <w:tab w:pos="9094" w:val="left"/>
        </w:tabs>
        <w:autoSpaceDE w:val="0"/>
        <w:widowControl/>
        <w:spacing w:line="224" w:lineRule="exact" w:before="1430" w:after="0"/>
        <w:ind w:left="499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Financial Statements: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95</w:t>
      </w:r>
    </w:p>
    <w:p>
      <w:pPr>
        <w:sectPr>
          <w:pgSz w:w="12240" w:h="15840"/>
          <w:pgMar w:top="700" w:right="1370" w:bottom="2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22" w:lineRule="exact" w:before="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following tables provide an aging analysis of loans outstanding: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D3: Loans-Aging structure</w:t>
      </w:r>
    </w:p>
    <w:p>
      <w:pPr>
        <w:autoSpaceDN w:val="0"/>
        <w:autoSpaceDE w:val="0"/>
        <w:widowControl/>
        <w:spacing w:line="178" w:lineRule="exact" w:before="154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p>
      <w:pPr>
        <w:autoSpaceDN w:val="0"/>
        <w:autoSpaceDE w:val="0"/>
        <w:widowControl/>
        <w:spacing w:line="178" w:lineRule="exact" w:before="62" w:after="0"/>
        <w:ind w:left="0" w:right="3184" w:firstLine="0"/>
        <w:jc w:val="right"/>
      </w:pPr>
      <w:r>
        <w:rPr>
          <w:rFonts w:ascii="Arial" w:hAnsi="Arial" w:eastAsia="Arial"/>
          <w:b w:val="0"/>
          <w:i/>
          <w:color w:val="000000"/>
          <w:sz w:val="16"/>
        </w:rPr>
        <w:t>June 30, 2024</w:t>
      </w:r>
    </w:p>
    <w:p>
      <w:pPr>
        <w:autoSpaceDN w:val="0"/>
        <w:autoSpaceDE w:val="0"/>
        <w:widowControl/>
        <w:spacing w:line="180" w:lineRule="exact" w:before="64" w:after="6"/>
        <w:ind w:left="0" w:right="1914" w:firstLine="0"/>
        <w:jc w:val="righ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Total Past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41"/>
        <w:gridCol w:w="1041"/>
        <w:gridCol w:w="1041"/>
        <w:gridCol w:w="1041"/>
        <w:gridCol w:w="1041"/>
        <w:gridCol w:w="1041"/>
        <w:gridCol w:w="1041"/>
        <w:gridCol w:w="1041"/>
        <w:gridCol w:w="1041"/>
      </w:tblGrid>
      <w:tr>
        <w:trPr>
          <w:trHeight w:hRule="exact" w:val="214"/>
        </w:trPr>
        <w:tc>
          <w:tcPr>
            <w:tcW w:type="dxa" w:w="16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6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Days past due</w:t>
            </w:r>
          </w:p>
        </w:tc>
        <w:tc>
          <w:tcPr>
            <w:tcW w:type="dxa" w:w="128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13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Up to 45</w:t>
            </w:r>
          </w:p>
        </w:tc>
        <w:tc>
          <w:tcPr>
            <w:tcW w:type="dxa" w:w="91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46-60</w:t>
            </w:r>
          </w:p>
        </w:tc>
        <w:tc>
          <w:tcPr>
            <w:tcW w:type="dxa" w:w="91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61-90</w:t>
            </w:r>
          </w:p>
        </w:tc>
        <w:tc>
          <w:tcPr>
            <w:tcW w:type="dxa" w:w="91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91-180</w:t>
            </w:r>
          </w:p>
        </w:tc>
        <w:tc>
          <w:tcPr>
            <w:tcW w:type="dxa" w:w="91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Over 180</w:t>
            </w:r>
          </w:p>
        </w:tc>
        <w:tc>
          <w:tcPr>
            <w:tcW w:type="dxa" w:w="91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Due</w:t>
            </w:r>
          </w:p>
        </w:tc>
        <w:tc>
          <w:tcPr>
            <w:tcW w:type="dxa" w:w="91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Current</w:t>
            </w:r>
          </w:p>
        </w:tc>
        <w:tc>
          <w:tcPr>
            <w:tcW w:type="dxa" w:w="91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Total</w:t>
            </w:r>
          </w:p>
        </w:tc>
      </w:tr>
    </w:tbl>
    <w:p>
      <w:pPr>
        <w:autoSpaceDN w:val="0"/>
        <w:autoSpaceDE w:val="0"/>
        <w:widowControl/>
        <w:spacing w:line="180" w:lineRule="exact" w:before="32" w:after="3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Risk Class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  <w:gridCol w:w="551"/>
      </w:tblGrid>
      <w:tr>
        <w:trPr>
          <w:trHeight w:hRule="exact" w:val="224"/>
        </w:trPr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Low</w:t>
            </w:r>
          </w:p>
        </w:tc>
        <w:tc>
          <w:tcPr>
            <w:tcW w:type="dxa" w:w="39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4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1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1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2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4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10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0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7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9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1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5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8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3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</w:tr>
      <w:tr>
        <w:trPr>
          <w:trHeight w:hRule="exact" w:val="240"/>
        </w:trPr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Medium</w:t>
            </w:r>
          </w:p>
        </w:tc>
        <w:tc>
          <w:tcPr>
            <w:tcW w:type="dxa" w:w="551"/>
            <w:vMerge/>
            <w:tcBorders>
              <w:bottom w:sz="8.0" w:val="single" w:color="#000000"/>
            </w:tcBorders>
          </w:tcPr>
          <w:p/>
        </w:tc>
        <w:tc>
          <w:tcPr>
            <w:tcW w:type="dxa" w:w="4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551"/>
            <w:vMerge/>
            <w:tcBorders>
              <w:bottom w:sz="8.0" w:val="single" w:color="#000000"/>
            </w:tcBorders>
          </w:tcPr>
          <w:p/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1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551"/>
            <w:vMerge/>
            <w:tcBorders>
              <w:bottom w:sz="8.0" w:val="single" w:color="#000000"/>
            </w:tcBorders>
          </w:tcPr>
          <w:p/>
        </w:tc>
        <w:tc>
          <w:tcPr>
            <w:tcW w:type="dxa" w:w="4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10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551"/>
            <w:vMerge/>
            <w:tcBorders>
              <w:bottom w:sz="8.0" w:val="single" w:color="#000000"/>
            </w:tcBorders>
          </w:tcPr>
          <w:p/>
        </w:tc>
        <w:tc>
          <w:tcPr>
            <w:tcW w:type="dxa" w:w="5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551"/>
            <w:vMerge/>
            <w:tcBorders>
              <w:bottom w:sz="8.0" w:val="single" w:color="#000000"/>
            </w:tcBorders>
          </w:tcPr>
          <w:p/>
        </w:tc>
        <w:tc>
          <w:tcPr>
            <w:tcW w:type="dxa" w:w="5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551"/>
            <w:vMerge/>
            <w:tcBorders>
              <w:bottom w:sz="8.0" w:val="single" w:color="#000000"/>
            </w:tcBorders>
          </w:tcPr>
          <w:p/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93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5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16,266 </w:t>
            </w:r>
          </w:p>
        </w:tc>
        <w:tc>
          <w:tcPr>
            <w:tcW w:type="dxa" w:w="89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16,266 </w:t>
            </w:r>
          </w:p>
        </w:tc>
      </w:tr>
      <w:tr>
        <w:trPr>
          <w:trHeight w:hRule="exact" w:val="254"/>
        </w:trPr>
        <w:tc>
          <w:tcPr>
            <w:tcW w:type="dxa" w:w="20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High </w:t>
            </w:r>
          </w:p>
        </w:tc>
        <w:tc>
          <w:tcPr>
            <w:tcW w:type="dxa" w:w="551"/>
            <w:vMerge/>
            <w:tcBorders>
              <w:bottom w:sz="8.0" w:val="single" w:color="#000000"/>
            </w:tcBorders>
          </w:tcPr>
          <w:p/>
        </w:tc>
        <w:tc>
          <w:tcPr>
            <w:tcW w:type="dxa" w:w="48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18 </w:t>
            </w:r>
          </w:p>
        </w:tc>
        <w:tc>
          <w:tcPr>
            <w:tcW w:type="dxa" w:w="551"/>
            <w:vMerge/>
            <w:tcBorders>
              <w:bottom w:sz="8.0" w:val="single" w:color="#000000"/>
            </w:tcBorders>
          </w:tcPr>
          <w:p/>
        </w:tc>
        <w:tc>
          <w:tcPr>
            <w:tcW w:type="dxa" w:w="5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14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*</w:t>
            </w:r>
          </w:p>
        </w:tc>
        <w:tc>
          <w:tcPr>
            <w:tcW w:type="dxa" w:w="551"/>
            <w:vMerge/>
            <w:tcBorders>
              <w:bottom w:sz="8.0" w:val="single" w:color="#000000"/>
            </w:tcBorders>
          </w:tcPr>
          <w:p/>
        </w:tc>
        <w:tc>
          <w:tcPr>
            <w:tcW w:type="dxa" w:w="49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1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*</w:t>
            </w:r>
          </w:p>
        </w:tc>
        <w:tc>
          <w:tcPr>
            <w:tcW w:type="dxa" w:w="551"/>
            <w:vMerge/>
            <w:tcBorders>
              <w:bottom w:sz="8.0" w:val="single" w:color="#000000"/>
            </w:tcBorders>
          </w:tcPr>
          <w:p/>
        </w:tc>
        <w:tc>
          <w:tcPr>
            <w:tcW w:type="dxa" w:w="5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1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 </w:t>
            </w:r>
          </w:p>
        </w:tc>
        <w:tc>
          <w:tcPr>
            <w:tcW w:type="dxa" w:w="551"/>
            <w:vMerge/>
            <w:tcBorders>
              <w:bottom w:sz="8.0" w:val="single" w:color="#000000"/>
            </w:tcBorders>
          </w:tcPr>
          <w:p/>
        </w:tc>
        <w:tc>
          <w:tcPr>
            <w:tcW w:type="dxa" w:w="54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14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*</w:t>
            </w:r>
          </w:p>
        </w:tc>
        <w:tc>
          <w:tcPr>
            <w:tcW w:type="dxa" w:w="551"/>
            <w:vMerge/>
            <w:tcBorders>
              <w:bottom w:sz="8.0" w:val="single" w:color="#000000"/>
            </w:tcBorders>
          </w:tcPr>
          <w:p/>
        </w:tc>
        <w:tc>
          <w:tcPr>
            <w:tcW w:type="dxa" w:w="5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19 </w:t>
            </w:r>
          </w:p>
        </w:tc>
        <w:tc>
          <w:tcPr>
            <w:tcW w:type="dxa" w:w="1830"/>
            <w:gridSpan w:val="4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185,404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a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185,423 </w:t>
            </w:r>
          </w:p>
        </w:tc>
      </w:tr>
      <w:tr>
        <w:trPr>
          <w:trHeight w:hRule="exact" w:val="240"/>
        </w:trPr>
        <w:tc>
          <w:tcPr>
            <w:tcW w:type="dxa" w:w="20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Loans in accrual status</w:t>
            </w:r>
          </w:p>
        </w:tc>
        <w:tc>
          <w:tcPr>
            <w:tcW w:type="dxa" w:w="3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8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18 </w:t>
            </w:r>
          </w:p>
        </w:tc>
        <w:tc>
          <w:tcPr>
            <w:tcW w:type="dxa" w:w="41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14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*</w:t>
            </w:r>
          </w:p>
        </w:tc>
        <w:tc>
          <w:tcPr>
            <w:tcW w:type="dxa" w:w="4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1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*</w:t>
            </w:r>
          </w:p>
        </w:tc>
        <w:tc>
          <w:tcPr>
            <w:tcW w:type="dxa" w:w="4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1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 </w:t>
            </w:r>
          </w:p>
        </w:tc>
        <w:tc>
          <w:tcPr>
            <w:tcW w:type="dxa" w:w="3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14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*</w:t>
            </w:r>
          </w:p>
        </w:tc>
        <w:tc>
          <w:tcPr>
            <w:tcW w:type="dxa" w:w="3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19 </w:t>
            </w:r>
          </w:p>
        </w:tc>
        <w:tc>
          <w:tcPr>
            <w:tcW w:type="dxa" w:w="938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201,670 </w:t>
            </w:r>
          </w:p>
        </w:tc>
        <w:tc>
          <w:tcPr>
            <w:tcW w:type="dxa" w:w="892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201,689 </w:t>
            </w:r>
          </w:p>
        </w:tc>
      </w:tr>
      <w:tr>
        <w:trPr>
          <w:trHeight w:hRule="exact" w:val="240"/>
        </w:trPr>
        <w:tc>
          <w:tcPr>
            <w:tcW w:type="dxa" w:w="20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Loans in nonaccrual status</w:t>
            </w:r>
          </w:p>
        </w:tc>
        <w:tc>
          <w:tcPr>
            <w:tcW w:type="dxa" w:w="3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8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 </w:t>
            </w:r>
          </w:p>
        </w:tc>
        <w:tc>
          <w:tcPr>
            <w:tcW w:type="dxa" w:w="41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14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*</w:t>
            </w:r>
          </w:p>
        </w:tc>
        <w:tc>
          <w:tcPr>
            <w:tcW w:type="dxa" w:w="4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10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 </w:t>
            </w:r>
          </w:p>
        </w:tc>
        <w:tc>
          <w:tcPr>
            <w:tcW w:type="dxa" w:w="4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1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 </w:t>
            </w:r>
          </w:p>
        </w:tc>
        <w:tc>
          <w:tcPr>
            <w:tcW w:type="dxa" w:w="3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478 </w:t>
            </w:r>
          </w:p>
        </w:tc>
        <w:tc>
          <w:tcPr>
            <w:tcW w:type="dxa" w:w="3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497 </w:t>
            </w:r>
          </w:p>
        </w:tc>
        <w:tc>
          <w:tcPr>
            <w:tcW w:type="dxa" w:w="938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5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362 </w:t>
            </w:r>
          </w:p>
        </w:tc>
        <w:tc>
          <w:tcPr>
            <w:tcW w:type="dxa" w:w="892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859 </w:t>
            </w:r>
          </w:p>
        </w:tc>
      </w:tr>
      <w:tr>
        <w:trPr>
          <w:trHeight w:hRule="exact" w:val="220"/>
        </w:trPr>
        <w:tc>
          <w:tcPr>
            <w:tcW w:type="dxa" w:w="20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3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48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25 </w:t>
            </w:r>
          </w:p>
        </w:tc>
        <w:tc>
          <w:tcPr>
            <w:tcW w:type="dxa" w:w="41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1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*</w:t>
            </w:r>
          </w:p>
        </w:tc>
        <w:tc>
          <w:tcPr>
            <w:tcW w:type="dxa" w:w="4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4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10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 </w:t>
            </w:r>
          </w:p>
        </w:tc>
        <w:tc>
          <w:tcPr>
            <w:tcW w:type="dxa" w:w="4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1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 </w:t>
            </w:r>
          </w:p>
        </w:tc>
        <w:tc>
          <w:tcPr>
            <w:tcW w:type="dxa" w:w="3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478 </w:t>
            </w:r>
          </w:p>
        </w:tc>
        <w:tc>
          <w:tcPr>
            <w:tcW w:type="dxa" w:w="3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516 </w:t>
            </w:r>
          </w:p>
        </w:tc>
        <w:tc>
          <w:tcPr>
            <w:tcW w:type="dxa" w:w="938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$ 202,032 </w:t>
            </w:r>
          </w:p>
        </w:tc>
        <w:tc>
          <w:tcPr>
            <w:tcW w:type="dxa" w:w="892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$ 202,548 </w:t>
            </w:r>
          </w:p>
        </w:tc>
      </w:tr>
    </w:tbl>
    <w:p>
      <w:pPr>
        <w:autoSpaceDN w:val="0"/>
        <w:autoSpaceDE w:val="0"/>
        <w:widowControl/>
        <w:spacing w:line="222" w:lineRule="exact" w:before="580" w:after="0"/>
        <w:ind w:left="62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D3.1:</w:t>
      </w:r>
    </w:p>
    <w:p>
      <w:pPr>
        <w:autoSpaceDN w:val="0"/>
        <w:autoSpaceDE w:val="0"/>
        <w:widowControl/>
        <w:spacing w:line="180" w:lineRule="exact" w:before="60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p>
      <w:pPr>
        <w:autoSpaceDN w:val="0"/>
        <w:autoSpaceDE w:val="0"/>
        <w:widowControl/>
        <w:spacing w:line="180" w:lineRule="exact" w:before="60" w:after="0"/>
        <w:ind w:left="0" w:right="3184" w:firstLine="0"/>
        <w:jc w:val="right"/>
      </w:pPr>
      <w:r>
        <w:rPr>
          <w:rFonts w:ascii="Arial" w:hAnsi="Arial" w:eastAsia="Arial"/>
          <w:b w:val="0"/>
          <w:i/>
          <w:color w:val="000000"/>
          <w:sz w:val="16"/>
        </w:rPr>
        <w:t>June 30, 2023</w:t>
      </w:r>
    </w:p>
    <w:p>
      <w:pPr>
        <w:autoSpaceDN w:val="0"/>
        <w:autoSpaceDE w:val="0"/>
        <w:widowControl/>
        <w:spacing w:line="178" w:lineRule="exact" w:before="64" w:after="6"/>
        <w:ind w:left="0" w:right="1914" w:firstLine="0"/>
        <w:jc w:val="righ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Total Past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41"/>
        <w:gridCol w:w="1041"/>
        <w:gridCol w:w="1041"/>
        <w:gridCol w:w="1041"/>
        <w:gridCol w:w="1041"/>
        <w:gridCol w:w="1041"/>
        <w:gridCol w:w="1041"/>
        <w:gridCol w:w="1041"/>
        <w:gridCol w:w="1041"/>
      </w:tblGrid>
      <w:tr>
        <w:trPr>
          <w:trHeight w:hRule="exact" w:val="216"/>
        </w:trPr>
        <w:tc>
          <w:tcPr>
            <w:tcW w:type="dxa" w:w="16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6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Days past due</w:t>
            </w:r>
          </w:p>
        </w:tc>
        <w:tc>
          <w:tcPr>
            <w:tcW w:type="dxa" w:w="128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13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Up to 45</w:t>
            </w:r>
          </w:p>
        </w:tc>
        <w:tc>
          <w:tcPr>
            <w:tcW w:type="dxa" w:w="91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46-60</w:t>
            </w:r>
          </w:p>
        </w:tc>
        <w:tc>
          <w:tcPr>
            <w:tcW w:type="dxa" w:w="91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61-90</w:t>
            </w:r>
          </w:p>
        </w:tc>
        <w:tc>
          <w:tcPr>
            <w:tcW w:type="dxa" w:w="91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91-180</w:t>
            </w:r>
          </w:p>
        </w:tc>
        <w:tc>
          <w:tcPr>
            <w:tcW w:type="dxa" w:w="91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Over 180</w:t>
            </w:r>
          </w:p>
        </w:tc>
        <w:tc>
          <w:tcPr>
            <w:tcW w:type="dxa" w:w="91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Due</w:t>
            </w:r>
          </w:p>
        </w:tc>
        <w:tc>
          <w:tcPr>
            <w:tcW w:type="dxa" w:w="91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Current</w:t>
            </w:r>
          </w:p>
        </w:tc>
        <w:tc>
          <w:tcPr>
            <w:tcW w:type="dxa" w:w="91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Total</w:t>
            </w:r>
          </w:p>
        </w:tc>
      </w:tr>
    </w:tbl>
    <w:p>
      <w:pPr>
        <w:autoSpaceDN w:val="0"/>
        <w:autoSpaceDE w:val="0"/>
        <w:widowControl/>
        <w:spacing w:line="178" w:lineRule="exact" w:before="32" w:after="32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Risk Class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</w:tblGrid>
      <w:tr>
        <w:trPr>
          <w:trHeight w:hRule="exact" w:val="238"/>
        </w:trPr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Low</w:t>
            </w:r>
          </w:p>
        </w:tc>
        <w:tc>
          <w:tcPr>
            <w:tcW w:type="dxa" w:w="39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4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1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1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2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4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10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4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4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9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9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9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$           *</w:t>
            </w:r>
          </w:p>
        </w:tc>
        <w:tc>
          <w:tcPr>
            <w:tcW w:type="dxa" w:w="6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8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2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*</w:t>
            </w:r>
          </w:p>
        </w:tc>
      </w:tr>
      <w:tr>
        <w:trPr>
          <w:trHeight w:hRule="exact" w:val="220"/>
        </w:trPr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Medium</w:t>
            </w:r>
          </w:p>
        </w:tc>
        <w:tc>
          <w:tcPr>
            <w:tcW w:type="dxa" w:w="586"/>
            <w:vMerge/>
            <w:tcBorders>
              <w:bottom w:sz="8.0" w:val="single" w:color="#000000"/>
            </w:tcBorders>
          </w:tcPr>
          <w:p/>
        </w:tc>
        <w:tc>
          <w:tcPr>
            <w:tcW w:type="dxa" w:w="4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586"/>
            <w:vMerge/>
            <w:tcBorders>
              <w:bottom w:sz="8.0" w:val="single" w:color="#000000"/>
            </w:tcBorders>
          </w:tcPr>
          <w:p/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586"/>
            <w:vMerge/>
            <w:tcBorders>
              <w:bottom w:sz="8.0" w:val="single" w:color="#000000"/>
            </w:tcBorders>
          </w:tcPr>
          <w:p/>
        </w:tc>
        <w:tc>
          <w:tcPr>
            <w:tcW w:type="dxa" w:w="4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0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586"/>
            <w:vMerge/>
            <w:tcBorders>
              <w:bottom w:sz="8.0" w:val="single" w:color="#000000"/>
            </w:tcBorders>
          </w:tcPr>
          <w:p/>
        </w:tc>
        <w:tc>
          <w:tcPr>
            <w:tcW w:type="dxa" w:w="4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586"/>
            <w:vMerge/>
            <w:tcBorders>
              <w:bottom w:sz="8.0" w:val="single" w:color="#000000"/>
            </w:tcBorders>
          </w:tcPr>
          <w:p/>
        </w:tc>
        <w:tc>
          <w:tcPr>
            <w:tcW w:type="dxa" w:w="5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586"/>
            <w:vMerge/>
            <w:tcBorders>
              <w:bottom w:sz="8.0" w:val="single" w:color="#000000"/>
            </w:tcBorders>
          </w:tcPr>
          <w:p/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93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5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18,659 </w:t>
            </w:r>
          </w:p>
        </w:tc>
        <w:tc>
          <w:tcPr>
            <w:tcW w:type="dxa" w:w="89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18,659 </w:t>
            </w:r>
          </w:p>
        </w:tc>
      </w:tr>
      <w:tr>
        <w:trPr>
          <w:trHeight w:hRule="exact" w:val="260"/>
        </w:trPr>
        <w:tc>
          <w:tcPr>
            <w:tcW w:type="dxa" w:w="20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High </w:t>
            </w:r>
          </w:p>
        </w:tc>
        <w:tc>
          <w:tcPr>
            <w:tcW w:type="dxa" w:w="586"/>
            <w:vMerge/>
            <w:tcBorders>
              <w:bottom w:sz="8.0" w:val="single" w:color="#000000"/>
            </w:tcBorders>
          </w:tcPr>
          <w:p/>
        </w:tc>
        <w:tc>
          <w:tcPr>
            <w:tcW w:type="dxa" w:w="48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22 </w:t>
            </w:r>
          </w:p>
        </w:tc>
        <w:tc>
          <w:tcPr>
            <w:tcW w:type="dxa" w:w="586"/>
            <w:vMerge/>
            <w:tcBorders>
              <w:bottom w:sz="8.0" w:val="single" w:color="#000000"/>
            </w:tcBorders>
          </w:tcPr>
          <w:p/>
        </w:tc>
        <w:tc>
          <w:tcPr>
            <w:tcW w:type="dxa" w:w="5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0" w:right="14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*</w:t>
            </w:r>
          </w:p>
        </w:tc>
        <w:tc>
          <w:tcPr>
            <w:tcW w:type="dxa" w:w="586"/>
            <w:vMerge/>
            <w:tcBorders>
              <w:bottom w:sz="8.0" w:val="single" w:color="#000000"/>
            </w:tcBorders>
          </w:tcPr>
          <w:p/>
        </w:tc>
        <w:tc>
          <w:tcPr>
            <w:tcW w:type="dxa" w:w="49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0" w:right="10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586"/>
            <w:vMerge/>
            <w:tcBorders>
              <w:bottom w:sz="8.0" w:val="single" w:color="#000000"/>
            </w:tcBorders>
          </w:tcPr>
          <w:p/>
        </w:tc>
        <w:tc>
          <w:tcPr>
            <w:tcW w:type="dxa" w:w="4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586"/>
            <w:vMerge/>
            <w:tcBorders>
              <w:bottom w:sz="8.0" w:val="single" w:color="#000000"/>
            </w:tcBorders>
          </w:tcPr>
          <w:p/>
        </w:tc>
        <w:tc>
          <w:tcPr>
            <w:tcW w:type="dxa" w:w="52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586"/>
            <w:vMerge/>
            <w:tcBorders>
              <w:bottom w:sz="8.0" w:val="single" w:color="#000000"/>
            </w:tcBorders>
          </w:tcPr>
          <w:p/>
        </w:tc>
        <w:tc>
          <w:tcPr>
            <w:tcW w:type="dxa" w:w="5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22 </w:t>
            </w:r>
          </w:p>
        </w:tc>
        <w:tc>
          <w:tcPr>
            <w:tcW w:type="dxa" w:w="1830"/>
            <w:gridSpan w:val="3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172,134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a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172,156 </w:t>
            </w:r>
          </w:p>
        </w:tc>
      </w:tr>
      <w:tr>
        <w:trPr>
          <w:trHeight w:hRule="exact" w:val="240"/>
        </w:trPr>
        <w:tc>
          <w:tcPr>
            <w:tcW w:type="dxa" w:w="20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Loans in accrual status</w:t>
            </w:r>
          </w:p>
        </w:tc>
        <w:tc>
          <w:tcPr>
            <w:tcW w:type="dxa" w:w="3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8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22 </w:t>
            </w:r>
          </w:p>
        </w:tc>
        <w:tc>
          <w:tcPr>
            <w:tcW w:type="dxa" w:w="41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4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*</w:t>
            </w:r>
          </w:p>
        </w:tc>
        <w:tc>
          <w:tcPr>
            <w:tcW w:type="dxa" w:w="4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0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22 </w:t>
            </w:r>
          </w:p>
        </w:tc>
        <w:tc>
          <w:tcPr>
            <w:tcW w:type="dxa" w:w="938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190,793 </w:t>
            </w:r>
          </w:p>
        </w:tc>
        <w:tc>
          <w:tcPr>
            <w:tcW w:type="dxa" w:w="892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190,815 </w:t>
            </w:r>
          </w:p>
        </w:tc>
      </w:tr>
      <w:tr>
        <w:trPr>
          <w:trHeight w:hRule="exact" w:val="240"/>
        </w:trPr>
        <w:tc>
          <w:tcPr>
            <w:tcW w:type="dxa" w:w="20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Loans in nonaccrual status</w:t>
            </w:r>
          </w:p>
        </w:tc>
        <w:tc>
          <w:tcPr>
            <w:tcW w:type="dxa" w:w="3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8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 </w:t>
            </w:r>
          </w:p>
        </w:tc>
        <w:tc>
          <w:tcPr>
            <w:tcW w:type="dxa" w:w="41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0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 </w:t>
            </w:r>
          </w:p>
        </w:tc>
        <w:tc>
          <w:tcPr>
            <w:tcW w:type="dxa" w:w="4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 </w:t>
            </w:r>
          </w:p>
        </w:tc>
        <w:tc>
          <w:tcPr>
            <w:tcW w:type="dxa" w:w="3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445 </w:t>
            </w:r>
          </w:p>
        </w:tc>
        <w:tc>
          <w:tcPr>
            <w:tcW w:type="dxa" w:w="3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464 </w:t>
            </w:r>
          </w:p>
        </w:tc>
        <w:tc>
          <w:tcPr>
            <w:tcW w:type="dxa" w:w="938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5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405 </w:t>
            </w:r>
          </w:p>
        </w:tc>
        <w:tc>
          <w:tcPr>
            <w:tcW w:type="dxa" w:w="892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869 </w:t>
            </w:r>
          </w:p>
        </w:tc>
      </w:tr>
      <w:tr>
        <w:trPr>
          <w:trHeight w:hRule="exact" w:val="220"/>
        </w:trPr>
        <w:tc>
          <w:tcPr>
            <w:tcW w:type="dxa" w:w="20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3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48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29 </w:t>
            </w:r>
          </w:p>
        </w:tc>
        <w:tc>
          <w:tcPr>
            <w:tcW w:type="dxa" w:w="41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*</w:t>
            </w:r>
          </w:p>
        </w:tc>
        <w:tc>
          <w:tcPr>
            <w:tcW w:type="dxa" w:w="4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4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0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 </w:t>
            </w:r>
          </w:p>
        </w:tc>
        <w:tc>
          <w:tcPr>
            <w:tcW w:type="dxa" w:w="4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4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 </w:t>
            </w:r>
          </w:p>
        </w:tc>
        <w:tc>
          <w:tcPr>
            <w:tcW w:type="dxa" w:w="3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445 </w:t>
            </w:r>
          </w:p>
        </w:tc>
        <w:tc>
          <w:tcPr>
            <w:tcW w:type="dxa" w:w="3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486 </w:t>
            </w:r>
          </w:p>
        </w:tc>
        <w:tc>
          <w:tcPr>
            <w:tcW w:type="dxa" w:w="938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$ 191,198 </w:t>
            </w:r>
          </w:p>
        </w:tc>
        <w:tc>
          <w:tcPr>
            <w:tcW w:type="dxa" w:w="892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$ 191,684 </w:t>
            </w:r>
          </w:p>
        </w:tc>
      </w:tr>
    </w:tbl>
    <w:p>
      <w:pPr>
        <w:autoSpaceDN w:val="0"/>
        <w:autoSpaceDE w:val="0"/>
        <w:widowControl/>
        <w:spacing w:line="178" w:lineRule="exact" w:before="29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a. Includes Private Sector Window (PSW) related loans of $236 million ($102 million - June 30, 2023).</w:t>
      </w:r>
    </w:p>
    <w:p>
      <w:pPr>
        <w:autoSpaceDN w:val="0"/>
        <w:autoSpaceDE w:val="0"/>
        <w:widowControl/>
        <w:spacing w:line="178" w:lineRule="exact" w:before="6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*  Indicates amount less than $0.5 million.</w:t>
      </w:r>
    </w:p>
    <w:p>
      <w:pPr>
        <w:autoSpaceDN w:val="0"/>
        <w:tabs>
          <w:tab w:pos="768" w:val="left"/>
        </w:tabs>
        <w:autoSpaceDE w:val="0"/>
        <w:widowControl/>
        <w:spacing w:line="224" w:lineRule="exact" w:before="6426" w:after="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96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Financial Statements: June 30, 2024</w:t>
      </w:r>
    </w:p>
    <w:p>
      <w:pPr>
        <w:sectPr>
          <w:pgSz w:w="12240" w:h="15840"/>
          <w:pgMar w:top="700" w:right="1440" w:bottom="2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34" w:lineRule="exact" w:before="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considers the signature date of a loan as the best indicator of the decision point in the origination process, rather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than the disbursement date. The table below discloses the outstanding balances of IDA’s loan portfolio classified by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year the loan agreement was signed.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D4: Loan portfolio vintage disclosure</w:t>
      </w:r>
    </w:p>
    <w:p>
      <w:pPr>
        <w:autoSpaceDN w:val="0"/>
        <w:autoSpaceDE w:val="0"/>
        <w:widowControl/>
        <w:spacing w:line="178" w:lineRule="exact" w:before="154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p>
      <w:pPr>
        <w:autoSpaceDN w:val="0"/>
        <w:autoSpaceDE w:val="0"/>
        <w:widowControl/>
        <w:spacing w:line="178" w:lineRule="exact" w:before="62" w:after="20"/>
        <w:ind w:left="0" w:right="3208" w:firstLine="0"/>
        <w:jc w:val="right"/>
      </w:pPr>
      <w:r>
        <w:rPr>
          <w:rFonts w:ascii="Arial" w:hAnsi="Arial" w:eastAsia="Arial"/>
          <w:b w:val="0"/>
          <w:i/>
          <w:color w:val="000000"/>
          <w:sz w:val="16"/>
        </w:rPr>
        <w:t>June 30, 2024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29"/>
        <w:gridCol w:w="429"/>
        <w:gridCol w:w="429"/>
        <w:gridCol w:w="429"/>
        <w:gridCol w:w="429"/>
        <w:gridCol w:w="429"/>
        <w:gridCol w:w="429"/>
        <w:gridCol w:w="429"/>
        <w:gridCol w:w="429"/>
        <w:gridCol w:w="429"/>
        <w:gridCol w:w="429"/>
        <w:gridCol w:w="429"/>
        <w:gridCol w:w="429"/>
        <w:gridCol w:w="429"/>
        <w:gridCol w:w="429"/>
        <w:gridCol w:w="429"/>
        <w:gridCol w:w="429"/>
        <w:gridCol w:w="429"/>
        <w:gridCol w:w="429"/>
        <w:gridCol w:w="429"/>
        <w:gridCol w:w="429"/>
        <w:gridCol w:w="429"/>
      </w:tblGrid>
      <w:tr>
        <w:trPr>
          <w:trHeight w:hRule="exact" w:val="200"/>
        </w:trPr>
        <w:tc>
          <w:tcPr>
            <w:tcW w:type="dxa" w:w="2086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86" w:after="0"/>
              <w:ind w:left="6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Risk Class</w:t>
            </w:r>
          </w:p>
        </w:tc>
        <w:tc>
          <w:tcPr>
            <w:tcW w:type="dxa" w:w="5148"/>
            <w:gridSpan w:val="17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" w:after="0"/>
              <w:ind w:left="0" w:right="218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CAT </w:t>
            </w:r>
          </w:p>
        </w:tc>
        <w:tc>
          <w:tcPr>
            <w:tcW w:type="dxa" w:w="916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" w:after="0"/>
              <w:ind w:left="0" w:right="23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CAT </w:t>
            </w:r>
          </w:p>
        </w:tc>
        <w:tc>
          <w:tcPr>
            <w:tcW w:type="dxa" w:w="1216"/>
            <w:gridSpan w:val="2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10" w:after="0"/>
              <w:ind w:left="0" w:right="326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Loans </w:t>
            </w:r>
          </w:p>
        </w:tc>
      </w:tr>
      <w:tr>
        <w:trPr>
          <w:trHeight w:hRule="exact" w:val="200"/>
        </w:trPr>
        <w:tc>
          <w:tcPr>
            <w:tcW w:type="dxa" w:w="42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4284"/>
            <w:gridSpan w:val="1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Fiscal Year of origination</w:t>
            </w:r>
          </w:p>
        </w:tc>
        <w:tc>
          <w:tcPr>
            <w:tcW w:type="dxa" w:w="864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0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DDOs </w:t>
            </w:r>
            <w:r>
              <w:br/>
            </w: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disbursed </w:t>
            </w:r>
          </w:p>
        </w:tc>
        <w:tc>
          <w:tcPr>
            <w:tcW w:type="dxa" w:w="91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176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DDOs </w:t>
            </w:r>
          </w:p>
        </w:tc>
        <w:tc>
          <w:tcPr>
            <w:tcW w:type="dxa" w:w="858"/>
            <w:gridSpan w:val="2"/>
            <w:vMerge/>
            <w:tcBorders>
              <w:top w:sz="8.0" w:val="single" w:color="#000000"/>
            </w:tcBorders>
          </w:tcPr>
          <w:p/>
        </w:tc>
      </w:tr>
      <w:tr>
        <w:trPr>
          <w:trHeight w:hRule="exact" w:val="180"/>
        </w:trPr>
        <w:tc>
          <w:tcPr>
            <w:tcW w:type="dxa" w:w="42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6006"/>
            <w:gridSpan w:val="14"/>
            <w:vMerge/>
            <w:tcBorders/>
          </w:tcPr>
          <w:p/>
        </w:tc>
        <w:tc>
          <w:tcPr>
            <w:tcW w:type="dxa" w:w="1287"/>
            <w:gridSpan w:val="3"/>
            <w:vMerge/>
            <w:tcBorders/>
          </w:tcPr>
          <w:p/>
        </w:tc>
        <w:tc>
          <w:tcPr>
            <w:tcW w:type="dxa" w:w="91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11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Converted </w:t>
            </w:r>
          </w:p>
        </w:tc>
        <w:tc>
          <w:tcPr>
            <w:tcW w:type="dxa" w:w="121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19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Outstanding </w:t>
            </w:r>
          </w:p>
        </w:tc>
      </w:tr>
      <w:tr>
        <w:trPr>
          <w:trHeight w:hRule="exact" w:val="200"/>
        </w:trPr>
        <w:tc>
          <w:tcPr>
            <w:tcW w:type="dxa" w:w="42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4284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18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Prior </w:t>
            </w:r>
          </w:p>
        </w:tc>
        <w:tc>
          <w:tcPr>
            <w:tcW w:type="dxa" w:w="8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and </w:t>
            </w:r>
          </w:p>
        </w:tc>
        <w:tc>
          <w:tcPr>
            <w:tcW w:type="dxa" w:w="91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20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to Term </w:t>
            </w:r>
          </w:p>
        </w:tc>
        <w:tc>
          <w:tcPr>
            <w:tcW w:type="dxa" w:w="121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2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as of June 30, </w:t>
            </w:r>
          </w:p>
        </w:tc>
      </w:tr>
      <w:tr>
        <w:trPr>
          <w:trHeight w:hRule="exact" w:val="226"/>
        </w:trPr>
        <w:tc>
          <w:tcPr>
            <w:tcW w:type="dxa" w:w="42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624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2024</w:t>
            </w:r>
          </w:p>
        </w:tc>
        <w:tc>
          <w:tcPr>
            <w:tcW w:type="dxa" w:w="72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2023</w:t>
            </w:r>
          </w:p>
        </w:tc>
        <w:tc>
          <w:tcPr>
            <w:tcW w:type="dxa" w:w="68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2022</w:t>
            </w:r>
          </w:p>
        </w:tc>
        <w:tc>
          <w:tcPr>
            <w:tcW w:type="dxa" w:w="74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2021</w:t>
            </w:r>
          </w:p>
        </w:tc>
        <w:tc>
          <w:tcPr>
            <w:tcW w:type="dxa" w:w="74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2020</w:t>
            </w:r>
          </w:p>
        </w:tc>
        <w:tc>
          <w:tcPr>
            <w:tcW w:type="dxa" w:w="780"/>
            <w:gridSpan w:val="4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Years</w:t>
            </w:r>
          </w:p>
        </w:tc>
        <w:tc>
          <w:tcPr>
            <w:tcW w:type="dxa" w:w="864"/>
            <w:gridSpan w:val="3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revolving</w:t>
            </w:r>
          </w:p>
        </w:tc>
        <w:tc>
          <w:tcPr>
            <w:tcW w:type="dxa" w:w="916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Loans</w:t>
            </w:r>
          </w:p>
        </w:tc>
        <w:tc>
          <w:tcPr>
            <w:tcW w:type="dxa" w:w="1216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2024</w:t>
            </w:r>
          </w:p>
        </w:tc>
      </w:tr>
      <w:tr>
        <w:trPr>
          <w:trHeight w:hRule="exact" w:val="474"/>
        </w:trPr>
        <w:tc>
          <w:tcPr>
            <w:tcW w:type="dxa" w:w="208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0" w:after="0"/>
              <w:ind w:left="2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Low</w:t>
            </w:r>
          </w:p>
        </w:tc>
        <w:tc>
          <w:tcPr>
            <w:tcW w:type="dxa" w:w="26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3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38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382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1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36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42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398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3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40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62"/>
            <w:gridSpan w:val="3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0" w:after="0"/>
              <w:ind w:left="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418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0" w:after="0"/>
              <w:ind w:left="0" w:right="5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22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0" w:after="0"/>
              <w:ind w:left="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442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9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3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</w:tr>
      <w:tr>
        <w:trPr>
          <w:trHeight w:hRule="exact" w:val="240"/>
        </w:trPr>
        <w:tc>
          <w:tcPr>
            <w:tcW w:type="dxa" w:w="20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2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Medium</w:t>
            </w:r>
          </w:p>
        </w:tc>
        <w:tc>
          <w:tcPr>
            <w:tcW w:type="dxa" w:w="6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5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56 </w:t>
            </w:r>
          </w:p>
        </w:tc>
        <w:tc>
          <w:tcPr>
            <w:tcW w:type="dxa" w:w="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5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83 </w:t>
            </w:r>
          </w:p>
        </w:tc>
        <w:tc>
          <w:tcPr>
            <w:tcW w:type="dxa" w:w="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111 </w:t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393 </w:t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542 </w:t>
            </w:r>
          </w:p>
        </w:tc>
        <w:tc>
          <w:tcPr>
            <w:tcW w:type="dxa" w:w="7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15,081 </w:t>
            </w:r>
          </w:p>
        </w:tc>
        <w:tc>
          <w:tcPr>
            <w:tcW w:type="dxa" w:w="8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91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1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16,266 </w:t>
            </w:r>
          </w:p>
        </w:tc>
      </w:tr>
      <w:tr>
        <w:trPr>
          <w:trHeight w:hRule="exact" w:val="246"/>
        </w:trPr>
        <w:tc>
          <w:tcPr>
            <w:tcW w:type="dxa" w:w="208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2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High</w:t>
            </w:r>
          </w:p>
        </w:tc>
        <w:tc>
          <w:tcPr>
            <w:tcW w:type="dxa" w:w="624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5,670 </w:t>
            </w:r>
          </w:p>
        </w:tc>
        <w:tc>
          <w:tcPr>
            <w:tcW w:type="dxa" w:w="72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10,661 </w:t>
            </w:r>
          </w:p>
        </w:tc>
        <w:tc>
          <w:tcPr>
            <w:tcW w:type="dxa" w:w="68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9,487 </w:t>
            </w:r>
          </w:p>
        </w:tc>
        <w:tc>
          <w:tcPr>
            <w:tcW w:type="dxa" w:w="74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13,294 </w:t>
            </w:r>
          </w:p>
        </w:tc>
        <w:tc>
          <w:tcPr>
            <w:tcW w:type="dxa" w:w="74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10,279 </w:t>
            </w:r>
          </w:p>
        </w:tc>
        <w:tc>
          <w:tcPr>
            <w:tcW w:type="dxa" w:w="780"/>
            <w:gridSpan w:val="4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135,597 </w:t>
            </w:r>
          </w:p>
        </w:tc>
        <w:tc>
          <w:tcPr>
            <w:tcW w:type="dxa" w:w="864"/>
            <w:gridSpan w:val="3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101 </w:t>
            </w:r>
          </w:p>
        </w:tc>
        <w:tc>
          <w:tcPr>
            <w:tcW w:type="dxa" w:w="916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334 </w:t>
            </w:r>
          </w:p>
        </w:tc>
        <w:tc>
          <w:tcPr>
            <w:tcW w:type="dxa" w:w="1216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185,423 </w:t>
            </w:r>
          </w:p>
        </w:tc>
      </w:tr>
      <w:tr>
        <w:trPr>
          <w:trHeight w:hRule="exact" w:val="240"/>
        </w:trPr>
        <w:tc>
          <w:tcPr>
            <w:tcW w:type="dxa" w:w="208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Loans in accrual status</w:t>
            </w:r>
          </w:p>
        </w:tc>
        <w:tc>
          <w:tcPr>
            <w:tcW w:type="dxa" w:w="624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5,726 </w:t>
            </w:r>
          </w:p>
        </w:tc>
        <w:tc>
          <w:tcPr>
            <w:tcW w:type="dxa" w:w="72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10,744 </w:t>
            </w:r>
          </w:p>
        </w:tc>
        <w:tc>
          <w:tcPr>
            <w:tcW w:type="dxa" w:w="68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9,598 </w:t>
            </w:r>
          </w:p>
        </w:tc>
        <w:tc>
          <w:tcPr>
            <w:tcW w:type="dxa" w:w="74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13,687 </w:t>
            </w:r>
          </w:p>
        </w:tc>
        <w:tc>
          <w:tcPr>
            <w:tcW w:type="dxa" w:w="74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10,821 </w:t>
            </w:r>
          </w:p>
        </w:tc>
        <w:tc>
          <w:tcPr>
            <w:tcW w:type="dxa" w:w="780"/>
            <w:gridSpan w:val="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150,678 </w:t>
            </w:r>
          </w:p>
        </w:tc>
        <w:tc>
          <w:tcPr>
            <w:tcW w:type="dxa" w:w="864"/>
            <w:gridSpan w:val="3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101 </w:t>
            </w:r>
          </w:p>
        </w:tc>
        <w:tc>
          <w:tcPr>
            <w:tcW w:type="dxa" w:w="916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334 </w:t>
            </w:r>
          </w:p>
        </w:tc>
        <w:tc>
          <w:tcPr>
            <w:tcW w:type="dxa" w:w="1216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201,689 </w:t>
            </w:r>
          </w:p>
        </w:tc>
      </w:tr>
      <w:tr>
        <w:trPr>
          <w:trHeight w:hRule="exact" w:val="240"/>
        </w:trPr>
        <w:tc>
          <w:tcPr>
            <w:tcW w:type="dxa" w:w="208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Loans in nonaccrual status</w:t>
            </w:r>
          </w:p>
        </w:tc>
        <w:tc>
          <w:tcPr>
            <w:tcW w:type="dxa" w:w="624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5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72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5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68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74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914"/>
            <w:gridSpan w:val="3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2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606"/>
            <w:gridSpan w:val="3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5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859 </w:t>
            </w:r>
          </w:p>
        </w:tc>
        <w:tc>
          <w:tcPr>
            <w:tcW w:type="dxa" w:w="864"/>
            <w:gridSpan w:val="3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916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16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859 </w:t>
            </w:r>
          </w:p>
        </w:tc>
      </w:tr>
      <w:tr>
        <w:trPr>
          <w:trHeight w:hRule="exact" w:val="220"/>
        </w:trPr>
        <w:tc>
          <w:tcPr>
            <w:tcW w:type="dxa" w:w="208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2024"/>
            <w:gridSpan w:val="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$ 5,726 $ 10,744 $ 9,598 </w:t>
            </w:r>
          </w:p>
        </w:tc>
        <w:tc>
          <w:tcPr>
            <w:tcW w:type="dxa" w:w="2628"/>
            <w:gridSpan w:val="9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$ 13,687 $ 10,821 $ 151,537 $ </w:t>
            </w:r>
          </w:p>
        </w:tc>
        <w:tc>
          <w:tcPr>
            <w:tcW w:type="dxa" w:w="496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101 </w:t>
            </w:r>
          </w:p>
        </w:tc>
        <w:tc>
          <w:tcPr>
            <w:tcW w:type="dxa" w:w="3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334 </w:t>
            </w:r>
          </w:p>
        </w:tc>
        <w:tc>
          <w:tcPr>
            <w:tcW w:type="dxa" w:w="3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8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202,548 </w:t>
            </w:r>
          </w:p>
        </w:tc>
      </w:tr>
      <w:tr>
        <w:trPr>
          <w:trHeight w:hRule="exact" w:val="512"/>
        </w:trPr>
        <w:tc>
          <w:tcPr>
            <w:tcW w:type="dxa" w:w="208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Current period gross write-</w:t>
            </w:r>
          </w:p>
        </w:tc>
        <w:tc>
          <w:tcPr>
            <w:tcW w:type="dxa" w:w="26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36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38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382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16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36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42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398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36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40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08"/>
            <w:gridSpan w:val="2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472"/>
            <w:gridSpan w:val="2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104 </w:t>
            </w:r>
          </w:p>
        </w:tc>
        <w:tc>
          <w:tcPr>
            <w:tcW w:type="dxa" w:w="864"/>
            <w:gridSpan w:val="3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n.a</w:t>
            </w:r>
          </w:p>
        </w:tc>
        <w:tc>
          <w:tcPr>
            <w:tcW w:type="dxa" w:w="916"/>
            <w:gridSpan w:val="2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n.a</w:t>
            </w:r>
          </w:p>
        </w:tc>
        <w:tc>
          <w:tcPr>
            <w:tcW w:type="dxa" w:w="38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36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2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104 </w:t>
            </w:r>
          </w:p>
        </w:tc>
      </w:tr>
      <w:tr>
        <w:trPr>
          <w:trHeight w:hRule="exact" w:val="512"/>
        </w:trPr>
        <w:tc>
          <w:tcPr>
            <w:tcW w:type="dxa" w:w="208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0" w:after="0"/>
              <w:ind w:left="1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offs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 xml:space="preserve"> a</w:t>
            </w:r>
          </w:p>
        </w:tc>
        <w:tc>
          <w:tcPr>
            <w:tcW w:type="dxa" w:w="42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42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42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42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42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42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42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42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42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42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58"/>
            <w:gridSpan w:val="2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58"/>
            <w:gridSpan w:val="2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287"/>
            <w:gridSpan w:val="3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858"/>
            <w:gridSpan w:val="2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42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429"/>
            <w:vMerge/>
            <w:tcBorders>
              <w:top w:sz="8.0" w:val="single" w:color="#000000"/>
              <w:bottom w:sz="8.0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220" w:lineRule="exact" w:before="168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D4.1:</w:t>
      </w:r>
    </w:p>
    <w:p>
      <w:pPr>
        <w:autoSpaceDN w:val="0"/>
        <w:autoSpaceDE w:val="0"/>
        <w:widowControl/>
        <w:spacing w:line="178" w:lineRule="exact" w:before="154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p>
      <w:pPr>
        <w:autoSpaceDN w:val="0"/>
        <w:autoSpaceDE w:val="0"/>
        <w:widowControl/>
        <w:spacing w:line="178" w:lineRule="exact" w:before="62" w:after="20"/>
        <w:ind w:left="0" w:right="3200" w:firstLine="0"/>
        <w:jc w:val="right"/>
      </w:pPr>
      <w:r>
        <w:rPr>
          <w:rFonts w:ascii="Arial" w:hAnsi="Arial" w:eastAsia="Arial"/>
          <w:b w:val="0"/>
          <w:i/>
          <w:color w:val="000000"/>
          <w:sz w:val="16"/>
        </w:rPr>
        <w:t>June 30, 2023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  <w:gridCol w:w="524"/>
      </w:tblGrid>
      <w:tr>
        <w:trPr>
          <w:trHeight w:hRule="exact" w:val="210"/>
        </w:trPr>
        <w:tc>
          <w:tcPr>
            <w:tcW w:type="dxa" w:w="2046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786" w:after="0"/>
              <w:ind w:left="6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Risk Class</w:t>
            </w:r>
          </w:p>
        </w:tc>
        <w:tc>
          <w:tcPr>
            <w:tcW w:type="dxa" w:w="5234"/>
            <w:gridSpan w:val="13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" w:after="0"/>
              <w:ind w:left="0" w:right="226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CAT </w:t>
            </w:r>
          </w:p>
        </w:tc>
        <w:tc>
          <w:tcPr>
            <w:tcW w:type="dxa" w:w="914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" w:after="0"/>
              <w:ind w:left="0" w:right="232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CAT </w:t>
            </w:r>
          </w:p>
        </w:tc>
        <w:tc>
          <w:tcPr>
            <w:tcW w:type="dxa" w:w="1186"/>
            <w:gridSpan w:val="2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0" w:after="0"/>
              <w:ind w:left="0" w:right="310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Loans </w:t>
            </w:r>
          </w:p>
        </w:tc>
      </w:tr>
      <w:tr>
        <w:trPr>
          <w:trHeight w:hRule="exact" w:val="180"/>
        </w:trPr>
        <w:tc>
          <w:tcPr>
            <w:tcW w:type="dxa" w:w="524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3544"/>
            <w:gridSpan w:val="1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52" w:after="0"/>
              <w:ind w:left="0" w:right="478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Fiscal Year of origination</w:t>
            </w:r>
          </w:p>
        </w:tc>
        <w:tc>
          <w:tcPr>
            <w:tcW w:type="dxa" w:w="1690"/>
            <w:gridSpan w:val="3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0" w:lineRule="exact" w:before="0" w:after="0"/>
              <w:ind w:left="864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DDOs </w:t>
            </w:r>
            <w:r>
              <w:br/>
            </w: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disbursed </w:t>
            </w:r>
          </w:p>
        </w:tc>
        <w:tc>
          <w:tcPr>
            <w:tcW w:type="dxa" w:w="91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17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DDOs </w:t>
            </w:r>
          </w:p>
        </w:tc>
        <w:tc>
          <w:tcPr>
            <w:tcW w:type="dxa" w:w="1048"/>
            <w:gridSpan w:val="2"/>
            <w:vMerge/>
            <w:tcBorders>
              <w:top w:sz="8.0" w:val="single" w:color="#000000"/>
            </w:tcBorders>
          </w:tcPr>
          <w:p/>
        </w:tc>
      </w:tr>
      <w:tr>
        <w:trPr>
          <w:trHeight w:hRule="exact" w:val="200"/>
        </w:trPr>
        <w:tc>
          <w:tcPr>
            <w:tcW w:type="dxa" w:w="524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5240"/>
            <w:gridSpan w:val="10"/>
            <w:vMerge/>
            <w:tcBorders/>
          </w:tcPr>
          <w:p/>
        </w:tc>
        <w:tc>
          <w:tcPr>
            <w:tcW w:type="dxa" w:w="1572"/>
            <w:gridSpan w:val="3"/>
            <w:vMerge/>
            <w:tcBorders/>
          </w:tcPr>
          <w:p/>
        </w:tc>
        <w:tc>
          <w:tcPr>
            <w:tcW w:type="dxa" w:w="91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1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Converted </w:t>
            </w:r>
          </w:p>
        </w:tc>
        <w:tc>
          <w:tcPr>
            <w:tcW w:type="dxa" w:w="118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8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Outstanding </w:t>
            </w:r>
          </w:p>
        </w:tc>
      </w:tr>
      <w:tr>
        <w:trPr>
          <w:trHeight w:hRule="exact" w:val="200"/>
        </w:trPr>
        <w:tc>
          <w:tcPr>
            <w:tcW w:type="dxa" w:w="524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4604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4" w:after="0"/>
              <w:ind w:left="0" w:right="450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Prior </w:t>
            </w:r>
          </w:p>
        </w:tc>
        <w:tc>
          <w:tcPr>
            <w:tcW w:type="dxa" w:w="6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4" w:after="0"/>
              <w:ind w:left="6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and </w:t>
            </w:r>
          </w:p>
        </w:tc>
        <w:tc>
          <w:tcPr>
            <w:tcW w:type="dxa" w:w="91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4" w:after="0"/>
              <w:ind w:left="20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to Term </w:t>
            </w:r>
          </w:p>
        </w:tc>
        <w:tc>
          <w:tcPr>
            <w:tcW w:type="dxa" w:w="118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4" w:after="0"/>
              <w:ind w:left="11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as of June 30, </w:t>
            </w:r>
          </w:p>
        </w:tc>
      </w:tr>
      <w:tr>
        <w:trPr>
          <w:trHeight w:hRule="exact" w:val="214"/>
        </w:trPr>
        <w:tc>
          <w:tcPr>
            <w:tcW w:type="dxa" w:w="524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684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2023</w:t>
            </w:r>
          </w:p>
        </w:tc>
        <w:tc>
          <w:tcPr>
            <w:tcW w:type="dxa" w:w="70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2022</w:t>
            </w:r>
          </w:p>
        </w:tc>
        <w:tc>
          <w:tcPr>
            <w:tcW w:type="dxa" w:w="72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2021</w:t>
            </w:r>
          </w:p>
        </w:tc>
        <w:tc>
          <w:tcPr>
            <w:tcW w:type="dxa" w:w="70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2020</w:t>
            </w:r>
          </w:p>
        </w:tc>
        <w:tc>
          <w:tcPr>
            <w:tcW w:type="dxa" w:w="74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2019</w:t>
            </w:r>
          </w:p>
        </w:tc>
        <w:tc>
          <w:tcPr>
            <w:tcW w:type="dxa" w:w="772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Years</w:t>
            </w:r>
          </w:p>
        </w:tc>
        <w:tc>
          <w:tcPr>
            <w:tcW w:type="dxa" w:w="918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revolving</w:t>
            </w:r>
          </w:p>
        </w:tc>
        <w:tc>
          <w:tcPr>
            <w:tcW w:type="dxa" w:w="914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Loans</w:t>
            </w:r>
          </w:p>
        </w:tc>
        <w:tc>
          <w:tcPr>
            <w:tcW w:type="dxa" w:w="1186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2023</w:t>
            </w:r>
          </w:p>
        </w:tc>
      </w:tr>
      <w:tr>
        <w:trPr>
          <w:trHeight w:hRule="exact" w:val="466"/>
        </w:trPr>
        <w:tc>
          <w:tcPr>
            <w:tcW w:type="dxa" w:w="204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2" w:after="0"/>
              <w:ind w:left="2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Low</w:t>
            </w:r>
          </w:p>
        </w:tc>
        <w:tc>
          <w:tcPr>
            <w:tcW w:type="dxa" w:w="32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3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2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37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32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388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1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38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3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40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60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2" w:after="0"/>
              <w:ind w:left="17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$          *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3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2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7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1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2" w:after="0"/>
              <w:ind w:left="0" w:right="14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*</w:t>
            </w:r>
          </w:p>
        </w:tc>
      </w:tr>
      <w:tr>
        <w:trPr>
          <w:trHeight w:hRule="exact" w:val="240"/>
        </w:trPr>
        <w:tc>
          <w:tcPr>
            <w:tcW w:type="dxa" w:w="20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2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Medium</w:t>
            </w:r>
          </w:p>
        </w:tc>
        <w:tc>
          <w:tcPr>
            <w:tcW w:type="dxa" w:w="6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83 </w:t>
            </w:r>
          </w:p>
        </w:tc>
        <w:tc>
          <w:tcPr>
            <w:tcW w:type="dxa" w:w="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5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111 </w:t>
            </w:r>
          </w:p>
        </w:tc>
        <w:tc>
          <w:tcPr>
            <w:tcW w:type="dxa" w:w="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394 </w:t>
            </w:r>
          </w:p>
        </w:tc>
        <w:tc>
          <w:tcPr>
            <w:tcW w:type="dxa" w:w="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542 </w:t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243 </w:t>
            </w:r>
          </w:p>
        </w:tc>
        <w:tc>
          <w:tcPr>
            <w:tcW w:type="dxa" w:w="1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17,286 </w:t>
            </w:r>
          </w:p>
        </w:tc>
        <w:tc>
          <w:tcPr>
            <w:tcW w:type="dxa" w:w="6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91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18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18,659 </w:t>
            </w:r>
          </w:p>
        </w:tc>
      </w:tr>
      <w:tr>
        <w:trPr>
          <w:trHeight w:hRule="exact" w:val="254"/>
        </w:trPr>
        <w:tc>
          <w:tcPr>
            <w:tcW w:type="dxa" w:w="204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2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High</w:t>
            </w:r>
          </w:p>
        </w:tc>
        <w:tc>
          <w:tcPr>
            <w:tcW w:type="dxa" w:w="684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6,964 </w:t>
            </w:r>
          </w:p>
        </w:tc>
        <w:tc>
          <w:tcPr>
            <w:tcW w:type="dxa" w:w="70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7,162 </w:t>
            </w:r>
          </w:p>
        </w:tc>
        <w:tc>
          <w:tcPr>
            <w:tcW w:type="dxa" w:w="72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10,338 </w:t>
            </w:r>
          </w:p>
        </w:tc>
        <w:tc>
          <w:tcPr>
            <w:tcW w:type="dxa" w:w="70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8,956 </w:t>
            </w:r>
          </w:p>
        </w:tc>
        <w:tc>
          <w:tcPr>
            <w:tcW w:type="dxa" w:w="74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10,961 </w:t>
            </w:r>
          </w:p>
        </w:tc>
        <w:tc>
          <w:tcPr>
            <w:tcW w:type="dxa" w:w="106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127,408 </w:t>
            </w:r>
          </w:p>
        </w:tc>
        <w:tc>
          <w:tcPr>
            <w:tcW w:type="dxa" w:w="6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24 </w:t>
            </w:r>
          </w:p>
        </w:tc>
        <w:tc>
          <w:tcPr>
            <w:tcW w:type="dxa" w:w="914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343 </w:t>
            </w:r>
          </w:p>
        </w:tc>
        <w:tc>
          <w:tcPr>
            <w:tcW w:type="dxa" w:w="1186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172,156 </w:t>
            </w:r>
          </w:p>
        </w:tc>
      </w:tr>
      <w:tr>
        <w:trPr>
          <w:trHeight w:hRule="exact" w:val="240"/>
        </w:trPr>
        <w:tc>
          <w:tcPr>
            <w:tcW w:type="dxa" w:w="204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Loans in accrual status</w:t>
            </w:r>
          </w:p>
        </w:tc>
        <w:tc>
          <w:tcPr>
            <w:tcW w:type="dxa" w:w="684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7,047 </w:t>
            </w:r>
          </w:p>
        </w:tc>
        <w:tc>
          <w:tcPr>
            <w:tcW w:type="dxa" w:w="70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7,273 </w:t>
            </w:r>
          </w:p>
        </w:tc>
        <w:tc>
          <w:tcPr>
            <w:tcW w:type="dxa" w:w="72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10,732 </w:t>
            </w:r>
          </w:p>
        </w:tc>
        <w:tc>
          <w:tcPr>
            <w:tcW w:type="dxa" w:w="70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9,498 </w:t>
            </w:r>
          </w:p>
        </w:tc>
        <w:tc>
          <w:tcPr>
            <w:tcW w:type="dxa" w:w="74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11,204 </w:t>
            </w:r>
          </w:p>
        </w:tc>
        <w:tc>
          <w:tcPr>
            <w:tcW w:type="dxa" w:w="106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144,694 </w:t>
            </w:r>
          </w:p>
        </w:tc>
        <w:tc>
          <w:tcPr>
            <w:tcW w:type="dxa" w:w="6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24 </w:t>
            </w:r>
          </w:p>
        </w:tc>
        <w:tc>
          <w:tcPr>
            <w:tcW w:type="dxa" w:w="914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343 </w:t>
            </w:r>
          </w:p>
        </w:tc>
        <w:tc>
          <w:tcPr>
            <w:tcW w:type="dxa" w:w="1186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190,815 </w:t>
            </w:r>
          </w:p>
        </w:tc>
      </w:tr>
      <w:tr>
        <w:trPr>
          <w:trHeight w:hRule="exact" w:val="240"/>
        </w:trPr>
        <w:tc>
          <w:tcPr>
            <w:tcW w:type="dxa" w:w="204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Loans in nonaccrual status</w:t>
            </w:r>
          </w:p>
        </w:tc>
        <w:tc>
          <w:tcPr>
            <w:tcW w:type="dxa" w:w="684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70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5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72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70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74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6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6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0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869 </w:t>
            </w:r>
          </w:p>
        </w:tc>
        <w:tc>
          <w:tcPr>
            <w:tcW w:type="dxa" w:w="6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914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186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869 </w:t>
            </w:r>
          </w:p>
        </w:tc>
      </w:tr>
      <w:tr>
        <w:trPr>
          <w:trHeight w:hRule="exact" w:val="220"/>
        </w:trPr>
        <w:tc>
          <w:tcPr>
            <w:tcW w:type="dxa" w:w="204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1384"/>
            <w:gridSpan w:val="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$ 7,047 $ 7,273 </w:t>
            </w:r>
          </w:p>
        </w:tc>
        <w:tc>
          <w:tcPr>
            <w:tcW w:type="dxa" w:w="1420"/>
            <w:gridSpan w:val="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$ 10,732 $ 9,498 </w:t>
            </w:r>
          </w:p>
        </w:tc>
        <w:tc>
          <w:tcPr>
            <w:tcW w:type="dxa" w:w="1800"/>
            <w:gridSpan w:val="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$ 11,204 $ 145,563 $ </w:t>
            </w:r>
          </w:p>
        </w:tc>
        <w:tc>
          <w:tcPr>
            <w:tcW w:type="dxa" w:w="6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24 </w:t>
            </w:r>
          </w:p>
        </w:tc>
        <w:tc>
          <w:tcPr>
            <w:tcW w:type="dxa" w:w="3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343 </w:t>
            </w:r>
          </w:p>
        </w:tc>
        <w:tc>
          <w:tcPr>
            <w:tcW w:type="dxa" w:w="3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8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5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191,684 </w:t>
            </w:r>
          </w:p>
        </w:tc>
      </w:tr>
    </w:tbl>
    <w:p>
      <w:pPr>
        <w:autoSpaceDN w:val="0"/>
        <w:autoSpaceDE w:val="0"/>
        <w:widowControl/>
        <w:spacing w:line="178" w:lineRule="exact" w:before="328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a. Relate to HIPC/MDRI.</w:t>
      </w:r>
    </w:p>
    <w:p>
      <w:pPr>
        <w:autoSpaceDN w:val="0"/>
        <w:autoSpaceDE w:val="0"/>
        <w:widowControl/>
        <w:spacing w:line="178" w:lineRule="exact" w:before="6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*  Indicates amount less than $0.5 million. </w:t>
      </w:r>
    </w:p>
    <w:p>
      <w:pPr>
        <w:autoSpaceDN w:val="0"/>
        <w:autoSpaceDE w:val="0"/>
        <w:widowControl/>
        <w:spacing w:line="240" w:lineRule="exact" w:before="192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There was no Catastrophe Deferred Drawdown Option (CAT DDO) outstanding and revolving that was converted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term loans during the fiscal year ended June 30, 2024 ($158 million—June 30, 2023).</w:t>
      </w:r>
    </w:p>
    <w:p>
      <w:pPr>
        <w:autoSpaceDN w:val="0"/>
        <w:autoSpaceDE w:val="0"/>
        <w:widowControl/>
        <w:spacing w:line="244" w:lineRule="exact" w:before="130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Accumulated Provision for Losses on Loans and Other Exposures</w:t>
      </w:r>
    </w:p>
    <w:p>
      <w:pPr>
        <w:autoSpaceDN w:val="0"/>
        <w:autoSpaceDE w:val="0"/>
        <w:widowControl/>
        <w:spacing w:line="240" w:lineRule="exact" w:before="130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Management determines the appropriate level of the accumulated provisions for losses, which reflects the expected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losses inherent in IDA’s exposures. Management reassesses the adequacy of accumulated provision on a quarterly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basis and adjustments to the accumulated provision are recorded as a charge to or release of provision in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Statements of Income. 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accumulated provision for HIPC Debt Initiative and MDRI was recorded at the inception of this initiative and is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based on a quantitative and qualitative analyses of various factors, including estimates of Decision Point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Completion Point dates. These factors are reviewed periodically as part of the reassessment of the adequacy of the </w:t>
      </w:r>
    </w:p>
    <w:p>
      <w:pPr>
        <w:autoSpaceDN w:val="0"/>
        <w:tabs>
          <w:tab w:pos="9094" w:val="left"/>
        </w:tabs>
        <w:autoSpaceDE w:val="0"/>
        <w:widowControl/>
        <w:spacing w:line="224" w:lineRule="exact" w:before="1070" w:after="0"/>
        <w:ind w:left="499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Financial Statements: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97</w:t>
      </w:r>
    </w:p>
    <w:p>
      <w:pPr>
        <w:sectPr>
          <w:pgSz w:w="12240" w:h="15840"/>
          <w:pgMar w:top="700" w:right="1370" w:bottom="2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30" w:lineRule="exact" w:before="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accumulated provision for loan losses. Accumulated provisions are reduced as qualifying debt service becomes due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and is forgiven under the HIPC Debt Initiative. </w:t>
      </w:r>
    </w:p>
    <w:p>
      <w:pPr>
        <w:autoSpaceDN w:val="0"/>
        <w:autoSpaceDE w:val="0"/>
        <w:widowControl/>
        <w:spacing w:line="240" w:lineRule="exact" w:before="120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When the country reaches HIPC Completion Point, it becomes eligible for MDRI debt relief which is characterized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by the write-off of eligible loans. This write-off occurs at the beginning of the quarterly period following the date 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which the country reaches Completion Point. MDRI provision is reduced by the amount of the eligible loans written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off.</w:t>
      </w:r>
    </w:p>
    <w:p>
      <w:pPr>
        <w:autoSpaceDN w:val="0"/>
        <w:autoSpaceDE w:val="0"/>
        <w:widowControl/>
        <w:spacing w:line="222" w:lineRule="exact" w:before="138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Changes to the accumulated provision for losses on loans and other exposures are summarized below: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D5: Accumulated provisions</w:t>
      </w:r>
    </w:p>
    <w:p>
      <w:pPr>
        <w:autoSpaceDN w:val="0"/>
        <w:autoSpaceDE w:val="0"/>
        <w:widowControl/>
        <w:spacing w:line="178" w:lineRule="exact" w:before="154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p>
      <w:pPr>
        <w:autoSpaceDN w:val="0"/>
        <w:autoSpaceDE w:val="0"/>
        <w:widowControl/>
        <w:spacing w:line="178" w:lineRule="exact" w:before="62" w:after="0"/>
        <w:ind w:left="0" w:right="2240" w:firstLine="0"/>
        <w:jc w:val="right"/>
      </w:pPr>
      <w:r>
        <w:rPr>
          <w:rFonts w:ascii="Arial" w:hAnsi="Arial" w:eastAsia="Arial"/>
          <w:b w:val="0"/>
          <w:i/>
          <w:color w:val="000000"/>
          <w:sz w:val="16"/>
        </w:rPr>
        <w:t>June 30, 2024</w:t>
      </w:r>
    </w:p>
    <w:p>
      <w:pPr>
        <w:autoSpaceDN w:val="0"/>
        <w:autoSpaceDE w:val="0"/>
        <w:widowControl/>
        <w:spacing w:line="180" w:lineRule="exact" w:before="82" w:after="6"/>
        <w:ind w:left="0" w:right="2166" w:firstLine="0"/>
        <w:jc w:val="righ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Debt relief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858"/>
        <w:gridCol w:w="858"/>
        <w:gridCol w:w="858"/>
        <w:gridCol w:w="858"/>
        <w:gridCol w:w="858"/>
        <w:gridCol w:w="858"/>
        <w:gridCol w:w="858"/>
        <w:gridCol w:w="858"/>
        <w:gridCol w:w="858"/>
        <w:gridCol w:w="858"/>
        <w:gridCol w:w="858"/>
      </w:tblGrid>
      <w:tr>
        <w:trPr>
          <w:trHeight w:hRule="exact" w:val="182"/>
        </w:trPr>
        <w:tc>
          <w:tcPr>
            <w:tcW w:type="dxa" w:w="504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" w:after="0"/>
              <w:ind w:left="0" w:right="256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Loans </w:t>
            </w:r>
          </w:p>
        </w:tc>
        <w:tc>
          <w:tcPr>
            <w:tcW w:type="dxa" w:w="123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" w:after="0"/>
              <w:ind w:left="0" w:right="37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Loan </w:t>
            </w:r>
          </w:p>
        </w:tc>
        <w:tc>
          <w:tcPr>
            <w:tcW w:type="dxa" w:w="10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" w:after="0"/>
              <w:ind w:left="0" w:right="272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under </w:t>
            </w:r>
          </w:p>
        </w:tc>
        <w:tc>
          <w:tcPr>
            <w:tcW w:type="dxa" w:w="884"/>
            <w:gridSpan w:val="2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7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Other </w:t>
            </w:r>
            <w:r>
              <w:rPr>
                <w:w w:val="103.99999618530273"/>
                <w:rFonts w:ascii="Arial" w:hAnsi="Arial" w:eastAsia="Arial"/>
                <w:b w:val="0"/>
                <w:i/>
                <w:color w:val="000000"/>
                <w:sz w:val="10"/>
              </w:rPr>
              <w:t>a</w:t>
            </w:r>
          </w:p>
        </w:tc>
        <w:tc>
          <w:tcPr>
            <w:tcW w:type="dxa" w:w="30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78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98" w:after="0"/>
              <w:ind w:left="8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Total</w:t>
            </w:r>
          </w:p>
        </w:tc>
      </w:tr>
      <w:tr>
        <w:trPr>
          <w:trHeight w:hRule="exact" w:val="226"/>
        </w:trPr>
        <w:tc>
          <w:tcPr>
            <w:tcW w:type="dxa" w:w="5044"/>
            <w:gridSpan w:val="3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0" w:right="106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outstanding</w:t>
            </w:r>
          </w:p>
        </w:tc>
        <w:tc>
          <w:tcPr>
            <w:tcW w:type="dxa" w:w="1232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commitments</w:t>
            </w:r>
          </w:p>
        </w:tc>
        <w:tc>
          <w:tcPr>
            <w:tcW w:type="dxa" w:w="108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HIPC/MDRI</w:t>
            </w:r>
          </w:p>
        </w:tc>
        <w:tc>
          <w:tcPr>
            <w:tcW w:type="dxa" w:w="1716"/>
            <w:gridSpan w:val="2"/>
            <w:vMerge/>
            <w:tcBorders>
              <w:bottom w:sz="8.0" w:val="single" w:color="#000000"/>
            </w:tcBorders>
          </w:tcPr>
          <w:p/>
        </w:tc>
        <w:tc>
          <w:tcPr>
            <w:tcW w:type="dxa" w:w="858"/>
            <w:vMerge/>
            <w:tcBorders>
              <w:bottom w:sz="8.0" w:val="single" w:color="#000000"/>
            </w:tcBorders>
          </w:tcPr>
          <w:p/>
        </w:tc>
        <w:tc>
          <w:tcPr>
            <w:tcW w:type="dxa" w:w="858"/>
            <w:vMerge/>
            <w:tcBorders>
              <w:bottom w:sz="8.0" w:val="single" w:color="#000000"/>
            </w:tcBorders>
          </w:tcPr>
          <w:p/>
        </w:tc>
      </w:tr>
      <w:tr>
        <w:trPr>
          <w:trHeight w:hRule="exact" w:val="234"/>
        </w:trPr>
        <w:tc>
          <w:tcPr>
            <w:tcW w:type="dxa" w:w="4380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Accumulated provision, beginning of the fiscal year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6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3,325 </w:t>
            </w:r>
          </w:p>
        </w:tc>
        <w:tc>
          <w:tcPr>
            <w:tcW w:type="dxa" w:w="47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5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1,320 </w:t>
            </w:r>
          </w:p>
        </w:tc>
        <w:tc>
          <w:tcPr>
            <w:tcW w:type="dxa" w:w="44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3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668 </w:t>
            </w:r>
          </w:p>
        </w:tc>
        <w:tc>
          <w:tcPr>
            <w:tcW w:type="dxa" w:w="38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198 </w:t>
            </w:r>
          </w:p>
        </w:tc>
        <w:tc>
          <w:tcPr>
            <w:tcW w:type="dxa" w:w="30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5,511 </w:t>
            </w:r>
          </w:p>
        </w:tc>
      </w:tr>
      <w:tr>
        <w:trPr>
          <w:trHeight w:hRule="exact" w:val="240"/>
        </w:trPr>
        <w:tc>
          <w:tcPr>
            <w:tcW w:type="dxa" w:w="4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Provision, net - charge (release)</w:t>
            </w:r>
          </w:p>
        </w:tc>
        <w:tc>
          <w:tcPr>
            <w:tcW w:type="dxa" w:w="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252 </w:t>
            </w:r>
          </w:p>
        </w:tc>
        <w:tc>
          <w:tcPr>
            <w:tcW w:type="dxa" w:w="123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 </w:t>
            </w:r>
          </w:p>
        </w:tc>
        <w:tc>
          <w:tcPr>
            <w:tcW w:type="dxa" w:w="10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(31) </w:t>
            </w:r>
          </w:p>
        </w:tc>
        <w:tc>
          <w:tcPr>
            <w:tcW w:type="dxa" w:w="8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42 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275 </w:t>
            </w:r>
          </w:p>
        </w:tc>
      </w:tr>
      <w:tr>
        <w:trPr>
          <w:trHeight w:hRule="exact" w:val="240"/>
        </w:trPr>
        <w:tc>
          <w:tcPr>
            <w:tcW w:type="dxa" w:w="4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Loans written off under HIPC/MDRI </w:t>
            </w:r>
          </w:p>
        </w:tc>
        <w:tc>
          <w:tcPr>
            <w:tcW w:type="dxa" w:w="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3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(104) </w:t>
            </w:r>
          </w:p>
        </w:tc>
        <w:tc>
          <w:tcPr>
            <w:tcW w:type="dxa" w:w="8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(104) </w:t>
            </w:r>
          </w:p>
        </w:tc>
      </w:tr>
      <w:tr>
        <w:trPr>
          <w:trHeight w:hRule="exact" w:val="246"/>
        </w:trPr>
        <w:tc>
          <w:tcPr>
            <w:tcW w:type="dxa" w:w="438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Translation adjustment</w:t>
            </w:r>
          </w:p>
        </w:tc>
        <w:tc>
          <w:tcPr>
            <w:tcW w:type="dxa" w:w="66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(43) </w:t>
            </w:r>
          </w:p>
        </w:tc>
        <w:tc>
          <w:tcPr>
            <w:tcW w:type="dxa" w:w="1232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(16) </w:t>
            </w:r>
          </w:p>
        </w:tc>
        <w:tc>
          <w:tcPr>
            <w:tcW w:type="dxa" w:w="108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(2) </w:t>
            </w:r>
          </w:p>
        </w:tc>
        <w:tc>
          <w:tcPr>
            <w:tcW w:type="dxa" w:w="884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85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7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(61) </w:t>
            </w:r>
          </w:p>
        </w:tc>
      </w:tr>
      <w:tr>
        <w:trPr>
          <w:trHeight w:hRule="exact" w:val="230"/>
        </w:trPr>
        <w:tc>
          <w:tcPr>
            <w:tcW w:type="dxa" w:w="3772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Accumulated provision, end of the fiscal year</w:t>
            </w:r>
          </w:p>
        </w:tc>
        <w:tc>
          <w:tcPr>
            <w:tcW w:type="dxa" w:w="608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1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6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3,534 </w:t>
            </w:r>
          </w:p>
        </w:tc>
        <w:tc>
          <w:tcPr>
            <w:tcW w:type="dxa" w:w="47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5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1,316 </w:t>
            </w:r>
          </w:p>
        </w:tc>
        <w:tc>
          <w:tcPr>
            <w:tcW w:type="dxa" w:w="44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3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531 </w:t>
            </w:r>
          </w:p>
        </w:tc>
        <w:tc>
          <w:tcPr>
            <w:tcW w:type="dxa" w:w="38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240 </w:t>
            </w:r>
          </w:p>
        </w:tc>
        <w:tc>
          <w:tcPr>
            <w:tcW w:type="dxa" w:w="3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5,621 </w:t>
            </w:r>
          </w:p>
        </w:tc>
      </w:tr>
    </w:tbl>
    <w:p>
      <w:pPr>
        <w:autoSpaceDN w:val="0"/>
        <w:autoSpaceDE w:val="0"/>
        <w:widowControl/>
        <w:spacing w:line="180" w:lineRule="exact" w:before="40" w:after="3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Including accumulated provision for losses on: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234"/>
        </w:trPr>
        <w:tc>
          <w:tcPr>
            <w:tcW w:type="dxa" w:w="40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Loans in accrual status </w:t>
            </w:r>
          </w:p>
        </w:tc>
        <w:tc>
          <w:tcPr>
            <w:tcW w:type="dxa" w:w="37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3,301 </w:t>
            </w:r>
          </w:p>
        </w:tc>
        <w:tc>
          <w:tcPr>
            <w:tcW w:type="dxa" w:w="167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2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261 </w:t>
            </w:r>
          </w:p>
        </w:tc>
        <w:tc>
          <w:tcPr>
            <w:tcW w:type="dxa" w:w="128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1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3,562 </w:t>
            </w:r>
          </w:p>
        </w:tc>
      </w:tr>
      <w:tr>
        <w:trPr>
          <w:trHeight w:hRule="exact" w:val="246"/>
        </w:trPr>
        <w:tc>
          <w:tcPr>
            <w:tcW w:type="dxa" w:w="400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Loans in nonaccrual status 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66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233 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63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270 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6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503 </w:t>
            </w:r>
          </w:p>
        </w:tc>
      </w:tr>
      <w:tr>
        <w:trPr>
          <w:trHeight w:hRule="exact" w:val="220"/>
        </w:trPr>
        <w:tc>
          <w:tcPr>
            <w:tcW w:type="dxa" w:w="40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3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3,534 </w:t>
            </w:r>
          </w:p>
        </w:tc>
        <w:tc>
          <w:tcPr>
            <w:tcW w:type="dxa" w:w="16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2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9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531 </w:t>
            </w:r>
          </w:p>
        </w:tc>
        <w:tc>
          <w:tcPr>
            <w:tcW w:type="dxa" w:w="128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1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4,065 </w:t>
            </w:r>
          </w:p>
        </w:tc>
      </w:tr>
    </w:tbl>
    <w:p>
      <w:pPr>
        <w:autoSpaceDN w:val="0"/>
        <w:autoSpaceDE w:val="0"/>
        <w:widowControl/>
        <w:spacing w:line="180" w:lineRule="exact" w:before="50" w:after="3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Loans: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47"/>
        <w:gridCol w:w="3147"/>
        <w:gridCol w:w="3147"/>
      </w:tblGrid>
      <w:tr>
        <w:trPr>
          <w:trHeight w:hRule="exact" w:val="234"/>
        </w:trPr>
        <w:tc>
          <w:tcPr>
            <w:tcW w:type="dxa" w:w="83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Loans in accrual status </w:t>
            </w:r>
          </w:p>
        </w:tc>
        <w:tc>
          <w:tcPr>
            <w:tcW w:type="dxa" w:w="28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201,689 </w:t>
            </w:r>
          </w:p>
        </w:tc>
      </w:tr>
      <w:tr>
        <w:trPr>
          <w:trHeight w:hRule="exact" w:val="246"/>
        </w:trPr>
        <w:tc>
          <w:tcPr>
            <w:tcW w:type="dxa" w:w="83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Loans in nonaccrual status </w:t>
            </w:r>
          </w:p>
        </w:tc>
        <w:tc>
          <w:tcPr>
            <w:tcW w:type="dxa" w:w="3147"/>
            <w:vMerge/>
            <w:tcBorders>
              <w:bottom w:sz="8.0" w:val="single" w:color="#000000"/>
            </w:tcBorders>
          </w:tcPr>
          <w:p/>
        </w:tc>
        <w:tc>
          <w:tcPr>
            <w:tcW w:type="dxa" w:w="7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859 </w:t>
            </w:r>
          </w:p>
        </w:tc>
      </w:tr>
      <w:tr>
        <w:trPr>
          <w:trHeight w:hRule="exact" w:val="220"/>
        </w:trPr>
        <w:tc>
          <w:tcPr>
            <w:tcW w:type="dxa" w:w="83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Loans outstanding</w:t>
            </w:r>
          </w:p>
        </w:tc>
        <w:tc>
          <w:tcPr>
            <w:tcW w:type="dxa" w:w="2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202,548 </w:t>
            </w:r>
          </w:p>
        </w:tc>
      </w:tr>
    </w:tbl>
    <w:p>
      <w:pPr>
        <w:autoSpaceDN w:val="0"/>
        <w:autoSpaceDE w:val="0"/>
        <w:widowControl/>
        <w:spacing w:line="222" w:lineRule="exact" w:before="512" w:after="0"/>
        <w:ind w:left="62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D5.1:</w:t>
      </w:r>
    </w:p>
    <w:p>
      <w:pPr>
        <w:autoSpaceDN w:val="0"/>
        <w:autoSpaceDE w:val="0"/>
        <w:widowControl/>
        <w:spacing w:line="178" w:lineRule="exact" w:before="6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p>
      <w:pPr>
        <w:autoSpaceDN w:val="0"/>
        <w:autoSpaceDE w:val="0"/>
        <w:widowControl/>
        <w:spacing w:line="178" w:lineRule="exact" w:before="62" w:after="0"/>
        <w:ind w:left="0" w:right="2240" w:firstLine="0"/>
        <w:jc w:val="right"/>
      </w:pPr>
      <w:r>
        <w:rPr>
          <w:rFonts w:ascii="Arial" w:hAnsi="Arial" w:eastAsia="Arial"/>
          <w:b w:val="0"/>
          <w:i/>
          <w:color w:val="000000"/>
          <w:sz w:val="16"/>
        </w:rPr>
        <w:t>June 30, 2023</w:t>
      </w:r>
    </w:p>
    <w:p>
      <w:pPr>
        <w:autoSpaceDN w:val="0"/>
        <w:autoSpaceDE w:val="0"/>
        <w:widowControl/>
        <w:spacing w:line="180" w:lineRule="exact" w:before="82" w:after="6"/>
        <w:ind w:left="0" w:right="2166" w:firstLine="0"/>
        <w:jc w:val="righ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Debt relief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787"/>
        <w:gridCol w:w="787"/>
        <w:gridCol w:w="787"/>
        <w:gridCol w:w="787"/>
        <w:gridCol w:w="787"/>
        <w:gridCol w:w="787"/>
        <w:gridCol w:w="787"/>
        <w:gridCol w:w="787"/>
        <w:gridCol w:w="787"/>
        <w:gridCol w:w="787"/>
        <w:gridCol w:w="787"/>
        <w:gridCol w:w="787"/>
      </w:tblGrid>
      <w:tr>
        <w:trPr>
          <w:trHeight w:hRule="exact" w:val="172"/>
        </w:trPr>
        <w:tc>
          <w:tcPr>
            <w:tcW w:type="dxa" w:w="504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256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Loans </w:t>
            </w:r>
          </w:p>
        </w:tc>
        <w:tc>
          <w:tcPr>
            <w:tcW w:type="dxa" w:w="123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37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Loan </w:t>
            </w:r>
          </w:p>
        </w:tc>
        <w:tc>
          <w:tcPr>
            <w:tcW w:type="dxa" w:w="1964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35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under </w:t>
            </w:r>
          </w:p>
        </w:tc>
        <w:tc>
          <w:tcPr>
            <w:tcW w:type="dxa" w:w="30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78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98" w:after="0"/>
              <w:ind w:left="8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Total</w:t>
            </w:r>
          </w:p>
        </w:tc>
      </w:tr>
      <w:tr>
        <w:trPr>
          <w:trHeight w:hRule="exact" w:val="234"/>
        </w:trPr>
        <w:tc>
          <w:tcPr>
            <w:tcW w:type="dxa" w:w="5044"/>
            <w:gridSpan w:val="3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0" w:right="106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outstanding</w:t>
            </w:r>
          </w:p>
        </w:tc>
        <w:tc>
          <w:tcPr>
            <w:tcW w:type="dxa" w:w="1232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commitments</w:t>
            </w:r>
          </w:p>
        </w:tc>
        <w:tc>
          <w:tcPr>
            <w:tcW w:type="dxa" w:w="1284"/>
            <w:gridSpan w:val="3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14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HIPC/MDRI</w:t>
            </w:r>
          </w:p>
        </w:tc>
        <w:tc>
          <w:tcPr>
            <w:tcW w:type="dxa" w:w="68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Other </w:t>
            </w:r>
            <w:r>
              <w:rPr>
                <w:w w:val="103.99999618530273"/>
                <w:rFonts w:ascii="Arial" w:hAnsi="Arial" w:eastAsia="Arial"/>
                <w:b w:val="0"/>
                <w:i/>
                <w:color w:val="000000"/>
                <w:sz w:val="10"/>
              </w:rPr>
              <w:t>a</w:t>
            </w:r>
          </w:p>
        </w:tc>
        <w:tc>
          <w:tcPr>
            <w:tcW w:type="dxa" w:w="787"/>
            <w:vMerge/>
            <w:tcBorders>
              <w:bottom w:sz="8.0" w:val="single" w:color="#000000"/>
            </w:tcBorders>
          </w:tcPr>
          <w:p/>
        </w:tc>
        <w:tc>
          <w:tcPr>
            <w:tcW w:type="dxa" w:w="787"/>
            <w:vMerge/>
            <w:tcBorders>
              <w:bottom w:sz="8.0" w:val="single" w:color="#000000"/>
            </w:tcBorders>
          </w:tcPr>
          <w:p/>
        </w:tc>
      </w:tr>
      <w:tr>
        <w:trPr>
          <w:trHeight w:hRule="exact" w:val="226"/>
        </w:trPr>
        <w:tc>
          <w:tcPr>
            <w:tcW w:type="dxa" w:w="4380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 xml:space="preserve">Accumulated provision, beginning of the fiscal year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6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2,876 </w:t>
            </w:r>
          </w:p>
        </w:tc>
        <w:tc>
          <w:tcPr>
            <w:tcW w:type="dxa" w:w="47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5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1,082 </w:t>
            </w:r>
          </w:p>
        </w:tc>
        <w:tc>
          <w:tcPr>
            <w:tcW w:type="dxa" w:w="42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38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1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707 </w:t>
            </w:r>
          </w:p>
        </w:tc>
        <w:tc>
          <w:tcPr>
            <w:tcW w:type="dxa" w:w="404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498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155 </w:t>
            </w:r>
          </w:p>
        </w:tc>
        <w:tc>
          <w:tcPr>
            <w:tcW w:type="dxa" w:w="30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4,820 </w:t>
            </w:r>
          </w:p>
        </w:tc>
      </w:tr>
      <w:tr>
        <w:trPr>
          <w:trHeight w:hRule="exact" w:val="240"/>
        </w:trPr>
        <w:tc>
          <w:tcPr>
            <w:tcW w:type="dxa" w:w="4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Provision, net - charge (release)</w:t>
            </w:r>
          </w:p>
        </w:tc>
        <w:tc>
          <w:tcPr>
            <w:tcW w:type="dxa" w:w="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441 </w:t>
            </w:r>
          </w:p>
        </w:tc>
        <w:tc>
          <w:tcPr>
            <w:tcW w:type="dxa" w:w="123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223 </w:t>
            </w:r>
          </w:p>
        </w:tc>
        <w:tc>
          <w:tcPr>
            <w:tcW w:type="dxa" w:w="128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2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(18) </w:t>
            </w:r>
          </w:p>
        </w:tc>
        <w:tc>
          <w:tcPr>
            <w:tcW w:type="dxa" w:w="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42 </w:t>
            </w:r>
          </w:p>
        </w:tc>
        <w:tc>
          <w:tcPr>
            <w:tcW w:type="dxa" w:w="787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688 </w:t>
            </w:r>
          </w:p>
        </w:tc>
      </w:tr>
      <w:tr>
        <w:trPr>
          <w:trHeight w:hRule="exact" w:val="240"/>
        </w:trPr>
        <w:tc>
          <w:tcPr>
            <w:tcW w:type="dxa" w:w="43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Loans written off under HIPC/MDRI and other</w:t>
            </w:r>
          </w:p>
        </w:tc>
        <w:tc>
          <w:tcPr>
            <w:tcW w:type="dxa" w:w="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(3) </w:t>
            </w:r>
          </w:p>
        </w:tc>
        <w:tc>
          <w:tcPr>
            <w:tcW w:type="dxa" w:w="123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28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(22) ᵇ </w:t>
            </w:r>
          </w:p>
        </w:tc>
        <w:tc>
          <w:tcPr>
            <w:tcW w:type="dxa" w:w="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787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(25) </w:t>
            </w:r>
          </w:p>
        </w:tc>
      </w:tr>
      <w:tr>
        <w:trPr>
          <w:trHeight w:hRule="exact" w:val="254"/>
        </w:trPr>
        <w:tc>
          <w:tcPr>
            <w:tcW w:type="dxa" w:w="438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Translation adjustment</w:t>
            </w:r>
          </w:p>
        </w:tc>
        <w:tc>
          <w:tcPr>
            <w:tcW w:type="dxa" w:w="66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 </w:t>
            </w:r>
          </w:p>
        </w:tc>
        <w:tc>
          <w:tcPr>
            <w:tcW w:type="dxa" w:w="1232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15 </w:t>
            </w:r>
          </w:p>
        </w:tc>
        <w:tc>
          <w:tcPr>
            <w:tcW w:type="dxa" w:w="1284"/>
            <w:gridSpan w:val="3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 </w:t>
            </w:r>
          </w:p>
        </w:tc>
        <w:tc>
          <w:tcPr>
            <w:tcW w:type="dxa" w:w="68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 </w:t>
            </w:r>
          </w:p>
        </w:tc>
        <w:tc>
          <w:tcPr>
            <w:tcW w:type="dxa" w:w="787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7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28 </w:t>
            </w:r>
          </w:p>
        </w:tc>
      </w:tr>
      <w:tr>
        <w:trPr>
          <w:trHeight w:hRule="exact" w:val="231"/>
        </w:trPr>
        <w:tc>
          <w:tcPr>
            <w:tcW w:type="dxa" w:w="3772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Accumulated provision, end of the fiscal year</w:t>
            </w:r>
          </w:p>
        </w:tc>
        <w:tc>
          <w:tcPr>
            <w:tcW w:type="dxa" w:w="608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1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6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3,325 </w:t>
            </w:r>
          </w:p>
        </w:tc>
        <w:tc>
          <w:tcPr>
            <w:tcW w:type="dxa" w:w="47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5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1,320 </w:t>
            </w:r>
          </w:p>
        </w:tc>
        <w:tc>
          <w:tcPr>
            <w:tcW w:type="dxa" w:w="42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38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1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668 </w:t>
            </w:r>
          </w:p>
        </w:tc>
        <w:tc>
          <w:tcPr>
            <w:tcW w:type="dxa" w:w="404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498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198 </w:t>
            </w:r>
          </w:p>
        </w:tc>
        <w:tc>
          <w:tcPr>
            <w:tcW w:type="dxa" w:w="3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5,511 </w:t>
            </w:r>
          </w:p>
        </w:tc>
      </w:tr>
    </w:tbl>
    <w:p>
      <w:pPr>
        <w:autoSpaceDN w:val="0"/>
        <w:autoSpaceDE w:val="0"/>
        <w:widowControl/>
        <w:spacing w:line="180" w:lineRule="exact" w:before="42" w:after="3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Including accumulated provision for losses on: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224"/>
        </w:trPr>
        <w:tc>
          <w:tcPr>
            <w:tcW w:type="dxa" w:w="40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Loans in accrual status </w:t>
            </w:r>
          </w:p>
        </w:tc>
        <w:tc>
          <w:tcPr>
            <w:tcW w:type="dxa" w:w="37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3,089 </w:t>
            </w:r>
          </w:p>
        </w:tc>
        <w:tc>
          <w:tcPr>
            <w:tcW w:type="dxa" w:w="165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1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402 </w:t>
            </w:r>
          </w:p>
        </w:tc>
        <w:tc>
          <w:tcPr>
            <w:tcW w:type="dxa" w:w="128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1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3,491 </w:t>
            </w:r>
          </w:p>
        </w:tc>
      </w:tr>
      <w:tr>
        <w:trPr>
          <w:trHeight w:hRule="exact" w:val="254"/>
        </w:trPr>
        <w:tc>
          <w:tcPr>
            <w:tcW w:type="dxa" w:w="400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Loans in nonaccrual status 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66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236 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65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266 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6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502 </w:t>
            </w:r>
          </w:p>
        </w:tc>
      </w:tr>
      <w:tr>
        <w:trPr>
          <w:trHeight w:hRule="exact" w:val="220"/>
        </w:trPr>
        <w:tc>
          <w:tcPr>
            <w:tcW w:type="dxa" w:w="40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3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3,325 </w:t>
            </w:r>
          </w:p>
        </w:tc>
        <w:tc>
          <w:tcPr>
            <w:tcW w:type="dxa" w:w="16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1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668 </w:t>
            </w:r>
          </w:p>
        </w:tc>
        <w:tc>
          <w:tcPr>
            <w:tcW w:type="dxa" w:w="128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1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3,993 </w:t>
            </w:r>
          </w:p>
        </w:tc>
      </w:tr>
    </w:tbl>
    <w:p>
      <w:pPr>
        <w:autoSpaceDN w:val="0"/>
        <w:autoSpaceDE w:val="0"/>
        <w:widowControl/>
        <w:spacing w:line="180" w:lineRule="exact" w:before="52" w:after="3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Loans: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47"/>
        <w:gridCol w:w="3147"/>
        <w:gridCol w:w="3147"/>
      </w:tblGrid>
      <w:tr>
        <w:trPr>
          <w:trHeight w:hRule="exact" w:val="224"/>
        </w:trPr>
        <w:tc>
          <w:tcPr>
            <w:tcW w:type="dxa" w:w="83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Loans in accrual status </w:t>
            </w:r>
          </w:p>
        </w:tc>
        <w:tc>
          <w:tcPr>
            <w:tcW w:type="dxa" w:w="28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190,815 </w:t>
            </w:r>
          </w:p>
        </w:tc>
      </w:tr>
      <w:tr>
        <w:trPr>
          <w:trHeight w:hRule="exact" w:val="254"/>
        </w:trPr>
        <w:tc>
          <w:tcPr>
            <w:tcW w:type="dxa" w:w="83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Loans in nonaccrual status </w:t>
            </w:r>
          </w:p>
        </w:tc>
        <w:tc>
          <w:tcPr>
            <w:tcW w:type="dxa" w:w="3147"/>
            <w:vMerge/>
            <w:tcBorders>
              <w:bottom w:sz="8.0" w:val="single" w:color="#000000"/>
            </w:tcBorders>
          </w:tcPr>
          <w:p/>
        </w:tc>
        <w:tc>
          <w:tcPr>
            <w:tcW w:type="dxa" w:w="7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869 </w:t>
            </w:r>
          </w:p>
        </w:tc>
      </w:tr>
      <w:tr>
        <w:trPr>
          <w:trHeight w:hRule="exact" w:val="220"/>
        </w:trPr>
        <w:tc>
          <w:tcPr>
            <w:tcW w:type="dxa" w:w="83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Loans outstanding</w:t>
            </w:r>
          </w:p>
        </w:tc>
        <w:tc>
          <w:tcPr>
            <w:tcW w:type="dxa" w:w="2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191,684 </w:t>
            </w:r>
          </w:p>
        </w:tc>
      </w:tr>
    </w:tbl>
    <w:p>
      <w:pPr>
        <w:autoSpaceDN w:val="0"/>
        <w:autoSpaceDE w:val="0"/>
        <w:widowControl/>
        <w:spacing w:line="180" w:lineRule="exact" w:before="29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a. These amounts primarily relate to outstanding guarantees and include exposures under PSW.</w:t>
      </w:r>
    </w:p>
    <w:p>
      <w:pPr>
        <w:autoSpaceDN w:val="0"/>
        <w:autoSpaceDE w:val="0"/>
        <w:widowControl/>
        <w:spacing w:line="180" w:lineRule="exact" w:before="60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b. Represents debt service reduction under HIPC.</w:t>
      </w:r>
    </w:p>
    <w:p>
      <w:pPr>
        <w:autoSpaceDN w:val="0"/>
        <w:tabs>
          <w:tab w:pos="768" w:val="left"/>
        </w:tabs>
        <w:autoSpaceDE w:val="0"/>
        <w:widowControl/>
        <w:spacing w:line="224" w:lineRule="exact" w:before="1510" w:after="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98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Financial Statements: June 30, 2024</w:t>
      </w:r>
    </w:p>
    <w:p>
      <w:pPr>
        <w:sectPr>
          <w:pgSz w:w="12240" w:h="15840"/>
          <w:pgMar w:top="700" w:right="1370" w:bottom="2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178" w:lineRule="exact" w:before="34" w:after="28"/>
        <w:ind w:left="0" w:right="2800" w:firstLine="0"/>
        <w:jc w:val="right"/>
      </w:pPr>
      <w:r>
        <w:rPr>
          <w:rFonts w:ascii="Arial" w:hAnsi="Arial" w:eastAsia="Arial"/>
          <w:b/>
          <w:i w:val="0"/>
          <w:color w:val="000000"/>
          <w:sz w:val="16"/>
        </w:rPr>
        <w:t>Reported as Follows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340.0" w:type="dxa"/>
      </w:tblPr>
      <w:tblGrid>
        <w:gridCol w:w="4721"/>
        <w:gridCol w:w="4721"/>
      </w:tblGrid>
      <w:tr>
        <w:trPr>
          <w:trHeight w:hRule="exact" w:val="240"/>
        </w:trPr>
        <w:tc>
          <w:tcPr>
            <w:tcW w:type="dxa" w:w="33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10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Balance Sheets</w:t>
            </w:r>
          </w:p>
        </w:tc>
        <w:tc>
          <w:tcPr>
            <w:tcW w:type="dxa" w:w="36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0" w:right="934" w:firstLine="0"/>
              <w:jc w:val="righ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Statements of Income</w:t>
            </w:r>
          </w:p>
        </w:tc>
      </w:tr>
    </w:tbl>
    <w:p>
      <w:pPr>
        <w:autoSpaceDN w:val="0"/>
        <w:tabs>
          <w:tab w:pos="152" w:val="left"/>
        </w:tabs>
        <w:autoSpaceDE w:val="0"/>
        <w:widowControl/>
        <w:spacing w:line="160" w:lineRule="exact" w:before="32" w:after="34"/>
        <w:ind w:left="62" w:right="7056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 xml:space="preserve">Accumulated Provision for </w:t>
      </w:r>
      <w:r>
        <w:br/>
      </w:r>
      <w:r>
        <w:rPr>
          <w:rFonts w:ascii="Arial" w:hAnsi="Arial" w:eastAsia="Arial"/>
          <w:b/>
          <w:i w:val="0"/>
          <w:color w:val="000000"/>
          <w:sz w:val="16"/>
        </w:rPr>
        <w:t>Losses on: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3147"/>
        <w:gridCol w:w="3147"/>
        <w:gridCol w:w="3147"/>
      </w:tblGrid>
      <w:tr>
        <w:trPr>
          <w:trHeight w:hRule="exact" w:val="220"/>
        </w:trPr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Loans outstanding</w:t>
            </w:r>
          </w:p>
        </w:tc>
        <w:tc>
          <w:tcPr>
            <w:tcW w:type="dxa" w:w="3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5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Accumulated provision for loan losses</w:t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Provision for losses on loans and other </w:t>
            </w:r>
          </w:p>
        </w:tc>
      </w:tr>
    </w:tbl>
    <w:p>
      <w:pPr>
        <w:autoSpaceDN w:val="0"/>
        <w:autoSpaceDE w:val="0"/>
        <w:widowControl/>
        <w:spacing w:line="178" w:lineRule="exact" w:before="6" w:after="32"/>
        <w:ind w:left="0" w:right="1450" w:firstLine="0"/>
        <w:jc w:val="right"/>
      </w:pPr>
      <w:r>
        <w:rPr>
          <w:rFonts w:ascii="ArialMT" w:hAnsi="ArialMT" w:eastAsia="ArialMT"/>
          <w:b w:val="0"/>
          <w:i w:val="0"/>
          <w:color w:val="000000"/>
          <w:sz w:val="16"/>
        </w:rPr>
        <w:t>exposures, release (charge)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47"/>
        <w:gridCol w:w="3147"/>
        <w:gridCol w:w="3147"/>
      </w:tblGrid>
      <w:tr>
        <w:trPr>
          <w:trHeight w:hRule="exact" w:val="208"/>
        </w:trPr>
        <w:tc>
          <w:tcPr>
            <w:tcW w:type="dxa" w:w="22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Debt Relief under </w:t>
            </w:r>
          </w:p>
        </w:tc>
        <w:tc>
          <w:tcPr>
            <w:tcW w:type="dxa" w:w="3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1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Accumulated provision for loan losses</w:t>
            </w:r>
          </w:p>
        </w:tc>
        <w:tc>
          <w:tcPr>
            <w:tcW w:type="dxa" w:w="3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4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Provision for losses on loans and other </w:t>
            </w:r>
          </w:p>
        </w:tc>
      </w:tr>
      <w:tr>
        <w:trPr>
          <w:trHeight w:hRule="exact" w:val="226"/>
        </w:trPr>
        <w:tc>
          <w:tcPr>
            <w:tcW w:type="dxa" w:w="22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HIPC/MDRI</w:t>
            </w:r>
          </w:p>
        </w:tc>
        <w:tc>
          <w:tcPr>
            <w:tcW w:type="dxa" w:w="320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0" w:after="0"/>
              <w:ind w:left="1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Other assets/ liabilities</w:t>
            </w:r>
          </w:p>
        </w:tc>
        <w:tc>
          <w:tcPr>
            <w:tcW w:type="dxa" w:w="3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" w:after="0"/>
              <w:ind w:left="5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exposures,  release (charge)</w:t>
            </w:r>
          </w:p>
        </w:tc>
      </w:tr>
      <w:tr>
        <w:trPr>
          <w:trHeight w:hRule="exact" w:val="214"/>
        </w:trPr>
        <w:tc>
          <w:tcPr>
            <w:tcW w:type="dxa" w:w="22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Loan commitments and Other </w:t>
            </w:r>
          </w:p>
        </w:tc>
        <w:tc>
          <w:tcPr>
            <w:tcW w:type="dxa" w:w="3147"/>
            <w:vMerge/>
            <w:tcBorders>
              <w:bottom w:sz="8.0" w:val="single" w:color="#000000"/>
            </w:tcBorders>
          </w:tcPr>
          <w:p/>
        </w:tc>
        <w:tc>
          <w:tcPr>
            <w:tcW w:type="dxa" w:w="3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4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Provision for losses on loans and other </w:t>
            </w:r>
          </w:p>
        </w:tc>
      </w:tr>
      <w:tr>
        <w:trPr>
          <w:trHeight w:hRule="exact" w:val="426"/>
        </w:trPr>
        <w:tc>
          <w:tcPr>
            <w:tcW w:type="dxa" w:w="22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Exposures</w:t>
            </w:r>
          </w:p>
        </w:tc>
        <w:tc>
          <w:tcPr>
            <w:tcW w:type="dxa" w:w="3147"/>
            <w:vMerge/>
            <w:tcBorders>
              <w:bottom w:sz="8.0" w:val="single" w:color="#000000"/>
            </w:tcBorders>
          </w:tcPr>
          <w:p/>
        </w:tc>
        <w:tc>
          <w:tcPr>
            <w:tcW w:type="dxa" w:w="38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" w:after="0"/>
              <w:ind w:left="5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exposures,  release (charge)</w:t>
            </w:r>
          </w:p>
        </w:tc>
      </w:tr>
    </w:tbl>
    <w:p>
      <w:pPr>
        <w:autoSpaceDN w:val="0"/>
        <w:autoSpaceDE w:val="0"/>
        <w:widowControl/>
        <w:spacing w:line="230" w:lineRule="exact" w:before="170" w:after="0"/>
        <w:ind w:left="10" w:right="24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accumulated provision for losses on loan and other exposures as of June 30, 2024, was $5,621 million,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compared to $5,511 million as of June 30, 2023. The increase was primarily due to the overall increase in exposure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for the fiscal year ended June 30, 2024.</w:t>
      </w:r>
    </w:p>
    <w:p>
      <w:pPr>
        <w:autoSpaceDN w:val="0"/>
        <w:autoSpaceDE w:val="0"/>
        <w:widowControl/>
        <w:spacing w:line="244" w:lineRule="exact" w:before="122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Loans to be written off under MDRI</w:t>
      </w:r>
    </w:p>
    <w:p>
      <w:pPr>
        <w:autoSpaceDN w:val="0"/>
        <w:autoSpaceDE w:val="0"/>
        <w:widowControl/>
        <w:spacing w:line="240" w:lineRule="exact" w:before="128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On January 1, 2024, loans totaling $94 million were written off under the MDRI as a result of Somalia reaching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Completion Point under the HIPC debt relief initiative on December 13, 2023. </w:t>
      </w:r>
    </w:p>
    <w:p>
      <w:pPr>
        <w:autoSpaceDN w:val="0"/>
        <w:autoSpaceDE w:val="0"/>
        <w:widowControl/>
        <w:spacing w:line="220" w:lineRule="exact" w:before="14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During the fiscal year ended June 30, 2023, no loans eligible for debt relief under the MDRI were written off. </w:t>
      </w:r>
    </w:p>
    <w:p>
      <w:pPr>
        <w:autoSpaceDN w:val="0"/>
        <w:autoSpaceDE w:val="0"/>
        <w:widowControl/>
        <w:spacing w:line="244" w:lineRule="exact" w:before="132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Overdue Amounts</w:t>
      </w:r>
    </w:p>
    <w:p>
      <w:pPr>
        <w:autoSpaceDN w:val="0"/>
        <w:autoSpaceDE w:val="0"/>
        <w:widowControl/>
        <w:spacing w:line="240" w:lineRule="exact" w:before="128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considers loans to be past due when a borrower fails to make payment on any principal, service charges 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interest due to IDA on the dates provided in the contractual loan agreement. As of June 30, 2024, there were no</w:t>
      </w:r>
      <w:r>
        <w:rPr>
          <w:rFonts w:ascii="TimesNewRoman" w:hAnsi="TimesNewRoman" w:eastAsia="TimesNewRoman"/>
          <w:b w:val="0"/>
          <w:i w:val="0"/>
          <w:strike/>
          <w:color w:val="000000"/>
          <w:sz w:val="20"/>
        </w:rPr>
        <w:t xml:space="preserve">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principal and charges under sovereign loans in accrual status that were overdue by more than three months. </w:t>
      </w:r>
    </w:p>
    <w:p>
      <w:pPr>
        <w:autoSpaceDN w:val="0"/>
        <w:autoSpaceDE w:val="0"/>
        <w:widowControl/>
        <w:spacing w:line="220" w:lineRule="exact" w:before="14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following tables provide a summary of selected financial information for loans in nonaccrual status:</w:t>
      </w:r>
    </w:p>
    <w:p>
      <w:pPr>
        <w:autoSpaceDN w:val="0"/>
        <w:autoSpaceDE w:val="0"/>
        <w:widowControl/>
        <w:spacing w:line="222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D6: Loans in nonaccrual status</w:t>
      </w:r>
    </w:p>
    <w:p>
      <w:pPr>
        <w:autoSpaceDN w:val="0"/>
        <w:autoSpaceDE w:val="0"/>
        <w:widowControl/>
        <w:spacing w:line="180" w:lineRule="exact" w:before="152" w:after="18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80"/>
        <w:gridCol w:w="1180"/>
        <w:gridCol w:w="1180"/>
        <w:gridCol w:w="1180"/>
        <w:gridCol w:w="1180"/>
        <w:gridCol w:w="1180"/>
        <w:gridCol w:w="1180"/>
        <w:gridCol w:w="1180"/>
      </w:tblGrid>
      <w:tr>
        <w:trPr>
          <w:trHeight w:hRule="exact" w:val="256"/>
        </w:trPr>
        <w:tc>
          <w:tcPr>
            <w:tcW w:type="dxa" w:w="12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9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6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8" w:after="0"/>
              <w:ind w:left="25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Average </w:t>
            </w:r>
          </w:p>
        </w:tc>
        <w:tc>
          <w:tcPr>
            <w:tcW w:type="dxa" w:w="109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8" w:after="0"/>
              <w:ind w:left="10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Accumulated </w:t>
            </w:r>
          </w:p>
        </w:tc>
        <w:tc>
          <w:tcPr>
            <w:tcW w:type="dxa" w:w="11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Accumulated </w:t>
            </w:r>
          </w:p>
        </w:tc>
        <w:tc>
          <w:tcPr>
            <w:tcW w:type="dxa" w:w="2164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Overdue amounts</w:t>
            </w:r>
          </w:p>
        </w:tc>
      </w:tr>
      <w:tr>
        <w:trPr>
          <w:trHeight w:hRule="exact" w:val="182"/>
        </w:trPr>
        <w:tc>
          <w:tcPr>
            <w:tcW w:type="dxa" w:w="121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2" w:after="0"/>
              <w:ind w:left="6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Borrower</w:t>
            </w:r>
          </w:p>
        </w:tc>
        <w:tc>
          <w:tcPr>
            <w:tcW w:type="dxa" w:w="161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22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Nonaccrual </w:t>
            </w:r>
          </w:p>
        </w:tc>
        <w:tc>
          <w:tcPr>
            <w:tcW w:type="dxa" w:w="99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Recorded </w:t>
            </w:r>
          </w:p>
        </w:tc>
        <w:tc>
          <w:tcPr>
            <w:tcW w:type="dxa" w:w="106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23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recorded </w:t>
            </w:r>
          </w:p>
        </w:tc>
        <w:tc>
          <w:tcPr>
            <w:tcW w:type="dxa" w:w="109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13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provision for </w:t>
            </w:r>
          </w:p>
        </w:tc>
        <w:tc>
          <w:tcPr>
            <w:tcW w:type="dxa" w:w="119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provision for </w:t>
            </w:r>
          </w:p>
        </w:tc>
        <w:tc>
          <w:tcPr>
            <w:tcW w:type="dxa" w:w="110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Principal</w:t>
            </w:r>
          </w:p>
        </w:tc>
        <w:tc>
          <w:tcPr>
            <w:tcW w:type="dxa" w:w="106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8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Interest and </w:t>
            </w: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Charges</w:t>
            </w:r>
          </w:p>
        </w:tc>
      </w:tr>
      <w:tr>
        <w:trPr>
          <w:trHeight w:hRule="exact" w:val="238"/>
        </w:trPr>
        <w:tc>
          <w:tcPr>
            <w:tcW w:type="dxa" w:w="1180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6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486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since</w:t>
            </w:r>
          </w:p>
        </w:tc>
        <w:tc>
          <w:tcPr>
            <w:tcW w:type="dxa" w:w="99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investment </w:t>
            </w:r>
          </w:p>
        </w:tc>
        <w:tc>
          <w:tcPr>
            <w:tcW w:type="dxa" w:w="106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investment</w:t>
            </w:r>
          </w:p>
        </w:tc>
        <w:tc>
          <w:tcPr>
            <w:tcW w:type="dxa" w:w="109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debt relief</w:t>
            </w:r>
          </w:p>
        </w:tc>
        <w:tc>
          <w:tcPr>
            <w:tcW w:type="dxa" w:w="119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loan losses </w:t>
            </w:r>
            <w:r>
              <w:rPr>
                <w:w w:val="103.99999618530273"/>
                <w:rFonts w:ascii="Arial" w:hAnsi="Arial" w:eastAsia="Arial"/>
                <w:b w:val="0"/>
                <w:i/>
                <w:color w:val="000000"/>
                <w:sz w:val="10"/>
              </w:rPr>
              <w:t>a</w:t>
            </w:r>
          </w:p>
        </w:tc>
        <w:tc>
          <w:tcPr>
            <w:tcW w:type="dxa" w:w="1180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180"/>
            <w:vMerge/>
            <w:tcBorders>
              <w:top w:sz="8.0" w:val="single" w:color="#000000"/>
              <w:bottom w:sz="8.0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180" w:lineRule="exact" w:before="24" w:after="6"/>
        <w:ind w:left="15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Syrian Arab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74"/>
        <w:gridCol w:w="674"/>
        <w:gridCol w:w="674"/>
        <w:gridCol w:w="674"/>
        <w:gridCol w:w="674"/>
        <w:gridCol w:w="674"/>
        <w:gridCol w:w="674"/>
        <w:gridCol w:w="674"/>
        <w:gridCol w:w="674"/>
        <w:gridCol w:w="674"/>
        <w:gridCol w:w="674"/>
        <w:gridCol w:w="674"/>
        <w:gridCol w:w="674"/>
        <w:gridCol w:w="674"/>
      </w:tblGrid>
      <w:tr>
        <w:trPr>
          <w:trHeight w:hRule="exact" w:val="202"/>
        </w:trPr>
        <w:tc>
          <w:tcPr>
            <w:tcW w:type="dxa" w:w="15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Republic</w:t>
            </w:r>
          </w:p>
        </w:tc>
        <w:tc>
          <w:tcPr>
            <w:tcW w:type="dxa" w:w="1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2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June 2012</w:t>
            </w:r>
          </w:p>
        </w:tc>
        <w:tc>
          <w:tcPr>
            <w:tcW w:type="dxa" w:w="41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 </w:t>
            </w:r>
          </w:p>
        </w:tc>
        <w:tc>
          <w:tcPr>
            <w:tcW w:type="dxa" w:w="47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 </w:t>
            </w:r>
          </w:p>
        </w:tc>
        <w:tc>
          <w:tcPr>
            <w:tcW w:type="dxa" w:w="49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51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 </w:t>
            </w:r>
          </w:p>
        </w:tc>
        <w:tc>
          <w:tcPr>
            <w:tcW w:type="dxa" w:w="50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 </w:t>
            </w:r>
          </w:p>
        </w:tc>
        <w:tc>
          <w:tcPr>
            <w:tcW w:type="dxa" w:w="46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 </w:t>
            </w:r>
          </w:p>
        </w:tc>
      </w:tr>
      <w:tr>
        <w:trPr>
          <w:trHeight w:hRule="exact" w:val="240"/>
        </w:trPr>
        <w:tc>
          <w:tcPr>
            <w:tcW w:type="dxa" w:w="15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4" w:after="0"/>
              <w:ind w:left="1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Eritrea</w:t>
            </w:r>
          </w:p>
        </w:tc>
        <w:tc>
          <w:tcPr>
            <w:tcW w:type="dxa" w:w="12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4" w:after="0"/>
              <w:ind w:left="2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March 2012</w:t>
            </w:r>
          </w:p>
        </w:tc>
        <w:tc>
          <w:tcPr>
            <w:tcW w:type="dxa" w:w="674"/>
            <w:vMerge/>
            <w:tcBorders>
              <w:bottom w:sz="8.0" w:val="single" w:color="#000000"/>
            </w:tcBorders>
          </w:tcPr>
          <w:p/>
        </w:tc>
        <w:tc>
          <w:tcPr>
            <w:tcW w:type="dxa" w:w="5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4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411 </w:t>
            </w:r>
          </w:p>
        </w:tc>
        <w:tc>
          <w:tcPr>
            <w:tcW w:type="dxa" w:w="674"/>
            <w:vMerge/>
            <w:tcBorders>
              <w:bottom w:sz="8.0" w:val="single" w:color="#000000"/>
            </w:tcBorders>
          </w:tcPr>
          <w:p/>
        </w:tc>
        <w:tc>
          <w:tcPr>
            <w:tcW w:type="dxa" w:w="5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414 </w:t>
            </w:r>
          </w:p>
        </w:tc>
        <w:tc>
          <w:tcPr>
            <w:tcW w:type="dxa" w:w="674"/>
            <w:vMerge/>
            <w:tcBorders>
              <w:bottom w:sz="8.0" w:val="single" w:color="#000000"/>
            </w:tcBorders>
          </w:tcPr>
          <w:p/>
        </w:tc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4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270 </w:t>
            </w:r>
          </w:p>
        </w:tc>
        <w:tc>
          <w:tcPr>
            <w:tcW w:type="dxa" w:w="674"/>
            <w:vMerge/>
            <w:tcBorders>
              <w:bottom w:sz="8.0" w:val="single" w:color="#000000"/>
            </w:tcBorders>
          </w:tcPr>
          <w:p/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15 </w:t>
            </w:r>
          </w:p>
        </w:tc>
        <w:tc>
          <w:tcPr>
            <w:tcW w:type="dxa" w:w="674"/>
            <w:vMerge/>
            <w:tcBorders>
              <w:bottom w:sz="8.0" w:val="single" w:color="#000000"/>
            </w:tcBorders>
          </w:tcPr>
          <w:p/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143 </w:t>
            </w:r>
          </w:p>
        </w:tc>
        <w:tc>
          <w:tcPr>
            <w:tcW w:type="dxa" w:w="674"/>
            <w:vMerge/>
            <w:tcBorders>
              <w:bottom w:sz="8.0" w:val="single" w:color="#000000"/>
            </w:tcBorders>
          </w:tcPr>
          <w:p/>
        </w:tc>
        <w:tc>
          <w:tcPr>
            <w:tcW w:type="dxa" w:w="6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4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40 </w:t>
            </w:r>
          </w:p>
        </w:tc>
      </w:tr>
      <w:tr>
        <w:trPr>
          <w:trHeight w:hRule="exact" w:val="252"/>
        </w:trPr>
        <w:tc>
          <w:tcPr>
            <w:tcW w:type="dxa" w:w="15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4" w:after="0"/>
              <w:ind w:left="1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Zimbabwe</w:t>
            </w:r>
          </w:p>
        </w:tc>
        <w:tc>
          <w:tcPr>
            <w:tcW w:type="dxa" w:w="12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4" w:after="0"/>
              <w:ind w:left="2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October 2000</w:t>
            </w:r>
          </w:p>
        </w:tc>
        <w:tc>
          <w:tcPr>
            <w:tcW w:type="dxa" w:w="674"/>
            <w:vMerge/>
            <w:tcBorders>
              <w:bottom w:sz="8.0" w:val="single" w:color="#000000"/>
            </w:tcBorders>
          </w:tcPr>
          <w:p/>
        </w:tc>
        <w:tc>
          <w:tcPr>
            <w:tcW w:type="dxa" w:w="58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4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434 </w:t>
            </w:r>
          </w:p>
        </w:tc>
        <w:tc>
          <w:tcPr>
            <w:tcW w:type="dxa" w:w="674"/>
            <w:vMerge/>
            <w:tcBorders>
              <w:bottom w:sz="8.0" w:val="single" w:color="#000000"/>
            </w:tcBorders>
          </w:tcPr>
          <w:p/>
        </w:tc>
        <w:tc>
          <w:tcPr>
            <w:tcW w:type="dxa" w:w="5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438 </w:t>
            </w:r>
          </w:p>
        </w:tc>
        <w:tc>
          <w:tcPr>
            <w:tcW w:type="dxa" w:w="674"/>
            <w:vMerge/>
            <w:tcBorders>
              <w:bottom w:sz="8.0" w:val="single" w:color="#000000"/>
            </w:tcBorders>
          </w:tcPr>
          <w:p/>
        </w:tc>
        <w:tc>
          <w:tcPr>
            <w:tcW w:type="dxa" w:w="60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4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674"/>
            <w:vMerge/>
            <w:tcBorders>
              <w:bottom w:sz="8.0" w:val="single" w:color="#000000"/>
            </w:tcBorders>
          </w:tcPr>
          <w:p/>
        </w:tc>
        <w:tc>
          <w:tcPr>
            <w:tcW w:type="dxa" w:w="6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217 </w:t>
            </w:r>
          </w:p>
        </w:tc>
        <w:tc>
          <w:tcPr>
            <w:tcW w:type="dxa" w:w="674"/>
            <w:vMerge/>
            <w:tcBorders>
              <w:bottom w:sz="8.0" w:val="single" w:color="#000000"/>
            </w:tcBorders>
          </w:tcPr>
          <w:p/>
        </w:tc>
        <w:tc>
          <w:tcPr>
            <w:tcW w:type="dxa" w:w="6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340 </w:t>
            </w:r>
          </w:p>
        </w:tc>
        <w:tc>
          <w:tcPr>
            <w:tcW w:type="dxa" w:w="674"/>
            <w:vMerge/>
            <w:tcBorders>
              <w:bottom w:sz="8.0" w:val="single" w:color="#000000"/>
            </w:tcBorders>
          </w:tcPr>
          <w:p/>
        </w:tc>
        <w:tc>
          <w:tcPr>
            <w:tcW w:type="dxa" w:w="60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4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71 </w:t>
            </w:r>
          </w:p>
        </w:tc>
      </w:tr>
      <w:tr>
        <w:trPr>
          <w:trHeight w:hRule="exact" w:val="220"/>
        </w:trPr>
        <w:tc>
          <w:tcPr>
            <w:tcW w:type="dxa" w:w="15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 - June 30, 2024</w:t>
            </w:r>
          </w:p>
        </w:tc>
        <w:tc>
          <w:tcPr>
            <w:tcW w:type="dxa" w:w="12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8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859 </w:t>
            </w:r>
          </w:p>
        </w:tc>
        <w:tc>
          <w:tcPr>
            <w:tcW w:type="dxa" w:w="4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866 </w:t>
            </w:r>
          </w:p>
        </w:tc>
        <w:tc>
          <w:tcPr>
            <w:tcW w:type="dxa" w:w="4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270 </w:t>
            </w:r>
          </w:p>
        </w:tc>
        <w:tc>
          <w:tcPr>
            <w:tcW w:type="dxa" w:w="51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233 </w:t>
            </w:r>
          </w:p>
        </w:tc>
        <w:tc>
          <w:tcPr>
            <w:tcW w:type="dxa" w:w="5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497 </w:t>
            </w:r>
          </w:p>
        </w:tc>
        <w:tc>
          <w:tcPr>
            <w:tcW w:type="dxa" w:w="4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112 </w:t>
            </w:r>
          </w:p>
        </w:tc>
      </w:tr>
      <w:tr>
        <w:trPr>
          <w:trHeight w:hRule="exact" w:val="242"/>
        </w:trPr>
        <w:tc>
          <w:tcPr>
            <w:tcW w:type="dxa" w:w="15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 - June 30, 2023</w:t>
            </w:r>
          </w:p>
        </w:tc>
        <w:tc>
          <w:tcPr>
            <w:tcW w:type="dxa" w:w="12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8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869 </w:t>
            </w:r>
          </w:p>
        </w:tc>
        <w:tc>
          <w:tcPr>
            <w:tcW w:type="dxa" w:w="4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863 </w:t>
            </w:r>
          </w:p>
        </w:tc>
        <w:tc>
          <w:tcPr>
            <w:tcW w:type="dxa" w:w="4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266 </w:t>
            </w:r>
          </w:p>
        </w:tc>
        <w:tc>
          <w:tcPr>
            <w:tcW w:type="dxa" w:w="51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10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236 </w:t>
            </w:r>
          </w:p>
        </w:tc>
        <w:tc>
          <w:tcPr>
            <w:tcW w:type="dxa" w:w="5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464 </w:t>
            </w:r>
          </w:p>
        </w:tc>
        <w:tc>
          <w:tcPr>
            <w:tcW w:type="dxa" w:w="4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107 </w:t>
            </w:r>
          </w:p>
        </w:tc>
      </w:tr>
    </w:tbl>
    <w:p>
      <w:pPr>
        <w:autoSpaceDN w:val="0"/>
        <w:autoSpaceDE w:val="0"/>
        <w:widowControl/>
        <w:spacing w:line="178" w:lineRule="exact" w:before="336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a. Loan loss provisions are determined after taking into account accumulated provision for debt relief.</w:t>
      </w:r>
    </w:p>
    <w:p>
      <w:pPr>
        <w:autoSpaceDN w:val="0"/>
        <w:autoSpaceDE w:val="0"/>
        <w:widowControl/>
        <w:spacing w:line="224" w:lineRule="exact" w:before="208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 February 2024, all loans made to Niger were placed in nonaccrual status as a result of delays in payment. In May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2024, Niger paid all of its overdue principal and charges due to IDA of $31 million and $14 million, respectively. As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of June 30, 2024 all outstanding loans to Niger have been restored to accrual status in accordance with IDA’s policy.</w:t>
      </w:r>
    </w:p>
    <w:p>
      <w:pPr>
        <w:autoSpaceDN w:val="0"/>
        <w:autoSpaceDE w:val="0"/>
        <w:widowControl/>
        <w:spacing w:line="224" w:lineRule="exact" w:before="120" w:after="0"/>
        <w:ind w:left="10" w:right="24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During the fiscal year ended June 30, 2024, service charge revenue not recognized as a result of loans being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nonaccrual status was $6 million ($6 million and $7 million – fiscal years ended June 30, 2023 and June 30, 2022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respectively).</w:t>
      </w:r>
    </w:p>
    <w:p>
      <w:pPr>
        <w:autoSpaceDN w:val="0"/>
        <w:autoSpaceDE w:val="0"/>
        <w:widowControl/>
        <w:spacing w:line="240" w:lineRule="exact" w:before="104" w:after="0"/>
        <w:ind w:left="10" w:right="24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During the fiscal year ended June 30, 2024, service charge revenue recognized on loans in nonaccrual status upon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receipt of payment was less than $1 million ($1 million and less than $1 million – fiscal years ended June 30, 2023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and June 30, 2022  respectively). </w:t>
      </w:r>
    </w:p>
    <w:p>
      <w:pPr>
        <w:autoSpaceDN w:val="0"/>
        <w:tabs>
          <w:tab w:pos="9094" w:val="left"/>
        </w:tabs>
        <w:autoSpaceDE w:val="0"/>
        <w:widowControl/>
        <w:spacing w:line="224" w:lineRule="exact" w:before="1832" w:after="0"/>
        <w:ind w:left="499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Financial Statements: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99</w:t>
      </w:r>
    </w:p>
    <w:p>
      <w:pPr>
        <w:sectPr>
          <w:pgSz w:w="12240" w:h="15840"/>
          <w:pgMar w:top="716" w:right="1368" w:bottom="2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76"/>
        <w:ind w:left="0" w:right="0"/>
      </w:pPr>
    </w:p>
    <w:p>
      <w:pPr>
        <w:autoSpaceDN w:val="0"/>
        <w:autoSpaceDE w:val="0"/>
        <w:widowControl/>
        <w:spacing w:line="244" w:lineRule="exact" w:before="0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Guarantees Provided</w:t>
      </w:r>
    </w:p>
    <w:p>
      <w:pPr>
        <w:autoSpaceDN w:val="0"/>
        <w:autoSpaceDE w:val="0"/>
        <w:widowControl/>
        <w:spacing w:line="240" w:lineRule="exact" w:before="13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Guarantees of $2,787 million were outstanding as of June 30, 2024 ($2,558 million—June 30, 2023). This amount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includes $1,169 million relating to the PSW ($795 million—June 30, 2023). The outstanding guarantees represents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maximum potential undiscounted future payments that IDA could be required to make under these guarantees,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and are not included on the Balance Sheets. The guarantees issued by IDA have original maturities ranging between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3 and 22 years and expire in decreasing amounts through 2044. 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of June 30, 2024, liabilities related to IDA’s obligations under guarantees provided include the obligation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stand ready of $141 million ($135 million—June 30, 2023), and the accumulated provision for guarantee losses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$220 million ($177 million—June 30, 2023). These have been included in Other liabilities - Accounts payable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miscellaneous liabilities on the Balance Sheets.</w:t>
      </w:r>
    </w:p>
    <w:p>
      <w:pPr>
        <w:autoSpaceDN w:val="0"/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During the fiscal year ended June 30, 2024, $100 million of guarantees provided by IDA to sovereign or sub-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sovereign borrowers were called  ($50 million — fiscal year ended June 30, 2023). </w:t>
      </w:r>
    </w:p>
    <w:p>
      <w:pPr>
        <w:autoSpaceDN w:val="0"/>
        <w:autoSpaceDE w:val="0"/>
        <w:widowControl/>
        <w:spacing w:line="224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During the fiscal year ended June 30, 2024, $1 million of IDA-PSW Blended Finance Facility guarantees under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Small Loan Guarantee Program pursuant to the risk-sharing agreement between IDA and IFC were called (less than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$1 million — fiscal year ended June 30, 2023).</w:t>
      </w:r>
    </w:p>
    <w:p>
      <w:pPr>
        <w:autoSpaceDN w:val="0"/>
        <w:autoSpaceDE w:val="0"/>
        <w:widowControl/>
        <w:spacing w:line="244" w:lineRule="exact" w:before="114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Concentration Risk</w:t>
      </w:r>
    </w:p>
    <w:p>
      <w:pPr>
        <w:autoSpaceDN w:val="0"/>
        <w:autoSpaceDE w:val="0"/>
        <w:widowControl/>
        <w:spacing w:line="240" w:lineRule="exact" w:before="13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Loan revenue comprises service charges, interest and commitment charges, net of waivers. For the fiscal year ended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June 30, 2024, loan revenue of $337 million and $277 million from India and Pakistan respectively, were each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excess of 10% of total loan revenue.</w:t>
      </w:r>
    </w:p>
    <w:p>
      <w:pPr>
        <w:autoSpaceDN w:val="0"/>
        <w:autoSpaceDE w:val="0"/>
        <w:widowControl/>
        <w:spacing w:line="222" w:lineRule="exact" w:before="138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following table presents IDA’s loans outstanding and associated loan revenue by geographic region:</w:t>
      </w:r>
    </w:p>
    <w:p>
      <w:pPr>
        <w:autoSpaceDN w:val="0"/>
        <w:autoSpaceDE w:val="0"/>
        <w:widowControl/>
        <w:spacing w:line="220" w:lineRule="exact" w:before="136" w:after="94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 xml:space="preserve">Table D7: Loan revenue and outstanding loan balances by geographic region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29"/>
        <w:gridCol w:w="629"/>
        <w:gridCol w:w="629"/>
        <w:gridCol w:w="629"/>
        <w:gridCol w:w="629"/>
        <w:gridCol w:w="629"/>
        <w:gridCol w:w="629"/>
        <w:gridCol w:w="629"/>
        <w:gridCol w:w="629"/>
        <w:gridCol w:w="629"/>
        <w:gridCol w:w="629"/>
        <w:gridCol w:w="629"/>
        <w:gridCol w:w="629"/>
        <w:gridCol w:w="629"/>
        <w:gridCol w:w="629"/>
      </w:tblGrid>
      <w:tr>
        <w:trPr>
          <w:trHeight w:hRule="exact" w:val="268"/>
        </w:trPr>
        <w:tc>
          <w:tcPr>
            <w:tcW w:type="dxa" w:w="33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2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In millions of U.S. dollars</w:t>
            </w:r>
          </w:p>
        </w:tc>
        <w:tc>
          <w:tcPr>
            <w:tcW w:type="dxa" w:w="4690"/>
            <w:gridSpan w:val="1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0" w:right="162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As of and for the fiscal year ended June 30,</w:t>
            </w:r>
          </w:p>
        </w:tc>
        <w:tc>
          <w:tcPr>
            <w:tcW w:type="dxa" w:w="1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2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0"/>
        </w:trPr>
        <w:tc>
          <w:tcPr>
            <w:tcW w:type="dxa" w:w="33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70"/>
            <w:gridSpan w:val="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50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2024</w:t>
            </w:r>
          </w:p>
        </w:tc>
        <w:tc>
          <w:tcPr>
            <w:tcW w:type="dxa" w:w="2920"/>
            <w:gridSpan w:val="8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0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2023</w:t>
            </w:r>
          </w:p>
        </w:tc>
        <w:tc>
          <w:tcPr>
            <w:tcW w:type="dxa" w:w="1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00"/>
        </w:trPr>
        <w:tc>
          <w:tcPr>
            <w:tcW w:type="dxa" w:w="336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16" w:after="0"/>
              <w:ind w:left="2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Region</w:t>
            </w:r>
          </w:p>
        </w:tc>
        <w:tc>
          <w:tcPr>
            <w:tcW w:type="dxa" w:w="4690"/>
            <w:gridSpan w:val="1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" w:after="0"/>
              <w:ind w:left="0" w:right="2206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Loans </w:t>
            </w:r>
          </w:p>
        </w:tc>
        <w:tc>
          <w:tcPr>
            <w:tcW w:type="dxa" w:w="16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12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" w:after="0"/>
              <w:ind w:left="24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Loans </w:t>
            </w:r>
          </w:p>
        </w:tc>
      </w:tr>
      <w:tr>
        <w:trPr>
          <w:trHeight w:hRule="exact" w:val="234"/>
        </w:trPr>
        <w:tc>
          <w:tcPr>
            <w:tcW w:type="dxa" w:w="62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770"/>
            <w:gridSpan w:val="4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15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Loan Revenue </w:t>
            </w:r>
            <w:r>
              <w:rPr>
                <w:w w:val="103.99999618530273"/>
                <w:rFonts w:ascii="Arial" w:hAnsi="Arial" w:eastAsia="Arial"/>
                <w:b w:val="0"/>
                <w:i/>
                <w:color w:val="000000"/>
                <w:sz w:val="10"/>
              </w:rPr>
              <w:t>a</w:t>
            </w:r>
          </w:p>
        </w:tc>
        <w:tc>
          <w:tcPr>
            <w:tcW w:type="dxa" w:w="1162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2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Outstanding</w:t>
            </w:r>
          </w:p>
        </w:tc>
        <w:tc>
          <w:tcPr>
            <w:tcW w:type="dxa" w:w="1758"/>
            <w:gridSpan w:val="6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Loan Revenue </w:t>
            </w:r>
            <w:r>
              <w:rPr>
                <w:w w:val="103.99999618530273"/>
                <w:rFonts w:ascii="Arial" w:hAnsi="Arial" w:eastAsia="Arial"/>
                <w:b w:val="0"/>
                <w:i/>
                <w:color w:val="000000"/>
                <w:sz w:val="10"/>
              </w:rPr>
              <w:t>a</w:t>
            </w:r>
          </w:p>
        </w:tc>
        <w:tc>
          <w:tcPr>
            <w:tcW w:type="dxa" w:w="62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12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3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Outstanding</w:t>
            </w:r>
          </w:p>
        </w:tc>
      </w:tr>
      <w:tr>
        <w:trPr>
          <w:trHeight w:hRule="exact" w:val="226"/>
        </w:trPr>
        <w:tc>
          <w:tcPr>
            <w:tcW w:type="dxa" w:w="33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South Asia</w:t>
            </w:r>
          </w:p>
        </w:tc>
        <w:tc>
          <w:tcPr>
            <w:tcW w:type="dxa" w:w="4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96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2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916 </w:t>
            </w:r>
          </w:p>
        </w:tc>
        <w:tc>
          <w:tcPr>
            <w:tcW w:type="dxa" w:w="32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98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62,724 </w:t>
            </w:r>
          </w:p>
        </w:tc>
        <w:tc>
          <w:tcPr>
            <w:tcW w:type="dxa" w:w="716"/>
            <w:gridSpan w:val="6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0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43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835 </w:t>
            </w:r>
          </w:p>
        </w:tc>
        <w:tc>
          <w:tcPr>
            <w:tcW w:type="dxa" w:w="16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2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62,121 </w:t>
            </w:r>
          </w:p>
        </w:tc>
      </w:tr>
      <w:tr>
        <w:trPr>
          <w:trHeight w:hRule="exact" w:val="240"/>
        </w:trPr>
        <w:tc>
          <w:tcPr>
            <w:tcW w:type="dxa" w:w="3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Eastern and Southern Africa</w:t>
            </w:r>
          </w:p>
        </w:tc>
        <w:tc>
          <w:tcPr>
            <w:tcW w:type="dxa" w:w="17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60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597 </w:t>
            </w:r>
          </w:p>
        </w:tc>
        <w:tc>
          <w:tcPr>
            <w:tcW w:type="dxa" w:w="150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30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59,083 </w:t>
            </w:r>
          </w:p>
        </w:tc>
        <w:tc>
          <w:tcPr>
            <w:tcW w:type="dxa" w:w="141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43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507 </w:t>
            </w:r>
          </w:p>
        </w:tc>
        <w:tc>
          <w:tcPr>
            <w:tcW w:type="dxa" w:w="62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1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54,291 </w:t>
            </w:r>
          </w:p>
        </w:tc>
      </w:tr>
      <w:tr>
        <w:trPr>
          <w:trHeight w:hRule="exact" w:val="240"/>
        </w:trPr>
        <w:tc>
          <w:tcPr>
            <w:tcW w:type="dxa" w:w="3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Western and Central Africa</w:t>
            </w:r>
          </w:p>
        </w:tc>
        <w:tc>
          <w:tcPr>
            <w:tcW w:type="dxa" w:w="17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60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587 </w:t>
            </w:r>
          </w:p>
        </w:tc>
        <w:tc>
          <w:tcPr>
            <w:tcW w:type="dxa" w:w="150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30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47,662 </w:t>
            </w:r>
          </w:p>
        </w:tc>
        <w:tc>
          <w:tcPr>
            <w:tcW w:type="dxa" w:w="141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43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464 </w:t>
            </w:r>
          </w:p>
        </w:tc>
        <w:tc>
          <w:tcPr>
            <w:tcW w:type="dxa" w:w="62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1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41,920 </w:t>
            </w:r>
          </w:p>
        </w:tc>
      </w:tr>
      <w:tr>
        <w:trPr>
          <w:trHeight w:hRule="exact" w:val="240"/>
        </w:trPr>
        <w:tc>
          <w:tcPr>
            <w:tcW w:type="dxa" w:w="3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East Asia and Pacific</w:t>
            </w:r>
          </w:p>
        </w:tc>
        <w:tc>
          <w:tcPr>
            <w:tcW w:type="dxa" w:w="17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60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244 </w:t>
            </w:r>
          </w:p>
        </w:tc>
        <w:tc>
          <w:tcPr>
            <w:tcW w:type="dxa" w:w="150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30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17,884 </w:t>
            </w:r>
          </w:p>
        </w:tc>
        <w:tc>
          <w:tcPr>
            <w:tcW w:type="dxa" w:w="141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43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236 </w:t>
            </w:r>
          </w:p>
        </w:tc>
        <w:tc>
          <w:tcPr>
            <w:tcW w:type="dxa" w:w="62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1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18,734 </w:t>
            </w:r>
          </w:p>
        </w:tc>
      </w:tr>
      <w:tr>
        <w:trPr>
          <w:trHeight w:hRule="exact" w:val="240"/>
        </w:trPr>
        <w:tc>
          <w:tcPr>
            <w:tcW w:type="dxa" w:w="3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Europe and Central Asia</w:t>
            </w:r>
          </w:p>
        </w:tc>
        <w:tc>
          <w:tcPr>
            <w:tcW w:type="dxa" w:w="17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60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201 </w:t>
            </w:r>
          </w:p>
        </w:tc>
        <w:tc>
          <w:tcPr>
            <w:tcW w:type="dxa" w:w="150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67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9,269 </w:t>
            </w:r>
          </w:p>
        </w:tc>
        <w:tc>
          <w:tcPr>
            <w:tcW w:type="dxa" w:w="141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43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150 </w:t>
            </w:r>
          </w:p>
        </w:tc>
        <w:tc>
          <w:tcPr>
            <w:tcW w:type="dxa" w:w="62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1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28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9,014 </w:t>
            </w:r>
          </w:p>
        </w:tc>
      </w:tr>
      <w:tr>
        <w:trPr>
          <w:trHeight w:hRule="exact" w:val="240"/>
        </w:trPr>
        <w:tc>
          <w:tcPr>
            <w:tcW w:type="dxa" w:w="3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Latin America and the Caribbean</w:t>
            </w:r>
          </w:p>
        </w:tc>
        <w:tc>
          <w:tcPr>
            <w:tcW w:type="dxa" w:w="17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60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66 </w:t>
            </w:r>
          </w:p>
        </w:tc>
        <w:tc>
          <w:tcPr>
            <w:tcW w:type="dxa" w:w="1546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7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3,683 </w:t>
            </w:r>
          </w:p>
        </w:tc>
        <w:tc>
          <w:tcPr>
            <w:tcW w:type="dxa" w:w="137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43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59 </w:t>
            </w:r>
          </w:p>
        </w:tc>
        <w:tc>
          <w:tcPr>
            <w:tcW w:type="dxa" w:w="62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1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28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3,418 </w:t>
            </w:r>
          </w:p>
        </w:tc>
      </w:tr>
      <w:tr>
        <w:trPr>
          <w:trHeight w:hRule="exact" w:val="240"/>
        </w:trPr>
        <w:tc>
          <w:tcPr>
            <w:tcW w:type="dxa" w:w="3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Middle East and North Africa</w:t>
            </w:r>
          </w:p>
        </w:tc>
        <w:tc>
          <w:tcPr>
            <w:tcW w:type="dxa" w:w="17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60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17 </w:t>
            </w:r>
          </w:p>
        </w:tc>
        <w:tc>
          <w:tcPr>
            <w:tcW w:type="dxa" w:w="1546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7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2,007 </w:t>
            </w:r>
          </w:p>
        </w:tc>
        <w:tc>
          <w:tcPr>
            <w:tcW w:type="dxa" w:w="137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43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18 </w:t>
            </w:r>
          </w:p>
        </w:tc>
        <w:tc>
          <w:tcPr>
            <w:tcW w:type="dxa" w:w="62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1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28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2,084 </w:t>
            </w:r>
          </w:p>
        </w:tc>
      </w:tr>
      <w:tr>
        <w:trPr>
          <w:trHeight w:hRule="exact" w:val="254"/>
        </w:trPr>
        <w:tc>
          <w:tcPr>
            <w:tcW w:type="dxa" w:w="33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Others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b</w:t>
            </w:r>
          </w:p>
        </w:tc>
        <w:tc>
          <w:tcPr>
            <w:tcW w:type="dxa" w:w="1770"/>
            <w:gridSpan w:val="4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60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18 </w:t>
            </w:r>
          </w:p>
        </w:tc>
        <w:tc>
          <w:tcPr>
            <w:tcW w:type="dxa" w:w="1590"/>
            <w:gridSpan w:val="5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7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236 </w:t>
            </w:r>
          </w:p>
        </w:tc>
        <w:tc>
          <w:tcPr>
            <w:tcW w:type="dxa" w:w="1330"/>
            <w:gridSpan w:val="3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43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 </w:t>
            </w:r>
          </w:p>
        </w:tc>
        <w:tc>
          <w:tcPr>
            <w:tcW w:type="dxa" w:w="62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12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28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102 </w:t>
            </w:r>
          </w:p>
        </w:tc>
      </w:tr>
      <w:tr>
        <w:trPr>
          <w:trHeight w:hRule="exact" w:val="220"/>
        </w:trPr>
        <w:tc>
          <w:tcPr>
            <w:tcW w:type="dxa" w:w="33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4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4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2,646 </w:t>
            </w:r>
          </w:p>
        </w:tc>
        <w:tc>
          <w:tcPr>
            <w:tcW w:type="dxa" w:w="378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98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202,548 </w:t>
            </w:r>
          </w:p>
        </w:tc>
        <w:tc>
          <w:tcPr>
            <w:tcW w:type="dxa" w:w="650"/>
            <w:gridSpan w:val="5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72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29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2,277 </w:t>
            </w:r>
          </w:p>
        </w:tc>
        <w:tc>
          <w:tcPr>
            <w:tcW w:type="dxa" w:w="1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191,684 </w:t>
            </w:r>
          </w:p>
        </w:tc>
      </w:tr>
    </w:tbl>
    <w:p>
      <w:pPr>
        <w:autoSpaceDN w:val="0"/>
        <w:autoSpaceDE w:val="0"/>
        <w:widowControl/>
        <w:spacing w:line="192" w:lineRule="exact" w:before="300" w:after="0"/>
        <w:ind w:left="242" w:right="144" w:hanging="18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a. Excludes $19 million of interest rate swap income from loan-related derivatives for the fiscal year ended June 30, 2024 ($6 </w:t>
      </w:r>
      <w:r>
        <w:rPr>
          <w:rFonts w:ascii="Arial" w:hAnsi="Arial" w:eastAsia="Arial"/>
          <w:b w:val="0"/>
          <w:i/>
          <w:color w:val="000000"/>
          <w:sz w:val="16"/>
        </w:rPr>
        <w:t xml:space="preserve">million of interest rate swap income - fiscal year ended June 30, 2023). Includes net commitment charges of $26 million for the </w:t>
      </w:r>
      <w:r>
        <w:rPr>
          <w:rFonts w:ascii="Arial" w:hAnsi="Arial" w:eastAsia="Arial"/>
          <w:b w:val="0"/>
          <w:i/>
          <w:color w:val="000000"/>
          <w:sz w:val="16"/>
        </w:rPr>
        <w:t>fiscal year ended June 30, 2024 ($27 million – fiscal year ended June 30, 2023).</w:t>
      </w:r>
    </w:p>
    <w:p>
      <w:pPr>
        <w:autoSpaceDN w:val="0"/>
        <w:autoSpaceDE w:val="0"/>
        <w:widowControl/>
        <w:spacing w:line="178" w:lineRule="exact" w:before="6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b. Represents loans under the PSW.</w:t>
      </w:r>
    </w:p>
    <w:p>
      <w:pPr>
        <w:autoSpaceDN w:val="0"/>
        <w:autoSpaceDE w:val="0"/>
        <w:widowControl/>
        <w:spacing w:line="224" w:lineRule="exact" w:before="334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NOTE E—BORROWINGS</w:t>
      </w:r>
    </w:p>
    <w:p>
      <w:pPr>
        <w:autoSpaceDN w:val="0"/>
        <w:autoSpaceDE w:val="0"/>
        <w:widowControl/>
        <w:spacing w:line="240" w:lineRule="exact" w:before="114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IDA’s borrowings comprise market borrowings (carried at amortized cost or fair value) and concessional partner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loans made by IDA members (carried at amortized cost).</w:t>
      </w:r>
    </w:p>
    <w:p>
      <w:pPr>
        <w:autoSpaceDN w:val="0"/>
        <w:autoSpaceDE w:val="0"/>
        <w:widowControl/>
        <w:spacing w:line="224" w:lineRule="exact" w:before="136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CPL are unsecured and unsubordinated fixed rate debt in SDR component currencies. IDA may prepay some or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entire outstanding amounts without penalty. These borrowings are reported at amortized cost, and as of June 30,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2024, have original contractual maturities between 25 and 50 years, with the final maturity in 2074. This does not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include the proceeds received under the grant component of the CPL, included in equity for which voting rights have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been attributed.</w:t>
      </w:r>
    </w:p>
    <w:p>
      <w:pPr>
        <w:autoSpaceDN w:val="0"/>
        <w:tabs>
          <w:tab w:pos="768" w:val="left"/>
        </w:tabs>
        <w:autoSpaceDE w:val="0"/>
        <w:widowControl/>
        <w:spacing w:line="224" w:lineRule="exact" w:before="1138" w:after="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100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Financial Statements: June 30, 2024</w:t>
      </w:r>
    </w:p>
    <w:p>
      <w:pPr>
        <w:sectPr>
          <w:pgSz w:w="12240" w:h="15840"/>
          <w:pgMar w:top="696" w:right="1370" w:bottom="2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24" w:lineRule="exact" w:before="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Market borrowings are unsecured and unsubordinated fixed rate debt in a variety of currencies. Some of these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instruments are callable. IDA has elected the fair value option for certain instruments. Overall market borrowings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have original maturities that range from 91 days to 30 years, with the final maturity in 2053. </w:t>
      </w:r>
    </w:p>
    <w:p>
      <w:pPr>
        <w:autoSpaceDN w:val="0"/>
        <w:autoSpaceDE w:val="0"/>
        <w:widowControl/>
        <w:spacing w:line="240" w:lineRule="exact" w:before="104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uses derivative contracts to manage the currency risk and the interest rate risk in the market borrowings carried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at fair value. For example, IDA may enter into derivative transactions to convert fixed rate bonds into floating rate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instruments. For details regarding the derivatives used, see Note F—Derivative Instruments.</w:t>
      </w:r>
    </w:p>
    <w:p>
      <w:pPr>
        <w:autoSpaceDN w:val="0"/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of June 30, 2024, and June 30, 2023, the instruments in IDA’s borrowing portfolio measured at fair value were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classified as Level 2 within the fair value hierarchy.</w:t>
      </w:r>
    </w:p>
    <w:p>
      <w:pPr>
        <w:autoSpaceDN w:val="0"/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 summary of IDA’s borrowings are as follows (for details on principal due upon maturity, see Note J—Fair Value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Disclosures):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E1: Market borrowings and borrowing-related derivatives, at fair value</w:t>
      </w:r>
    </w:p>
    <w:p>
      <w:pPr>
        <w:autoSpaceDN w:val="0"/>
        <w:autoSpaceDE w:val="0"/>
        <w:widowControl/>
        <w:spacing w:line="178" w:lineRule="exact" w:before="154" w:after="20"/>
        <w:ind w:left="15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88"/>
        <w:gridCol w:w="1888"/>
        <w:gridCol w:w="1888"/>
        <w:gridCol w:w="1888"/>
        <w:gridCol w:w="1888"/>
      </w:tblGrid>
      <w:tr>
        <w:trPr>
          <w:trHeight w:hRule="exact" w:val="224"/>
        </w:trPr>
        <w:tc>
          <w:tcPr>
            <w:tcW w:type="dxa" w:w="616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6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2024</w:t>
            </w:r>
          </w:p>
        </w:tc>
        <w:tc>
          <w:tcPr>
            <w:tcW w:type="dxa" w:w="2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1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2023</w:t>
            </w:r>
          </w:p>
        </w:tc>
      </w:tr>
      <w:tr>
        <w:trPr>
          <w:trHeight w:hRule="exact" w:val="224"/>
        </w:trPr>
        <w:tc>
          <w:tcPr>
            <w:tcW w:type="dxa" w:w="616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1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Market borrowings</w:t>
            </w:r>
          </w:p>
        </w:tc>
        <w:tc>
          <w:tcPr>
            <w:tcW w:type="dxa" w:w="24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4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26,425 </w:t>
            </w:r>
          </w:p>
        </w:tc>
        <w:tc>
          <w:tcPr>
            <w:tcW w:type="dxa" w:w="20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24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16,786 </w:t>
            </w:r>
          </w:p>
        </w:tc>
      </w:tr>
      <w:tr>
        <w:trPr>
          <w:trHeight w:hRule="exact" w:val="240"/>
        </w:trPr>
        <w:tc>
          <w:tcPr>
            <w:tcW w:type="dxa" w:w="616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1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Currency swaps, net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488 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2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682 </w:t>
            </w:r>
          </w:p>
        </w:tc>
      </w:tr>
      <w:tr>
        <w:trPr>
          <w:trHeight w:hRule="exact" w:val="258"/>
        </w:trPr>
        <w:tc>
          <w:tcPr>
            <w:tcW w:type="dxa" w:w="616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1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Interest rate swaps, net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4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1,617 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24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2,144 </w:t>
            </w:r>
          </w:p>
        </w:tc>
      </w:tr>
      <w:tr>
        <w:trPr>
          <w:trHeight w:hRule="exact" w:val="220"/>
        </w:trPr>
        <w:tc>
          <w:tcPr>
            <w:tcW w:type="dxa" w:w="616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2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4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28,530 </w:t>
            </w:r>
          </w:p>
        </w:tc>
        <w:tc>
          <w:tcPr>
            <w:tcW w:type="dxa" w:w="2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2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19,612 </w:t>
            </w:r>
          </w:p>
        </w:tc>
      </w:tr>
    </w:tbl>
    <w:p>
      <w:pPr>
        <w:autoSpaceDN w:val="0"/>
        <w:autoSpaceDE w:val="0"/>
        <w:widowControl/>
        <w:spacing w:line="240" w:lineRule="exact" w:before="41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For the fiscal year ended June 30, 2024, Borrowing expenses, net in the Statements of Income was $1,616 million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($957 million—fiscal year ended June 30, 2023). This includes $816 million of interest expense, net related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derivatives associated with the Borrowing portfolio (interest expense, net of $477 million— fiscal year ended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June 30, 2023).</w:t>
      </w:r>
    </w:p>
    <w:p>
      <w:pPr>
        <w:autoSpaceDN w:val="0"/>
        <w:autoSpaceDE w:val="0"/>
        <w:widowControl/>
        <w:spacing w:line="222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E2: Market borrowings outstanding, at amortized cost</w:t>
      </w:r>
    </w:p>
    <w:p>
      <w:pPr>
        <w:autoSpaceDN w:val="0"/>
        <w:autoSpaceDE w:val="0"/>
        <w:widowControl/>
        <w:spacing w:line="180" w:lineRule="exact" w:before="152" w:after="20"/>
        <w:ind w:left="15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240"/>
        </w:trPr>
        <w:tc>
          <w:tcPr>
            <w:tcW w:type="dxa" w:w="31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8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1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Principal at face value</w:t>
            </w:r>
          </w:p>
        </w:tc>
        <w:tc>
          <w:tcPr>
            <w:tcW w:type="dxa" w:w="2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4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Net unamortized discount</w:t>
            </w:r>
          </w:p>
        </w:tc>
        <w:tc>
          <w:tcPr>
            <w:tcW w:type="dxa" w:w="3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1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23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Total</w:t>
            </w:r>
          </w:p>
        </w:tc>
      </w:tr>
      <w:tr>
        <w:trPr>
          <w:trHeight w:hRule="exact" w:val="222"/>
        </w:trPr>
        <w:tc>
          <w:tcPr>
            <w:tcW w:type="dxa" w:w="31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June 30, 2024</w:t>
            </w:r>
          </w:p>
        </w:tc>
        <w:tc>
          <w:tcPr>
            <w:tcW w:type="dxa" w:w="2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208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4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11,512 </w:t>
            </w:r>
          </w:p>
        </w:tc>
        <w:tc>
          <w:tcPr>
            <w:tcW w:type="dxa" w:w="27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21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(18) </w:t>
            </w:r>
          </w:p>
        </w:tc>
        <w:tc>
          <w:tcPr>
            <w:tcW w:type="dxa" w:w="3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1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11,494 </w:t>
            </w:r>
          </w:p>
        </w:tc>
      </w:tr>
      <w:tr>
        <w:trPr>
          <w:trHeight w:hRule="exact" w:val="498"/>
        </w:trPr>
        <w:tc>
          <w:tcPr>
            <w:tcW w:type="dxa" w:w="31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1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June 30, 2023</w:t>
            </w:r>
          </w:p>
        </w:tc>
        <w:tc>
          <w:tcPr>
            <w:tcW w:type="dxa" w:w="2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208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4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8,682 </w:t>
            </w:r>
          </w:p>
        </w:tc>
        <w:tc>
          <w:tcPr>
            <w:tcW w:type="dxa" w:w="27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21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(55) </w:t>
            </w:r>
          </w:p>
        </w:tc>
        <w:tc>
          <w:tcPr>
            <w:tcW w:type="dxa" w:w="3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1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21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8,627 </w:t>
            </w:r>
          </w:p>
        </w:tc>
      </w:tr>
    </w:tbl>
    <w:p>
      <w:pPr>
        <w:autoSpaceDN w:val="0"/>
        <w:autoSpaceDE w:val="0"/>
        <w:widowControl/>
        <w:spacing w:line="222" w:lineRule="exact" w:before="16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E3: Concessional partner loans outstanding, at amortized cost</w:t>
      </w:r>
    </w:p>
    <w:p>
      <w:pPr>
        <w:autoSpaceDN w:val="0"/>
        <w:autoSpaceDE w:val="0"/>
        <w:widowControl/>
        <w:spacing w:line="180" w:lineRule="exact" w:before="152" w:after="20"/>
        <w:ind w:left="15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240"/>
        </w:trPr>
        <w:tc>
          <w:tcPr>
            <w:tcW w:type="dxa" w:w="31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8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1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Principal at face value</w:t>
            </w:r>
          </w:p>
        </w:tc>
        <w:tc>
          <w:tcPr>
            <w:tcW w:type="dxa" w:w="2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4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Net unamortized discount</w:t>
            </w:r>
          </w:p>
        </w:tc>
        <w:tc>
          <w:tcPr>
            <w:tcW w:type="dxa" w:w="3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0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9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Total</w:t>
            </w:r>
          </w:p>
        </w:tc>
      </w:tr>
      <w:tr>
        <w:trPr>
          <w:trHeight w:hRule="exact" w:val="222"/>
        </w:trPr>
        <w:tc>
          <w:tcPr>
            <w:tcW w:type="dxa" w:w="31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June 30, 2024</w:t>
            </w:r>
          </w:p>
        </w:tc>
        <w:tc>
          <w:tcPr>
            <w:tcW w:type="dxa" w:w="2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208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4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8,486 </w:t>
            </w:r>
          </w:p>
        </w:tc>
        <w:tc>
          <w:tcPr>
            <w:tcW w:type="dxa" w:w="27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21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(1,482) </w:t>
            </w:r>
          </w:p>
        </w:tc>
        <w:tc>
          <w:tcPr>
            <w:tcW w:type="dxa" w:w="3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7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7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7,004 </w:t>
            </w:r>
          </w:p>
        </w:tc>
      </w:tr>
      <w:tr>
        <w:trPr>
          <w:trHeight w:hRule="exact" w:val="496"/>
        </w:trPr>
        <w:tc>
          <w:tcPr>
            <w:tcW w:type="dxa" w:w="31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1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June 30, 2023</w:t>
            </w:r>
          </w:p>
        </w:tc>
        <w:tc>
          <w:tcPr>
            <w:tcW w:type="dxa" w:w="2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208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4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8,708 </w:t>
            </w:r>
          </w:p>
        </w:tc>
        <w:tc>
          <w:tcPr>
            <w:tcW w:type="dxa" w:w="27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21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3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(1,554) </w:t>
            </w:r>
          </w:p>
        </w:tc>
        <w:tc>
          <w:tcPr>
            <w:tcW w:type="dxa" w:w="3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7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17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7,154 </w:t>
            </w:r>
          </w:p>
        </w:tc>
      </w:tr>
    </w:tbl>
    <w:p>
      <w:pPr>
        <w:autoSpaceDN w:val="0"/>
        <w:autoSpaceDE w:val="0"/>
        <w:widowControl/>
        <w:spacing w:line="220" w:lineRule="exact" w:before="172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following table provides a summary of the interest rate characteristics of IDA’s borrowings:</w:t>
      </w:r>
    </w:p>
    <w:p>
      <w:pPr>
        <w:autoSpaceDN w:val="0"/>
        <w:autoSpaceDE w:val="0"/>
        <w:widowControl/>
        <w:spacing w:line="222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E4: Borrowings-Interest rate composition before derivatives</w:t>
      </w:r>
    </w:p>
    <w:p>
      <w:pPr>
        <w:autoSpaceDN w:val="0"/>
        <w:autoSpaceDE w:val="0"/>
        <w:widowControl/>
        <w:spacing w:line="178" w:lineRule="exact" w:before="138" w:after="2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240"/>
        </w:trPr>
        <w:tc>
          <w:tcPr>
            <w:tcW w:type="dxa" w:w="24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3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2024</w:t>
            </w:r>
          </w:p>
        </w:tc>
        <w:tc>
          <w:tcPr>
            <w:tcW w:type="dxa" w:w="18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376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WAC </w:t>
            </w:r>
            <w:r>
              <w:rPr>
                <w:w w:val="103.99999618530273"/>
                <w:rFonts w:ascii="Arial" w:hAnsi="Arial" w:eastAsia="Arial"/>
                <w:b w:val="0"/>
                <w:i/>
                <w:color w:val="000000"/>
                <w:sz w:val="10"/>
              </w:rPr>
              <w:t>a</w:t>
            </w: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 (%)</w:t>
            </w:r>
          </w:p>
        </w:tc>
        <w:tc>
          <w:tcPr>
            <w:tcW w:type="dxa" w:w="48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4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2023</w:t>
            </w:r>
          </w:p>
        </w:tc>
        <w:tc>
          <w:tcPr>
            <w:tcW w:type="dxa" w:w="18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37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WAC </w:t>
            </w:r>
            <w:r>
              <w:rPr>
                <w:w w:val="103.99999618530273"/>
                <w:rFonts w:ascii="Arial" w:hAnsi="Arial" w:eastAsia="Arial"/>
                <w:b w:val="0"/>
                <w:i/>
                <w:color w:val="000000"/>
                <w:sz w:val="10"/>
              </w:rPr>
              <w:t>a</w:t>
            </w: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 (%)</w:t>
            </w:r>
          </w:p>
        </w:tc>
      </w:tr>
      <w:tr>
        <w:trPr>
          <w:trHeight w:hRule="exact" w:val="238"/>
        </w:trPr>
        <w:tc>
          <w:tcPr>
            <w:tcW w:type="dxa" w:w="24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Fixed</w:t>
            </w:r>
          </w:p>
        </w:tc>
        <w:tc>
          <w:tcPr>
            <w:tcW w:type="dxa" w:w="21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29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46,383 </w:t>
            </w:r>
          </w:p>
        </w:tc>
        <w:tc>
          <w:tcPr>
            <w:tcW w:type="dxa" w:w="18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2.05 %</w:t>
            </w:r>
          </w:p>
        </w:tc>
        <w:tc>
          <w:tcPr>
            <w:tcW w:type="dxa" w:w="48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3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34,996 </w:t>
            </w:r>
          </w:p>
        </w:tc>
        <w:tc>
          <w:tcPr>
            <w:tcW w:type="dxa" w:w="184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1.42 %</w:t>
            </w:r>
          </w:p>
        </w:tc>
      </w:tr>
      <w:tr>
        <w:trPr>
          <w:trHeight w:hRule="exact" w:val="242"/>
        </w:trPr>
        <w:tc>
          <w:tcPr>
            <w:tcW w:type="dxa" w:w="24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Variable</w:t>
            </w:r>
          </w:p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29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284 </w:t>
            </w:r>
          </w:p>
        </w:tc>
        <w:tc>
          <w:tcPr>
            <w:tcW w:type="dxa" w:w="18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5.04 %</w:t>
            </w:r>
          </w:p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3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84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1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— </w:t>
            </w:r>
          </w:p>
        </w:tc>
      </w:tr>
      <w:tr>
        <w:trPr>
          <w:trHeight w:hRule="exact" w:val="218"/>
        </w:trPr>
        <w:tc>
          <w:tcPr>
            <w:tcW w:type="dxa" w:w="24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Borrowings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b</w:t>
            </w:r>
          </w:p>
        </w:tc>
        <w:tc>
          <w:tcPr>
            <w:tcW w:type="dxa" w:w="21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29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46,667 </w:t>
            </w:r>
          </w:p>
        </w:tc>
        <w:tc>
          <w:tcPr>
            <w:tcW w:type="dxa" w:w="180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2.07 %</w:t>
            </w:r>
          </w:p>
        </w:tc>
        <w:tc>
          <w:tcPr>
            <w:tcW w:type="dxa" w:w="48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3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34,996 </w:t>
            </w:r>
          </w:p>
        </w:tc>
        <w:tc>
          <w:tcPr>
            <w:tcW w:type="dxa" w:w="184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1.42 %</w:t>
            </w:r>
          </w:p>
        </w:tc>
      </w:tr>
      <w:tr>
        <w:trPr>
          <w:trHeight w:hRule="exact" w:val="246"/>
        </w:trPr>
        <w:tc>
          <w:tcPr>
            <w:tcW w:type="dxa" w:w="24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Fair Value Adjustment</w:t>
            </w:r>
          </w:p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29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(1,744) </w:t>
            </w:r>
          </w:p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3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(2,429) </w:t>
            </w:r>
          </w:p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</w:tr>
      <w:tr>
        <w:trPr>
          <w:trHeight w:hRule="exact" w:val="220"/>
        </w:trPr>
        <w:tc>
          <w:tcPr>
            <w:tcW w:type="dxa" w:w="24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 Borrowings</w:t>
            </w:r>
          </w:p>
        </w:tc>
        <w:tc>
          <w:tcPr>
            <w:tcW w:type="dxa" w:w="2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2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44,923 </w:t>
            </w:r>
          </w:p>
        </w:tc>
        <w:tc>
          <w:tcPr>
            <w:tcW w:type="dxa" w:w="18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8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3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32,567 </w:t>
            </w:r>
          </w:p>
        </w:tc>
        <w:tc>
          <w:tcPr>
            <w:tcW w:type="dxa" w:w="18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60"/>
        </w:trPr>
        <w:tc>
          <w:tcPr>
            <w:tcW w:type="dxa" w:w="24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8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3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8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80" w:lineRule="exact" w:before="2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a. WAC refers to weighted average borrowing cost as of the reporting date.</w:t>
      </w:r>
    </w:p>
    <w:p>
      <w:pPr>
        <w:autoSpaceDN w:val="0"/>
        <w:autoSpaceDE w:val="0"/>
        <w:widowControl/>
        <w:spacing w:line="178" w:lineRule="exact" w:before="46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b. At amortized cost.</w:t>
      </w:r>
    </w:p>
    <w:p>
      <w:pPr>
        <w:autoSpaceDN w:val="0"/>
        <w:tabs>
          <w:tab w:pos="8984" w:val="left"/>
        </w:tabs>
        <w:autoSpaceDE w:val="0"/>
        <w:widowControl/>
        <w:spacing w:line="224" w:lineRule="exact" w:before="1254" w:after="0"/>
        <w:ind w:left="499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Financial Statements: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101</w:t>
      </w:r>
    </w:p>
    <w:p>
      <w:pPr>
        <w:sectPr>
          <w:pgSz w:w="12240" w:h="15840"/>
          <w:pgMar w:top="700" w:right="1370" w:bottom="2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90" w:lineRule="exact" w:before="0" w:after="112"/>
        <w:ind w:left="10" w:right="144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currency composition of debt in IDA’s borrowing portfolio before derivatives was as follows: </w:t>
      </w:r>
      <w:r>
        <w:rPr>
          <w:rFonts w:ascii="TimesNewRoman" w:hAnsi="TimesNewRoman" w:eastAsia="TimesNewRoman"/>
          <w:b/>
          <w:i w:val="0"/>
          <w:color w:val="000000"/>
          <w:sz w:val="20"/>
        </w:rPr>
        <w:t>Table E5: Borrowings-Currency composition before derivatives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88"/>
        <w:gridCol w:w="1888"/>
        <w:gridCol w:w="1888"/>
        <w:gridCol w:w="1888"/>
        <w:gridCol w:w="1888"/>
      </w:tblGrid>
      <w:tr>
        <w:trPr>
          <w:trHeight w:hRule="exact" w:val="240"/>
        </w:trPr>
        <w:tc>
          <w:tcPr>
            <w:tcW w:type="dxa" w:w="52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34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2024</w:t>
            </w:r>
          </w:p>
        </w:tc>
        <w:tc>
          <w:tcPr>
            <w:tcW w:type="dxa" w:w="4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6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2023</w:t>
            </w:r>
          </w:p>
        </w:tc>
        <w:tc>
          <w:tcPr>
            <w:tcW w:type="dxa" w:w="3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0"/>
        </w:trPr>
        <w:tc>
          <w:tcPr>
            <w:tcW w:type="dxa" w:w="52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Euro</w:t>
            </w:r>
          </w:p>
        </w:tc>
        <w:tc>
          <w:tcPr>
            <w:tcW w:type="dxa" w:w="15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40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6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%</w:t>
            </w:r>
          </w:p>
        </w:tc>
        <w:tc>
          <w:tcPr>
            <w:tcW w:type="dxa" w:w="175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376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%</w:t>
            </w:r>
          </w:p>
        </w:tc>
      </w:tr>
      <w:tr>
        <w:trPr>
          <w:trHeight w:hRule="exact" w:val="240"/>
        </w:trPr>
        <w:tc>
          <w:tcPr>
            <w:tcW w:type="dxa" w:w="52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U.S. dollar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7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</w:tr>
      <w:tr>
        <w:trPr>
          <w:trHeight w:hRule="exact" w:val="240"/>
        </w:trPr>
        <w:tc>
          <w:tcPr>
            <w:tcW w:type="dxa" w:w="52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Pound sterling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7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</w:tr>
      <w:tr>
        <w:trPr>
          <w:trHeight w:hRule="exact" w:val="240"/>
        </w:trPr>
        <w:tc>
          <w:tcPr>
            <w:tcW w:type="dxa" w:w="52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Japanese yen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7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</w:tr>
      <w:tr>
        <w:trPr>
          <w:trHeight w:hRule="exact" w:val="240"/>
        </w:trPr>
        <w:tc>
          <w:tcPr>
            <w:tcW w:type="dxa" w:w="52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Others</w:t>
            </w:r>
          </w:p>
        </w:tc>
        <w:tc>
          <w:tcPr>
            <w:tcW w:type="dxa" w:w="15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75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</w:tr>
      <w:tr>
        <w:trPr>
          <w:trHeight w:hRule="exact" w:val="220"/>
        </w:trPr>
        <w:tc>
          <w:tcPr>
            <w:tcW w:type="dxa" w:w="52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100</w:t>
            </w:r>
          </w:p>
        </w:tc>
        <w:tc>
          <w:tcPr>
            <w:tcW w:type="dxa" w:w="4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6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%</w:t>
            </w:r>
          </w:p>
        </w:tc>
        <w:tc>
          <w:tcPr>
            <w:tcW w:type="dxa" w:w="17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7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100</w:t>
            </w:r>
          </w:p>
        </w:tc>
        <w:tc>
          <w:tcPr>
            <w:tcW w:type="dxa" w:w="3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%</w:t>
            </w:r>
          </w:p>
        </w:tc>
      </w:tr>
    </w:tbl>
    <w:p>
      <w:pPr>
        <w:autoSpaceDN w:val="0"/>
        <w:tabs>
          <w:tab w:pos="62" w:val="left"/>
        </w:tabs>
        <w:autoSpaceDE w:val="0"/>
        <w:widowControl/>
        <w:spacing w:line="344" w:lineRule="exact" w:before="308" w:after="20"/>
        <w:ind w:left="10" w:right="360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maturity structure of IDA’s borrowings outstanding was as follows: </w:t>
      </w:r>
      <w:r>
        <w:rPr>
          <w:rFonts w:ascii="TimesNewRoman" w:hAnsi="TimesNewRoman" w:eastAsia="TimesNewRoman"/>
          <w:b/>
          <w:i w:val="0"/>
          <w:color w:val="000000"/>
          <w:sz w:val="20"/>
        </w:rPr>
        <w:t xml:space="preserve">Table E6: Borrowings-Maturity structure </w:t>
      </w:r>
      <w:r>
        <w:br/>
      </w: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88"/>
        <w:gridCol w:w="1888"/>
        <w:gridCol w:w="1888"/>
        <w:gridCol w:w="1888"/>
        <w:gridCol w:w="1888"/>
      </w:tblGrid>
      <w:tr>
        <w:trPr>
          <w:trHeight w:hRule="exact" w:val="240"/>
        </w:trPr>
        <w:tc>
          <w:tcPr>
            <w:tcW w:type="dxa" w:w="514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Period</w:t>
            </w:r>
          </w:p>
        </w:tc>
        <w:tc>
          <w:tcPr>
            <w:tcW w:type="dxa" w:w="3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4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2024</w:t>
            </w:r>
          </w:p>
        </w:tc>
        <w:tc>
          <w:tcPr>
            <w:tcW w:type="dxa" w:w="6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8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3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2023</w:t>
            </w:r>
          </w:p>
        </w:tc>
      </w:tr>
      <w:tr>
        <w:trPr>
          <w:trHeight w:hRule="exact" w:val="240"/>
        </w:trPr>
        <w:tc>
          <w:tcPr>
            <w:tcW w:type="dxa" w:w="514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Less than 1 year</w:t>
            </w:r>
          </w:p>
        </w:tc>
        <w:tc>
          <w:tcPr>
            <w:tcW w:type="dxa" w:w="32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63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47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5,478 </w:t>
            </w:r>
          </w:p>
        </w:tc>
        <w:tc>
          <w:tcPr>
            <w:tcW w:type="dxa" w:w="65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58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4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3,112 </w:t>
            </w:r>
          </w:p>
        </w:tc>
      </w:tr>
      <w:tr>
        <w:trPr>
          <w:trHeight w:hRule="exact" w:val="240"/>
        </w:trPr>
        <w:tc>
          <w:tcPr>
            <w:tcW w:type="dxa" w:w="51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1 - 2 years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6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47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3,933 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5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4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2,334 </w:t>
            </w:r>
          </w:p>
        </w:tc>
      </w:tr>
      <w:tr>
        <w:trPr>
          <w:trHeight w:hRule="exact" w:val="240"/>
        </w:trPr>
        <w:tc>
          <w:tcPr>
            <w:tcW w:type="dxa" w:w="51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2 - 3 years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6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47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2,681 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5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4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3,794 </w:t>
            </w:r>
          </w:p>
        </w:tc>
      </w:tr>
      <w:tr>
        <w:trPr>
          <w:trHeight w:hRule="exact" w:val="240"/>
        </w:trPr>
        <w:tc>
          <w:tcPr>
            <w:tcW w:type="dxa" w:w="51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3 - 4 years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6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47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1,341 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5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4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2,612 </w:t>
            </w:r>
          </w:p>
        </w:tc>
      </w:tr>
      <w:tr>
        <w:trPr>
          <w:trHeight w:hRule="exact" w:val="240"/>
        </w:trPr>
        <w:tc>
          <w:tcPr>
            <w:tcW w:type="dxa" w:w="51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4 - 5 years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6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47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9,827 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5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4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1,261 </w:t>
            </w:r>
          </w:p>
        </w:tc>
      </w:tr>
      <w:tr>
        <w:trPr>
          <w:trHeight w:hRule="exact" w:val="240"/>
        </w:trPr>
        <w:tc>
          <w:tcPr>
            <w:tcW w:type="dxa" w:w="514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Thereafter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6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47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23,164 </w:t>
            </w:r>
          </w:p>
        </w:tc>
        <w:tc>
          <w:tcPr>
            <w:tcW w:type="dxa" w:w="188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58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21,063 </w:t>
            </w:r>
          </w:p>
        </w:tc>
      </w:tr>
      <w:tr>
        <w:trPr>
          <w:trHeight w:hRule="exact" w:val="220"/>
        </w:trPr>
        <w:tc>
          <w:tcPr>
            <w:tcW w:type="dxa" w:w="514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Total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a</w:t>
            </w:r>
          </w:p>
        </w:tc>
        <w:tc>
          <w:tcPr>
            <w:tcW w:type="dxa" w:w="3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6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47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46,424 </w:t>
            </w:r>
          </w:p>
        </w:tc>
        <w:tc>
          <w:tcPr>
            <w:tcW w:type="dxa" w:w="6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58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47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34,176 </w:t>
            </w:r>
          </w:p>
        </w:tc>
      </w:tr>
    </w:tbl>
    <w:p>
      <w:pPr>
        <w:autoSpaceDN w:val="0"/>
        <w:tabs>
          <w:tab w:pos="212" w:val="left"/>
        </w:tabs>
        <w:autoSpaceDE w:val="0"/>
        <w:widowControl/>
        <w:spacing w:line="160" w:lineRule="exact" w:before="306" w:after="0"/>
        <w:ind w:left="62" w:right="144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a. As of June 30, 2024, total includes net unamortized discount of $1,482 million ($1,554 million—June 30, 2023) for CPL and $18 </w:t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 xml:space="preserve">million ($55 million—June 30, 2023) for market borrowings at amortized cost. </w:t>
      </w:r>
    </w:p>
    <w:p>
      <w:pPr>
        <w:autoSpaceDN w:val="0"/>
        <w:tabs>
          <w:tab w:pos="62" w:val="left"/>
          <w:tab w:pos="6424" w:val="left"/>
        </w:tabs>
        <w:autoSpaceDE w:val="0"/>
        <w:widowControl/>
        <w:spacing w:line="310" w:lineRule="exact" w:before="120" w:after="2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following table provides information on the unrealized mark-to-market gains or losses on market borrowings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recorded at fair value included in the Statements of Income: </w:t>
      </w:r>
      <w:r>
        <w:br/>
      </w:r>
      <w:r>
        <w:rPr>
          <w:rFonts w:ascii="TimesNewRoman" w:hAnsi="TimesNewRoman" w:eastAsia="TimesNewRoman"/>
          <w:b/>
          <w:i w:val="0"/>
          <w:color w:val="000000"/>
          <w:sz w:val="20"/>
        </w:rPr>
        <w:t xml:space="preserve">Table E7: Unrealized mark-to-market gains or losses relating to market borrowings recorded at fair value </w:t>
      </w:r>
      <w:r>
        <w:rPr>
          <w:rFonts w:ascii="Arial" w:hAnsi="Arial" w:eastAsia="Arial"/>
          <w:b w:val="0"/>
          <w:i/>
          <w:color w:val="000000"/>
          <w:sz w:val="16"/>
        </w:rPr>
        <w:t xml:space="preserve">In millions of U.S. dollars </w:t>
      </w:r>
      <w:r>
        <w:br/>
      </w:r>
      <w:r>
        <w:tab/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>Fiscal Year Ended June 30,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80"/>
        <w:gridCol w:w="1180"/>
        <w:gridCol w:w="1180"/>
        <w:gridCol w:w="1180"/>
        <w:gridCol w:w="1180"/>
        <w:gridCol w:w="1180"/>
        <w:gridCol w:w="1180"/>
        <w:gridCol w:w="1180"/>
      </w:tblGrid>
      <w:tr>
        <w:trPr>
          <w:trHeight w:hRule="exact" w:val="240"/>
        </w:trPr>
        <w:tc>
          <w:tcPr>
            <w:tcW w:type="dxa" w:w="543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Reported as</w:t>
            </w:r>
          </w:p>
        </w:tc>
        <w:tc>
          <w:tcPr>
            <w:tcW w:type="dxa" w:w="3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3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2024</w:t>
            </w:r>
          </w:p>
        </w:tc>
        <w:tc>
          <w:tcPr>
            <w:tcW w:type="dxa" w:w="4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3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2023</w:t>
            </w:r>
          </w:p>
        </w:tc>
        <w:tc>
          <w:tcPr>
            <w:tcW w:type="dxa" w:w="4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2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2022</w:t>
            </w:r>
          </w:p>
        </w:tc>
      </w:tr>
      <w:tr>
        <w:trPr>
          <w:trHeight w:hRule="exact" w:val="646"/>
        </w:trPr>
        <w:tc>
          <w:tcPr>
            <w:tcW w:type="dxa" w:w="543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Unrealized mark-to-market (losses) gains on non-trading portfolios, net</w:t>
            </w:r>
          </w:p>
        </w:tc>
        <w:tc>
          <w:tcPr>
            <w:tcW w:type="dxa" w:w="3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2" w:after="0"/>
              <w:ind w:left="1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(689) </w:t>
            </w:r>
          </w:p>
        </w:tc>
        <w:tc>
          <w:tcPr>
            <w:tcW w:type="dxa" w:w="4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2" w:after="0"/>
              <w:ind w:left="0" w:right="1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573 </w:t>
            </w:r>
          </w:p>
        </w:tc>
        <w:tc>
          <w:tcPr>
            <w:tcW w:type="dxa" w:w="4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2" w:after="0"/>
              <w:ind w:left="0" w:right="1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2" w:after="0"/>
              <w:ind w:left="12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1,713 </w:t>
            </w:r>
          </w:p>
        </w:tc>
      </w:tr>
      <w:tr>
        <w:trPr>
          <w:trHeight w:hRule="exact" w:val="5154"/>
        </w:trPr>
        <w:tc>
          <w:tcPr>
            <w:tcW w:type="dxa" w:w="57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494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102</w:t>
            </w:r>
          </w:p>
        </w:tc>
        <w:tc>
          <w:tcPr>
            <w:tcW w:type="dxa" w:w="48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4940" w:after="0"/>
              <w:ind w:left="19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IDA Financial Statements: June 30, 2024</w:t>
            </w:r>
          </w:p>
        </w:tc>
        <w:tc>
          <w:tcPr>
            <w:tcW w:type="dxa" w:w="3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2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5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1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00" w:right="1370" w:bottom="2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2"/>
        <w:ind w:left="0" w:right="0"/>
      </w:pPr>
    </w:p>
    <w:p>
      <w:pPr>
        <w:autoSpaceDN w:val="0"/>
        <w:autoSpaceDE w:val="0"/>
        <w:widowControl/>
        <w:spacing w:line="224" w:lineRule="exact" w:before="0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NOTE F—DERIVATIVE INSTRUMENTS</w:t>
      </w:r>
    </w:p>
    <w:p>
      <w:pPr>
        <w:autoSpaceDN w:val="0"/>
        <w:autoSpaceDE w:val="0"/>
        <w:widowControl/>
        <w:spacing w:line="240" w:lineRule="exact" w:before="114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uses derivative instruments in its investment, loan and borrowing portfolios, for asset/liability management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purposes, and to assist clients in managing risks. </w:t>
      </w:r>
    </w:p>
    <w:p>
      <w:pPr>
        <w:autoSpaceDN w:val="0"/>
        <w:autoSpaceDE w:val="0"/>
        <w:widowControl/>
        <w:spacing w:line="222" w:lineRule="exact" w:before="138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following table summarizes IDA’s use of derivatives in its various financial portfolios.</w:t>
      </w:r>
    </w:p>
    <w:p>
      <w:pPr>
        <w:autoSpaceDN w:val="0"/>
        <w:autoSpaceDE w:val="0"/>
        <w:widowControl/>
        <w:spacing w:line="220" w:lineRule="exact" w:before="136" w:after="112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F1: Use of derivatives in various financial portfolios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47"/>
        <w:gridCol w:w="3147"/>
        <w:gridCol w:w="3147"/>
      </w:tblGrid>
      <w:tr>
        <w:trPr>
          <w:trHeight w:hRule="exact" w:val="240"/>
        </w:trPr>
        <w:tc>
          <w:tcPr>
            <w:tcW w:type="dxa" w:w="15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Portfolio</w:t>
            </w:r>
          </w:p>
        </w:tc>
        <w:tc>
          <w:tcPr>
            <w:tcW w:type="dxa" w:w="37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Derivative instruments used</w:t>
            </w:r>
          </w:p>
        </w:tc>
        <w:tc>
          <w:tcPr>
            <w:tcW w:type="dxa" w:w="388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Purpose/Risk being managed</w:t>
            </w:r>
          </w:p>
        </w:tc>
      </w:tr>
    </w:tbl>
    <w:p>
      <w:pPr>
        <w:autoSpaceDN w:val="0"/>
        <w:autoSpaceDE w:val="0"/>
        <w:widowControl/>
        <w:spacing w:line="178" w:lineRule="exact" w:before="18" w:after="0"/>
        <w:ind w:left="6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Risk management purposes:</w:t>
      </w:r>
    </w:p>
    <w:p>
      <w:pPr>
        <w:autoSpaceDN w:val="0"/>
        <w:autoSpaceDE w:val="0"/>
        <w:widowControl/>
        <w:spacing w:line="178" w:lineRule="exact" w:before="58" w:after="6"/>
        <w:ind w:left="234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Interest rate swaps, currency forward contracts,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0.0" w:type="dxa"/>
      </w:tblPr>
      <w:tblGrid>
        <w:gridCol w:w="3147"/>
        <w:gridCol w:w="3147"/>
        <w:gridCol w:w="3147"/>
      </w:tblGrid>
      <w:tr>
        <w:trPr>
          <w:trHeight w:hRule="exact" w:val="194"/>
        </w:trPr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1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Investments—Trading</w:t>
            </w:r>
          </w:p>
        </w:tc>
        <w:tc>
          <w:tcPr>
            <w:tcW w:type="dxa" w:w="3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currency swaps, options, swaptions, futures </w:t>
            </w:r>
          </w:p>
        </w:tc>
        <w:tc>
          <w:tcPr>
            <w:tcW w:type="dxa" w:w="3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Manage currency and interest rate risks</w:t>
            </w:r>
          </w:p>
        </w:tc>
      </w:tr>
    </w:tbl>
    <w:p>
      <w:pPr>
        <w:autoSpaceDN w:val="0"/>
        <w:autoSpaceDE w:val="0"/>
        <w:widowControl/>
        <w:spacing w:line="178" w:lineRule="exact" w:before="6" w:after="30"/>
        <w:ind w:left="0" w:right="4934" w:firstLine="0"/>
        <w:jc w:val="right"/>
      </w:pPr>
      <w:r>
        <w:rPr>
          <w:rFonts w:ascii="ArialMT" w:hAnsi="ArialMT" w:eastAsia="ArialMT"/>
          <w:b w:val="0"/>
          <w:i w:val="0"/>
          <w:color w:val="000000"/>
          <w:sz w:val="16"/>
        </w:rPr>
        <w:t>contracts, and TBA securities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0.0" w:type="dxa"/>
      </w:tblPr>
      <w:tblGrid>
        <w:gridCol w:w="3147"/>
        <w:gridCol w:w="3147"/>
        <w:gridCol w:w="3147"/>
      </w:tblGrid>
      <w:tr>
        <w:trPr>
          <w:trHeight w:hRule="exact" w:val="204"/>
        </w:trPr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4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Other assets/liabilities </w:t>
            </w:r>
          </w:p>
        </w:tc>
        <w:tc>
          <w:tcPr>
            <w:tcW w:type="dxa" w:w="3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4" w:after="0"/>
              <w:ind w:left="25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Currency forward contracts, currency swaps and </w:t>
            </w:r>
          </w:p>
        </w:tc>
        <w:tc>
          <w:tcPr>
            <w:tcW w:type="dxa" w:w="3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Manage currency and interest rate risks</w:t>
            </w:r>
          </w:p>
        </w:tc>
      </w:tr>
      <w:tr>
        <w:trPr>
          <w:trHeight w:hRule="exact" w:val="220"/>
        </w:trPr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management</w:t>
            </w:r>
          </w:p>
        </w:tc>
        <w:tc>
          <w:tcPr>
            <w:tcW w:type="dxa" w:w="3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34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interest rate swaps</w:t>
            </w:r>
          </w:p>
        </w:tc>
        <w:tc>
          <w:tcPr>
            <w:tcW w:type="dxa" w:w="3147"/>
            <w:vMerge/>
            <w:tcBorders/>
          </w:tcPr>
          <w:p/>
        </w:tc>
      </w:tr>
      <w:tr>
        <w:trPr>
          <w:trHeight w:hRule="exact" w:val="280"/>
        </w:trPr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1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Loans</w:t>
            </w:r>
          </w:p>
        </w:tc>
        <w:tc>
          <w:tcPr>
            <w:tcW w:type="dxa" w:w="3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25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Interest rate swaps</w:t>
            </w:r>
          </w:p>
        </w:tc>
        <w:tc>
          <w:tcPr>
            <w:tcW w:type="dxa" w:w="3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0" w:after="0"/>
              <w:ind w:left="15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Manage interest rate risk</w:t>
            </w:r>
          </w:p>
        </w:tc>
      </w:tr>
      <w:tr>
        <w:trPr>
          <w:trHeight w:hRule="exact" w:val="252"/>
        </w:trPr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1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Borrowings</w:t>
            </w:r>
          </w:p>
        </w:tc>
        <w:tc>
          <w:tcPr>
            <w:tcW w:type="dxa" w:w="3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25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Interest rate swaps and currency swaps</w:t>
            </w:r>
          </w:p>
        </w:tc>
        <w:tc>
          <w:tcPr>
            <w:tcW w:type="dxa" w:w="3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Manage currency and interest rate risks</w:t>
            </w:r>
          </w:p>
        </w:tc>
      </w:tr>
    </w:tbl>
    <w:p>
      <w:pPr>
        <w:autoSpaceDN w:val="0"/>
        <w:autoSpaceDE w:val="0"/>
        <w:widowControl/>
        <w:spacing w:line="180" w:lineRule="exact" w:before="30" w:after="30"/>
        <w:ind w:left="6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Other purposes: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47"/>
        <w:gridCol w:w="3147"/>
        <w:gridCol w:w="3147"/>
      </w:tblGrid>
      <w:tr>
        <w:trPr>
          <w:trHeight w:hRule="exact" w:val="362"/>
        </w:trPr>
        <w:tc>
          <w:tcPr>
            <w:tcW w:type="dxa" w:w="18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23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Client operations</w:t>
            </w:r>
          </w:p>
        </w:tc>
        <w:tc>
          <w:tcPr>
            <w:tcW w:type="dxa" w:w="37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Interest rate swaps and currency swaps</w:t>
            </w:r>
          </w:p>
        </w:tc>
        <w:tc>
          <w:tcPr>
            <w:tcW w:type="dxa" w:w="352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49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Assist clients in managing risks</w:t>
            </w:r>
          </w:p>
        </w:tc>
      </w:tr>
    </w:tbl>
    <w:p>
      <w:pPr>
        <w:autoSpaceDN w:val="0"/>
        <w:autoSpaceDE w:val="0"/>
        <w:widowControl/>
        <w:spacing w:line="240" w:lineRule="exact" w:before="162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derivatives in the related tables of Note F are presented on a net basis by instrument. A reconciliation to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Balance Sheet presentation is shown in Table F2.</w:t>
      </w:r>
    </w:p>
    <w:p>
      <w:pPr>
        <w:autoSpaceDN w:val="0"/>
        <w:autoSpaceDE w:val="0"/>
        <w:widowControl/>
        <w:spacing w:line="244" w:lineRule="exact" w:before="132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Offsetting assets and liabilities</w:t>
      </w:r>
    </w:p>
    <w:p>
      <w:pPr>
        <w:autoSpaceDN w:val="0"/>
        <w:autoSpaceDE w:val="0"/>
        <w:widowControl/>
        <w:spacing w:line="240" w:lineRule="exact" w:before="128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enters into International Swaps and Derivatives Association, Inc. (ISDA) master netting agreements with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substantially all of its derivative counterparties. These legally enforceable master netting agreements give IDA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right to liquidate securities held as collateral and to offset receivables and payables with the same counterparty,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event of default by the counterparty. </w:t>
      </w:r>
    </w:p>
    <w:p>
      <w:pPr>
        <w:autoSpaceDN w:val="0"/>
        <w:autoSpaceDE w:val="0"/>
        <w:widowControl/>
        <w:spacing w:line="240" w:lineRule="exact" w:before="120" w:after="0"/>
        <w:ind w:left="10" w:right="144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following tables summarize the gross and net derivative positions by instrument type. Instruments that are in 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net asset position are included in the Derivative Assets columns and instruments that are in a net liability position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are included in the Derivative Liabilities columns. The effects of the master netting agreements are applied on an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aggregate basis to the total derivative asset and liability positions and are presented net of any cash collateral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received on the Balance Sheets. The net derivative asset positions in the tables below have been further reduced by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any securities received as collateral to disclose IDA’s net exposure on its derivative asset positions. </w:t>
      </w:r>
    </w:p>
    <w:p>
      <w:pPr>
        <w:autoSpaceDN w:val="0"/>
        <w:tabs>
          <w:tab w:pos="8984" w:val="left"/>
        </w:tabs>
        <w:autoSpaceDE w:val="0"/>
        <w:widowControl/>
        <w:spacing w:line="224" w:lineRule="exact" w:before="5836" w:after="0"/>
        <w:ind w:left="499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Financial Statements: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103</w:t>
      </w:r>
    </w:p>
    <w:p>
      <w:pPr>
        <w:sectPr>
          <w:pgSz w:w="12240" w:h="15840"/>
          <w:pgMar w:top="702" w:right="1370" w:bottom="2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78"/>
        <w:ind w:left="0" w:right="0"/>
      </w:pPr>
    </w:p>
    <w:p>
      <w:pPr>
        <w:autoSpaceDN w:val="0"/>
        <w:autoSpaceDE w:val="0"/>
        <w:widowControl/>
        <w:spacing w:line="220" w:lineRule="exact" w:before="0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F2: Derivatives assets and liabilities before and after netting adjustments</w:t>
      </w:r>
    </w:p>
    <w:p>
      <w:pPr>
        <w:autoSpaceDN w:val="0"/>
        <w:autoSpaceDE w:val="0"/>
        <w:widowControl/>
        <w:spacing w:line="178" w:lineRule="exact" w:before="94" w:after="2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240"/>
        </w:trPr>
        <w:tc>
          <w:tcPr>
            <w:tcW w:type="dxa" w:w="49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34"/>
            <w:gridSpan w:val="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2024</w:t>
            </w:r>
          </w:p>
        </w:tc>
        <w:tc>
          <w:tcPr>
            <w:tcW w:type="dxa" w:w="2220"/>
            <w:gridSpan w:val="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560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2023</w:t>
            </w:r>
          </w:p>
        </w:tc>
      </w:tr>
      <w:tr>
        <w:trPr>
          <w:trHeight w:hRule="exact" w:val="220"/>
        </w:trPr>
        <w:tc>
          <w:tcPr>
            <w:tcW w:type="dxa" w:w="492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70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Derivative </w:t>
            </w:r>
          </w:p>
        </w:tc>
        <w:tc>
          <w:tcPr>
            <w:tcW w:type="dxa" w:w="1064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4" w:after="0"/>
              <w:ind w:left="19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Derivative </w:t>
            </w:r>
          </w:p>
        </w:tc>
        <w:tc>
          <w:tcPr>
            <w:tcW w:type="dxa" w:w="1156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4" w:after="0"/>
              <w:ind w:left="24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Derivative </w:t>
            </w:r>
          </w:p>
        </w:tc>
        <w:tc>
          <w:tcPr>
            <w:tcW w:type="dxa" w:w="1064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4" w:after="0"/>
              <w:ind w:left="19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Derivative </w:t>
            </w:r>
          </w:p>
        </w:tc>
      </w:tr>
      <w:tr>
        <w:trPr>
          <w:trHeight w:hRule="exact" w:val="214"/>
        </w:trPr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7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Assets</w:t>
            </w:r>
          </w:p>
        </w:tc>
        <w:tc>
          <w:tcPr>
            <w:tcW w:type="dxa" w:w="1064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Liabilities</w:t>
            </w:r>
          </w:p>
        </w:tc>
        <w:tc>
          <w:tcPr>
            <w:tcW w:type="dxa" w:w="1156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Assets</w:t>
            </w:r>
          </w:p>
        </w:tc>
        <w:tc>
          <w:tcPr>
            <w:tcW w:type="dxa" w:w="1064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Liabilities</w:t>
            </w:r>
          </w:p>
        </w:tc>
      </w:tr>
      <w:tr>
        <w:trPr>
          <w:trHeight w:hRule="exact" w:val="226"/>
        </w:trPr>
        <w:tc>
          <w:tcPr>
            <w:tcW w:type="dxa" w:w="49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Interest rate swaps</w:t>
            </w:r>
          </w:p>
        </w:tc>
        <w:tc>
          <w:tcPr>
            <w:tcW w:type="dxa" w:w="37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7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2,250 </w:t>
            </w:r>
          </w:p>
        </w:tc>
        <w:tc>
          <w:tcPr>
            <w:tcW w:type="dxa" w:w="412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52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1,694 </w:t>
            </w:r>
          </w:p>
        </w:tc>
        <w:tc>
          <w:tcPr>
            <w:tcW w:type="dxa" w:w="45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7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1,831 </w:t>
            </w:r>
          </w:p>
        </w:tc>
        <w:tc>
          <w:tcPr>
            <w:tcW w:type="dxa" w:w="412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52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2,143 </w:t>
            </w:r>
          </w:p>
        </w:tc>
      </w:tr>
      <w:tr>
        <w:trPr>
          <w:trHeight w:hRule="exact" w:val="240"/>
        </w:trPr>
        <w:tc>
          <w:tcPr>
            <w:tcW w:type="dxa" w:w="4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Currency swaps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a</w:t>
            </w:r>
          </w:p>
        </w:tc>
        <w:tc>
          <w:tcPr>
            <w:tcW w:type="dxa" w:w="10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7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767 </w:t>
            </w:r>
          </w:p>
        </w:tc>
        <w:tc>
          <w:tcPr>
            <w:tcW w:type="dxa" w:w="10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665 </w:t>
            </w:r>
          </w:p>
        </w:tc>
        <w:tc>
          <w:tcPr>
            <w:tcW w:type="dxa" w:w="115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7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856 </w:t>
            </w:r>
          </w:p>
        </w:tc>
        <w:tc>
          <w:tcPr>
            <w:tcW w:type="dxa" w:w="10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910 </w:t>
            </w:r>
          </w:p>
        </w:tc>
      </w:tr>
      <w:tr>
        <w:trPr>
          <w:trHeight w:hRule="exact" w:val="254"/>
        </w:trPr>
        <w:tc>
          <w:tcPr>
            <w:tcW w:type="dxa" w:w="49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Other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b</w:t>
            </w:r>
          </w:p>
        </w:tc>
        <w:tc>
          <w:tcPr>
            <w:tcW w:type="dxa" w:w="107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7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 </w:t>
            </w:r>
          </w:p>
        </w:tc>
        <w:tc>
          <w:tcPr>
            <w:tcW w:type="dxa" w:w="1064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156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7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64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</w:tr>
      <w:tr>
        <w:trPr>
          <w:trHeight w:hRule="exact" w:val="240"/>
        </w:trPr>
        <w:tc>
          <w:tcPr>
            <w:tcW w:type="dxa" w:w="49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Gross Total</w:t>
            </w:r>
          </w:p>
        </w:tc>
        <w:tc>
          <w:tcPr>
            <w:tcW w:type="dxa" w:w="3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7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3,020 </w:t>
            </w:r>
          </w:p>
        </w:tc>
        <w:tc>
          <w:tcPr>
            <w:tcW w:type="dxa" w:w="41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5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2,359 </w:t>
            </w:r>
          </w:p>
        </w:tc>
        <w:tc>
          <w:tcPr>
            <w:tcW w:type="dxa" w:w="4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7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2,687 </w:t>
            </w:r>
          </w:p>
        </w:tc>
        <w:tc>
          <w:tcPr>
            <w:tcW w:type="dxa" w:w="41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5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3,053 </w:t>
            </w:r>
          </w:p>
        </w:tc>
      </w:tr>
    </w:tbl>
    <w:p>
      <w:pPr>
        <w:autoSpaceDN w:val="0"/>
        <w:autoSpaceDE w:val="0"/>
        <w:widowControl/>
        <w:spacing w:line="180" w:lineRule="exact" w:before="22" w:after="32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Less: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202"/>
        </w:trPr>
        <w:tc>
          <w:tcPr>
            <w:tcW w:type="dxa" w:w="4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Amounts subject to legally enforceable master netting </w:t>
            </w:r>
          </w:p>
        </w:tc>
        <w:tc>
          <w:tcPr>
            <w:tcW w:type="dxa" w:w="37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2" w:after="0"/>
              <w:ind w:left="17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1,764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c</w:t>
            </w:r>
          </w:p>
        </w:tc>
        <w:tc>
          <w:tcPr>
            <w:tcW w:type="dxa" w:w="36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75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2" w:after="0"/>
              <w:ind w:left="0" w:right="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1,692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d</w:t>
            </w:r>
          </w:p>
        </w:tc>
        <w:tc>
          <w:tcPr>
            <w:tcW w:type="dxa" w:w="37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2" w:after="0"/>
              <w:ind w:left="17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1,884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c</w:t>
            </w:r>
          </w:p>
        </w:tc>
        <w:tc>
          <w:tcPr>
            <w:tcW w:type="dxa" w:w="36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76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2" w:after="0"/>
              <w:ind w:left="18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1,809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d</w:t>
            </w:r>
          </w:p>
        </w:tc>
      </w:tr>
      <w:tr>
        <w:trPr>
          <w:trHeight w:hRule="exact" w:val="220"/>
        </w:trPr>
        <w:tc>
          <w:tcPr>
            <w:tcW w:type="dxa" w:w="48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3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agreements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1049"/>
            <w:vMerge/>
            <w:tcBorders/>
          </w:tcPr>
          <w:p/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1049"/>
            <w:vMerge/>
            <w:tcBorders/>
          </w:tcPr>
          <w:p/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</w:tr>
      <w:tr>
        <w:trPr>
          <w:trHeight w:hRule="exact" w:val="250"/>
        </w:trPr>
        <w:tc>
          <w:tcPr>
            <w:tcW w:type="dxa" w:w="48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1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Cash collateral received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7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1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893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7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1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439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</w:tr>
      <w:tr>
        <w:trPr>
          <w:trHeight w:hRule="exact" w:val="231"/>
        </w:trPr>
        <w:tc>
          <w:tcPr>
            <w:tcW w:type="dxa" w:w="48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3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Net derivative positions on the Balance Sheet</w:t>
            </w:r>
          </w:p>
        </w:tc>
        <w:tc>
          <w:tcPr>
            <w:tcW w:type="dxa" w:w="37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363 </w:t>
            </w:r>
          </w:p>
        </w:tc>
        <w:tc>
          <w:tcPr>
            <w:tcW w:type="dxa" w:w="3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667 </w:t>
            </w:r>
          </w:p>
        </w:tc>
        <w:tc>
          <w:tcPr>
            <w:tcW w:type="dxa" w:w="37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364 </w:t>
            </w:r>
          </w:p>
        </w:tc>
        <w:tc>
          <w:tcPr>
            <w:tcW w:type="dxa" w:w="3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1,244 </w:t>
            </w:r>
          </w:p>
        </w:tc>
      </w:tr>
    </w:tbl>
    <w:p>
      <w:pPr>
        <w:autoSpaceDN w:val="0"/>
        <w:autoSpaceDE w:val="0"/>
        <w:widowControl/>
        <w:spacing w:line="178" w:lineRule="exact" w:before="40" w:after="32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Less: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88"/>
        <w:gridCol w:w="1888"/>
        <w:gridCol w:w="1888"/>
        <w:gridCol w:w="1888"/>
        <w:gridCol w:w="1888"/>
      </w:tblGrid>
      <w:tr>
        <w:trPr>
          <w:trHeight w:hRule="exact" w:val="238"/>
        </w:trPr>
        <w:tc>
          <w:tcPr>
            <w:tcW w:type="dxa" w:w="49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13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Securities collateral received </w:t>
            </w:r>
          </w:p>
        </w:tc>
        <w:tc>
          <w:tcPr>
            <w:tcW w:type="dxa" w:w="4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3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9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104 </w:t>
            </w:r>
          </w:p>
        </w:tc>
      </w:tr>
      <w:tr>
        <w:trPr>
          <w:trHeight w:hRule="exact" w:val="220"/>
        </w:trPr>
        <w:tc>
          <w:tcPr>
            <w:tcW w:type="dxa" w:w="49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Net derivative exposure after collateral</w:t>
            </w:r>
          </w:p>
        </w:tc>
        <w:tc>
          <w:tcPr>
            <w:tcW w:type="dxa" w:w="4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7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25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363 </w:t>
            </w:r>
          </w:p>
        </w:tc>
        <w:tc>
          <w:tcPr>
            <w:tcW w:type="dxa" w:w="4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260 </w:t>
            </w:r>
          </w:p>
        </w:tc>
      </w:tr>
    </w:tbl>
    <w:p>
      <w:pPr>
        <w:autoSpaceDN w:val="0"/>
        <w:autoSpaceDE w:val="0"/>
        <w:widowControl/>
        <w:spacing w:line="180" w:lineRule="exact" w:before="156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a. Includes currency forward contracts.</w:t>
      </w:r>
    </w:p>
    <w:p>
      <w:pPr>
        <w:autoSpaceDN w:val="0"/>
        <w:autoSpaceDE w:val="0"/>
        <w:widowControl/>
        <w:spacing w:line="180" w:lineRule="exact" w:before="60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b. These include swaptions, exchange traded options, futures contracts and TBA securities.</w:t>
      </w:r>
    </w:p>
    <w:p>
      <w:pPr>
        <w:autoSpaceDN w:val="0"/>
        <w:autoSpaceDE w:val="0"/>
        <w:widowControl/>
        <w:spacing w:line="180" w:lineRule="exact" w:before="60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c. Includes $92 million Credit Valuation Adjustment (CVA) ($102 million-June 30, 2023).</w:t>
      </w:r>
    </w:p>
    <w:p>
      <w:pPr>
        <w:autoSpaceDN w:val="0"/>
        <w:autoSpaceDE w:val="0"/>
        <w:widowControl/>
        <w:spacing w:line="180" w:lineRule="exact" w:before="60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d. Includes $20 million Debit Valuation Adjustment (DVA) ($27 million-June 30, 2023).</w:t>
      </w:r>
    </w:p>
    <w:p>
      <w:pPr>
        <w:autoSpaceDN w:val="0"/>
        <w:autoSpaceDE w:val="0"/>
        <w:widowControl/>
        <w:spacing w:line="240" w:lineRule="exact" w:before="37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following table provides information about the credit risk exposures at fair value, at the instrument level,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IDA’s derivative instruments. </w:t>
      </w:r>
    </w:p>
    <w:p>
      <w:pPr>
        <w:autoSpaceDN w:val="0"/>
        <w:autoSpaceDE w:val="0"/>
        <w:widowControl/>
        <w:spacing w:line="222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F3: Credit risk exposure of the derivative instruments</w:t>
      </w:r>
    </w:p>
    <w:p>
      <w:pPr>
        <w:autoSpaceDN w:val="0"/>
        <w:tabs>
          <w:tab w:pos="6300" w:val="left"/>
          <w:tab w:pos="6322" w:val="left"/>
        </w:tabs>
        <w:autoSpaceDE w:val="0"/>
        <w:widowControl/>
        <w:spacing w:line="244" w:lineRule="exact" w:before="90" w:after="8"/>
        <w:ind w:left="62" w:right="1872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In millions of U.S. dollars </w:t>
      </w:r>
      <w:r>
        <w:br/>
      </w:r>
      <w:r>
        <w:tab/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 xml:space="preserve">June 30, 2024 </w:t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 xml:space="preserve">Currency swaps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210.0" w:type="dxa"/>
      </w:tblPr>
      <w:tblGrid>
        <w:gridCol w:w="3146"/>
        <w:gridCol w:w="3146"/>
        <w:gridCol w:w="3146"/>
      </w:tblGrid>
      <w:tr>
        <w:trPr>
          <w:trHeight w:hRule="exact" w:val="190"/>
        </w:trPr>
        <w:tc>
          <w:tcPr>
            <w:tcW w:type="dxa" w:w="3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190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Interest rate swaps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21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(including currency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Total</w:t>
            </w:r>
          </w:p>
        </w:tc>
      </w:tr>
    </w:tbl>
    <w:p>
      <w:pPr>
        <w:autoSpaceDN w:val="0"/>
        <w:autoSpaceDE w:val="0"/>
        <w:widowControl/>
        <w:spacing w:line="178" w:lineRule="exact" w:before="8" w:after="34"/>
        <w:ind w:left="0" w:right="1926" w:firstLine="0"/>
        <w:jc w:val="right"/>
      </w:pPr>
      <w:r>
        <w:rPr>
          <w:rFonts w:ascii="Arial" w:hAnsi="Arial" w:eastAsia="Arial"/>
          <w:b w:val="0"/>
          <w:i/>
          <w:color w:val="000000"/>
          <w:sz w:val="16"/>
        </w:rPr>
        <w:t>forward contracts)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48"/>
        <w:gridCol w:w="1348"/>
        <w:gridCol w:w="1348"/>
        <w:gridCol w:w="1348"/>
        <w:gridCol w:w="1348"/>
        <w:gridCol w:w="1348"/>
        <w:gridCol w:w="1348"/>
      </w:tblGrid>
      <w:tr>
        <w:trPr>
          <w:trHeight w:hRule="exact" w:val="240"/>
        </w:trPr>
        <w:tc>
          <w:tcPr>
            <w:tcW w:type="dxa" w:w="430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Investments - Trading</w:t>
            </w:r>
          </w:p>
        </w:tc>
        <w:tc>
          <w:tcPr>
            <w:tcW w:type="dxa" w:w="56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7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 </w:t>
            </w:r>
          </w:p>
        </w:tc>
        <w:tc>
          <w:tcPr>
            <w:tcW w:type="dxa" w:w="74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3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232 </w:t>
            </w:r>
          </w:p>
        </w:tc>
        <w:tc>
          <w:tcPr>
            <w:tcW w:type="dxa" w:w="56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4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234 </w:t>
            </w:r>
          </w:p>
        </w:tc>
      </w:tr>
      <w:tr>
        <w:trPr>
          <w:trHeight w:hRule="exact" w:val="240"/>
        </w:trPr>
        <w:tc>
          <w:tcPr>
            <w:tcW w:type="dxa" w:w="43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Asset/liability management</w:t>
            </w:r>
          </w:p>
        </w:tc>
        <w:tc>
          <w:tcPr>
            <w:tcW w:type="dxa" w:w="134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2,063 </w:t>
            </w:r>
          </w:p>
        </w:tc>
        <w:tc>
          <w:tcPr>
            <w:tcW w:type="dxa" w:w="134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519 </w:t>
            </w:r>
          </w:p>
        </w:tc>
        <w:tc>
          <w:tcPr>
            <w:tcW w:type="dxa" w:w="134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22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2,582 </w:t>
            </w:r>
          </w:p>
        </w:tc>
      </w:tr>
      <w:tr>
        <w:trPr>
          <w:trHeight w:hRule="exact" w:val="220"/>
        </w:trPr>
        <w:tc>
          <w:tcPr>
            <w:tcW w:type="dxa" w:w="43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Borrowings</w:t>
            </w:r>
          </w:p>
        </w:tc>
        <w:tc>
          <w:tcPr>
            <w:tcW w:type="dxa" w:w="134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74 </w:t>
            </w:r>
          </w:p>
        </w:tc>
        <w:tc>
          <w:tcPr>
            <w:tcW w:type="dxa" w:w="134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15 </w:t>
            </w:r>
          </w:p>
        </w:tc>
        <w:tc>
          <w:tcPr>
            <w:tcW w:type="dxa" w:w="134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89 </w:t>
            </w:r>
          </w:p>
        </w:tc>
      </w:tr>
      <w:tr>
        <w:trPr>
          <w:trHeight w:hRule="exact" w:val="260"/>
        </w:trPr>
        <w:tc>
          <w:tcPr>
            <w:tcW w:type="dxa" w:w="430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Other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a</w:t>
            </w:r>
          </w:p>
        </w:tc>
        <w:tc>
          <w:tcPr>
            <w:tcW w:type="dxa" w:w="134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7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111 </w:t>
            </w:r>
          </w:p>
        </w:tc>
        <w:tc>
          <w:tcPr>
            <w:tcW w:type="dxa" w:w="134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3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0" w:right="2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 </w:t>
            </w:r>
          </w:p>
        </w:tc>
        <w:tc>
          <w:tcPr>
            <w:tcW w:type="dxa" w:w="134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1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0" w:right="4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112 </w:t>
            </w:r>
          </w:p>
        </w:tc>
      </w:tr>
      <w:tr>
        <w:trPr>
          <w:trHeight w:hRule="exact" w:val="220"/>
        </w:trPr>
        <w:tc>
          <w:tcPr>
            <w:tcW w:type="dxa" w:w="430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5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Total Exposure</w:t>
            </w:r>
          </w:p>
        </w:tc>
        <w:tc>
          <w:tcPr>
            <w:tcW w:type="dxa" w:w="5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2,250 </w:t>
            </w:r>
          </w:p>
        </w:tc>
        <w:tc>
          <w:tcPr>
            <w:tcW w:type="dxa" w:w="7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9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767 </w:t>
            </w:r>
          </w:p>
        </w:tc>
        <w:tc>
          <w:tcPr>
            <w:tcW w:type="dxa" w:w="5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22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3,017 </w:t>
            </w:r>
          </w:p>
        </w:tc>
      </w:tr>
    </w:tbl>
    <w:p>
      <w:pPr>
        <w:autoSpaceDN w:val="0"/>
        <w:tabs>
          <w:tab w:pos="6300" w:val="left"/>
          <w:tab w:pos="6322" w:val="left"/>
        </w:tabs>
        <w:autoSpaceDE w:val="0"/>
        <w:widowControl/>
        <w:spacing w:line="242" w:lineRule="exact" w:before="488" w:after="6"/>
        <w:ind w:left="62" w:right="1872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 xml:space="preserve">Table F3.1 </w:t>
      </w:r>
      <w:r>
        <w:br/>
      </w:r>
      <w:r>
        <w:rPr>
          <w:rFonts w:ascii="Arial" w:hAnsi="Arial" w:eastAsia="Arial"/>
          <w:b w:val="0"/>
          <w:i/>
          <w:color w:val="000000"/>
          <w:sz w:val="16"/>
        </w:rPr>
        <w:t xml:space="preserve">In millions of U.S. dollars </w:t>
      </w:r>
      <w:r>
        <w:br/>
      </w:r>
      <w:r>
        <w:tab/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 xml:space="preserve">June 30, 2023 </w:t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 xml:space="preserve">Currency swaps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210.0" w:type="dxa"/>
      </w:tblPr>
      <w:tblGrid>
        <w:gridCol w:w="3146"/>
        <w:gridCol w:w="3146"/>
        <w:gridCol w:w="3146"/>
      </w:tblGrid>
      <w:tr>
        <w:trPr>
          <w:trHeight w:hRule="exact" w:val="192"/>
        </w:trPr>
        <w:tc>
          <w:tcPr>
            <w:tcW w:type="dxa" w:w="3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190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Interest rate swaps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21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(including currency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Total</w:t>
            </w:r>
          </w:p>
        </w:tc>
      </w:tr>
    </w:tbl>
    <w:p>
      <w:pPr>
        <w:autoSpaceDN w:val="0"/>
        <w:autoSpaceDE w:val="0"/>
        <w:widowControl/>
        <w:spacing w:line="180" w:lineRule="exact" w:before="6" w:after="32"/>
        <w:ind w:left="0" w:right="1926" w:firstLine="0"/>
        <w:jc w:val="right"/>
      </w:pPr>
      <w:r>
        <w:rPr>
          <w:rFonts w:ascii="Arial" w:hAnsi="Arial" w:eastAsia="Arial"/>
          <w:b w:val="0"/>
          <w:i/>
          <w:color w:val="000000"/>
          <w:sz w:val="16"/>
        </w:rPr>
        <w:t>forward contracts)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48"/>
        <w:gridCol w:w="1348"/>
        <w:gridCol w:w="1348"/>
        <w:gridCol w:w="1348"/>
        <w:gridCol w:w="1348"/>
        <w:gridCol w:w="1348"/>
        <w:gridCol w:w="1348"/>
      </w:tblGrid>
      <w:tr>
        <w:trPr>
          <w:trHeight w:hRule="exact" w:val="226"/>
        </w:trPr>
        <w:tc>
          <w:tcPr>
            <w:tcW w:type="dxa" w:w="430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Investments - Trading</w:t>
            </w:r>
          </w:p>
        </w:tc>
        <w:tc>
          <w:tcPr>
            <w:tcW w:type="dxa" w:w="56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7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 </w:t>
            </w:r>
          </w:p>
        </w:tc>
        <w:tc>
          <w:tcPr>
            <w:tcW w:type="dxa" w:w="74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3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9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135 </w:t>
            </w:r>
          </w:p>
        </w:tc>
        <w:tc>
          <w:tcPr>
            <w:tcW w:type="dxa" w:w="40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4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140 </w:t>
            </w:r>
          </w:p>
        </w:tc>
      </w:tr>
      <w:tr>
        <w:trPr>
          <w:trHeight w:hRule="exact" w:val="240"/>
        </w:trPr>
        <w:tc>
          <w:tcPr>
            <w:tcW w:type="dxa" w:w="43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Asset/liability management</w:t>
            </w:r>
          </w:p>
        </w:tc>
        <w:tc>
          <w:tcPr>
            <w:tcW w:type="dxa" w:w="134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1,715 </w:t>
            </w:r>
          </w:p>
        </w:tc>
        <w:tc>
          <w:tcPr>
            <w:tcW w:type="dxa" w:w="134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721 </w:t>
            </w:r>
          </w:p>
        </w:tc>
        <w:tc>
          <w:tcPr>
            <w:tcW w:type="dxa" w:w="134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22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2,436 </w:t>
            </w:r>
          </w:p>
        </w:tc>
      </w:tr>
      <w:tr>
        <w:trPr>
          <w:trHeight w:hRule="exact" w:val="240"/>
        </w:trPr>
        <w:tc>
          <w:tcPr>
            <w:tcW w:type="dxa" w:w="43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Borrowings</w:t>
            </w:r>
          </w:p>
        </w:tc>
        <w:tc>
          <w:tcPr>
            <w:tcW w:type="dxa" w:w="134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34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9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8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34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</w:tr>
      <w:tr>
        <w:trPr>
          <w:trHeight w:hRule="exact" w:val="254"/>
        </w:trPr>
        <w:tc>
          <w:tcPr>
            <w:tcW w:type="dxa" w:w="430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4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Other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a</w:t>
            </w:r>
          </w:p>
        </w:tc>
        <w:tc>
          <w:tcPr>
            <w:tcW w:type="dxa" w:w="134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7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111 </w:t>
            </w:r>
          </w:p>
        </w:tc>
        <w:tc>
          <w:tcPr>
            <w:tcW w:type="dxa" w:w="134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9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8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348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1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4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111 </w:t>
            </w:r>
          </w:p>
        </w:tc>
      </w:tr>
      <w:tr>
        <w:trPr>
          <w:trHeight w:hRule="exact" w:val="220"/>
        </w:trPr>
        <w:tc>
          <w:tcPr>
            <w:tcW w:type="dxa" w:w="430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5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Total Exposure</w:t>
            </w:r>
          </w:p>
        </w:tc>
        <w:tc>
          <w:tcPr>
            <w:tcW w:type="dxa" w:w="5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1,831 </w:t>
            </w:r>
          </w:p>
        </w:tc>
        <w:tc>
          <w:tcPr>
            <w:tcW w:type="dxa" w:w="7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3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856 </w:t>
            </w:r>
          </w:p>
        </w:tc>
        <w:tc>
          <w:tcPr>
            <w:tcW w:type="dxa" w:w="4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22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2,687 </w:t>
            </w:r>
          </w:p>
        </w:tc>
      </w:tr>
    </w:tbl>
    <w:p>
      <w:pPr>
        <w:autoSpaceDN w:val="0"/>
        <w:autoSpaceDE w:val="0"/>
        <w:widowControl/>
        <w:spacing w:line="192" w:lineRule="exact" w:before="34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a. Includes derivatives related to loans and PSW, and excludes exchange traded instruments as they are generally subject to daily </w:t>
      </w:r>
      <w:r>
        <w:rPr>
          <w:rFonts w:ascii="Arial" w:hAnsi="Arial" w:eastAsia="Arial"/>
          <w:b w:val="0"/>
          <w:i/>
          <w:color w:val="000000"/>
          <w:sz w:val="16"/>
        </w:rPr>
        <w:t>margin requirements and are deemed to have no material credit risk.</w:t>
      </w:r>
    </w:p>
    <w:p>
      <w:pPr>
        <w:autoSpaceDN w:val="0"/>
        <w:tabs>
          <w:tab w:pos="768" w:val="left"/>
        </w:tabs>
        <w:autoSpaceDE w:val="0"/>
        <w:widowControl/>
        <w:spacing w:line="224" w:lineRule="exact" w:before="1306" w:after="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104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Financial Statements: June 30, 2024</w:t>
      </w:r>
    </w:p>
    <w:p>
      <w:pPr>
        <w:sectPr>
          <w:pgSz w:w="12240" w:h="15840"/>
          <w:pgMar w:top="700" w:right="1372" w:bottom="2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36" w:lineRule="exact" w:before="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volume of derivative contracts is measured using the U.S. dollar equivalent notional balance. The notional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balance represents the face value or reference value on which the calculations of payments on the derivative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instrument are determined. As of June 30, 2024, the notional amounts of IDA's derivative contracts outstanding were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follows: interest rate swaps $39,153 million ($30,815 million as of June 30, 2023) and currency swaps $22,792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million ($24,670 million as of June 30, 2023). There were $566 million of long positions and $74 million of short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positions pertaining to other derivatives as of June 30, 2024 (Nil as of June 30, 2023). </w:t>
      </w:r>
    </w:p>
    <w:p>
      <w:pPr>
        <w:autoSpaceDN w:val="0"/>
        <w:autoSpaceDE w:val="0"/>
        <w:widowControl/>
        <w:spacing w:line="222" w:lineRule="exact" w:before="138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Collateral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is not required to post collateral under its derivative agreements as long as it maintains a triple-A credit rating.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aggregate fair value of all derivative instruments with credit-risk related contingent features that are in a liability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position as of June 30, 2024, is $593 million ($1,217 million —June 30, 2023). As of June 30, 2024, IDA was not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required to post any collateral in accordance with the relevant agreements.</w:t>
      </w:r>
    </w:p>
    <w:p>
      <w:pPr>
        <w:autoSpaceDN w:val="0"/>
        <w:autoSpaceDE w:val="0"/>
        <w:widowControl/>
        <w:spacing w:line="240" w:lineRule="exact" w:before="120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If the credit-risk related contingent features underlying these agreements were triggered to the extent that IDA would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be required to post collateral as of June 30, 2024, the amount of collateral that would need to be posted would be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$30 million ($349 million—June 30, 2023). Subsequent triggers of contingent features would require posting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additional collateral, up to a maximum of $593 million as of June 30, 2024 ($1,217 million—June 30, 2023). </w:t>
      </w:r>
    </w:p>
    <w:p>
      <w:pPr>
        <w:autoSpaceDN w:val="0"/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gains or losses on the non-trading derivatives, by instrument type and their location in the Statements of Income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are as follows: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F4: Unrealized mark-to-market gains or losses on non-trading derivatives</w:t>
      </w:r>
    </w:p>
    <w:p>
      <w:pPr>
        <w:autoSpaceDN w:val="0"/>
        <w:autoSpaceDE w:val="0"/>
        <w:widowControl/>
        <w:spacing w:line="178" w:lineRule="exact" w:before="154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p>
      <w:pPr>
        <w:autoSpaceDN w:val="0"/>
        <w:autoSpaceDE w:val="0"/>
        <w:widowControl/>
        <w:spacing w:line="178" w:lineRule="exact" w:before="62" w:after="22"/>
        <w:ind w:left="0" w:right="446" w:firstLine="0"/>
        <w:jc w:val="right"/>
      </w:pPr>
      <w:r>
        <w:rPr>
          <w:rFonts w:ascii="Arial" w:hAnsi="Arial" w:eastAsia="Arial"/>
          <w:b w:val="0"/>
          <w:i/>
          <w:color w:val="000000"/>
          <w:sz w:val="16"/>
        </w:rPr>
        <w:t>Fiscal Year Ended June 30,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80"/>
        <w:gridCol w:w="1180"/>
        <w:gridCol w:w="1180"/>
        <w:gridCol w:w="1180"/>
        <w:gridCol w:w="1180"/>
        <w:gridCol w:w="1180"/>
        <w:gridCol w:w="1180"/>
        <w:gridCol w:w="1180"/>
      </w:tblGrid>
      <w:tr>
        <w:trPr>
          <w:trHeight w:hRule="exact" w:val="239"/>
        </w:trPr>
        <w:tc>
          <w:tcPr>
            <w:tcW w:type="dxa" w:w="38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" w:after="0"/>
              <w:ind w:left="6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Type of instrument</w:t>
            </w:r>
          </w:p>
        </w:tc>
        <w:tc>
          <w:tcPr>
            <w:tcW w:type="dxa" w:w="281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1086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Reported as</w:t>
            </w:r>
          </w:p>
        </w:tc>
        <w:tc>
          <w:tcPr>
            <w:tcW w:type="dxa" w:w="20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2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2024</w:t>
            </w:r>
          </w:p>
        </w:tc>
        <w:tc>
          <w:tcPr>
            <w:tcW w:type="dxa" w:w="3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2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2023</w:t>
            </w:r>
          </w:p>
        </w:tc>
        <w:tc>
          <w:tcPr>
            <w:tcW w:type="dxa" w:w="3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2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2022</w:t>
            </w:r>
          </w:p>
        </w:tc>
      </w:tr>
      <w:tr>
        <w:trPr>
          <w:trHeight w:hRule="exact" w:val="440"/>
        </w:trPr>
        <w:tc>
          <w:tcPr>
            <w:tcW w:type="dxa" w:w="3830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1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Interest rate swaps</w:t>
            </w:r>
          </w:p>
        </w:tc>
        <w:tc>
          <w:tcPr>
            <w:tcW w:type="dxa" w:w="281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50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Unrealized mark-to-market </w:t>
            </w:r>
          </w:p>
        </w:tc>
        <w:tc>
          <w:tcPr>
            <w:tcW w:type="dxa" w:w="20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9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10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9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912 </w:t>
            </w:r>
          </w:p>
        </w:tc>
        <w:tc>
          <w:tcPr>
            <w:tcW w:type="dxa" w:w="35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96" w:after="0"/>
              <w:ind w:left="0" w:right="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10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9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(252) </w:t>
            </w:r>
          </w:p>
        </w:tc>
        <w:tc>
          <w:tcPr>
            <w:tcW w:type="dxa" w:w="35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96" w:after="0"/>
              <w:ind w:left="0" w:right="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10"/>
            <w:vMerge w:val="restart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9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80 </w:t>
            </w:r>
          </w:p>
        </w:tc>
      </w:tr>
      <w:tr>
        <w:trPr>
          <w:trHeight w:hRule="exact" w:val="200"/>
        </w:trPr>
        <w:tc>
          <w:tcPr>
            <w:tcW w:type="dxa" w:w="1180"/>
            <w:vMerge/>
            <w:tcBorders>
              <w:top w:sz="8.0" w:val="single" w:color="#000000"/>
            </w:tcBorders>
          </w:tcPr>
          <w:p/>
        </w:tc>
        <w:tc>
          <w:tcPr>
            <w:tcW w:type="dxa" w:w="28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4" w:after="0"/>
              <w:ind w:left="19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gains (losses) on non-trading</w:t>
            </w:r>
          </w:p>
        </w:tc>
        <w:tc>
          <w:tcPr>
            <w:tcW w:type="dxa" w:w="1180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180"/>
            <w:vMerge/>
            <w:tcBorders>
              <w:top w:sz="8.0" w:val="single" w:color="#000000"/>
            </w:tcBorders>
          </w:tcPr>
          <w:p/>
        </w:tc>
        <w:tc>
          <w:tcPr>
            <w:tcW w:type="dxa" w:w="1180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180"/>
            <w:vMerge/>
            <w:tcBorders>
              <w:top w:sz="8.0" w:val="single" w:color="#000000"/>
            </w:tcBorders>
          </w:tcPr>
          <w:p/>
        </w:tc>
        <w:tc>
          <w:tcPr>
            <w:tcW w:type="dxa" w:w="1180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180"/>
            <w:vMerge/>
            <w:tcBorders>
              <w:top w:sz="8.0" w:val="single" w:color="#000000"/>
            </w:tcBorders>
          </w:tcPr>
          <w:p/>
        </w:tc>
      </w:tr>
      <w:tr>
        <w:trPr>
          <w:trHeight w:hRule="exact" w:val="214"/>
        </w:trPr>
        <w:tc>
          <w:tcPr>
            <w:tcW w:type="dxa" w:w="38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Currency forward contracts and currency swaps</w:t>
            </w:r>
          </w:p>
        </w:tc>
        <w:tc>
          <w:tcPr>
            <w:tcW w:type="dxa" w:w="281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19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 portfolios, net</w:t>
            </w:r>
          </w:p>
        </w:tc>
        <w:tc>
          <w:tcPr>
            <w:tcW w:type="dxa" w:w="1180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6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178 </w:t>
            </w:r>
          </w:p>
        </w:tc>
        <w:tc>
          <w:tcPr>
            <w:tcW w:type="dxa" w:w="1180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6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(182) </w:t>
            </w:r>
          </w:p>
        </w:tc>
        <w:tc>
          <w:tcPr>
            <w:tcW w:type="dxa" w:w="1180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6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(293) </w:t>
            </w:r>
          </w:p>
        </w:tc>
      </w:tr>
      <w:tr>
        <w:trPr>
          <w:trHeight w:hRule="exact" w:val="220"/>
        </w:trPr>
        <w:tc>
          <w:tcPr>
            <w:tcW w:type="dxa" w:w="38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281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1,090 </w:t>
            </w:r>
          </w:p>
        </w:tc>
        <w:tc>
          <w:tcPr>
            <w:tcW w:type="dxa" w:w="3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(434) </w:t>
            </w:r>
          </w:p>
        </w:tc>
        <w:tc>
          <w:tcPr>
            <w:tcW w:type="dxa" w:w="3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(213) </w:t>
            </w:r>
          </w:p>
        </w:tc>
      </w:tr>
      <w:tr>
        <w:trPr>
          <w:trHeight w:hRule="exact" w:val="260"/>
        </w:trPr>
        <w:tc>
          <w:tcPr>
            <w:tcW w:type="dxa" w:w="38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81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exact" w:before="152" w:after="0"/>
        <w:ind w:left="10" w:right="144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majority of the instruments in IDA’s investment portfolio are held for trading purposes. Within the trading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portfolio, IDA holds highly rated fixed income instruments as well as derivatives. The trading portfolio is primarily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held to ensure the availability of funds to meet future cash flow requirements and for liquidity management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purposes.</w:t>
      </w:r>
    </w:p>
    <w:p>
      <w:pPr>
        <w:autoSpaceDN w:val="0"/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following table provides information on the amount of gains or losses on IDA’s investment trading portfolio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(derivative and non-derivative instruments), and their location on the Statements of Income:</w:t>
      </w:r>
    </w:p>
    <w:p>
      <w:pPr>
        <w:autoSpaceDN w:val="0"/>
        <w:autoSpaceDE w:val="0"/>
        <w:widowControl/>
        <w:spacing w:line="222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F5: Unrealized mark-to-market gains or losses on investment trading portfolio</w:t>
      </w:r>
    </w:p>
    <w:p>
      <w:pPr>
        <w:autoSpaceDN w:val="0"/>
        <w:autoSpaceDE w:val="0"/>
        <w:widowControl/>
        <w:spacing w:line="180" w:lineRule="exact" w:before="15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p>
      <w:pPr>
        <w:autoSpaceDN w:val="0"/>
        <w:autoSpaceDE w:val="0"/>
        <w:widowControl/>
        <w:spacing w:line="180" w:lineRule="exact" w:before="60" w:after="18"/>
        <w:ind w:left="0" w:right="498" w:firstLine="0"/>
        <w:jc w:val="right"/>
      </w:pPr>
      <w:r>
        <w:rPr>
          <w:rFonts w:ascii="Arial" w:hAnsi="Arial" w:eastAsia="Arial"/>
          <w:b w:val="0"/>
          <w:i/>
          <w:color w:val="000000"/>
          <w:sz w:val="16"/>
        </w:rPr>
        <w:t>Fiscal Year Ended June 30,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88"/>
        <w:gridCol w:w="1888"/>
        <w:gridCol w:w="1888"/>
        <w:gridCol w:w="1888"/>
        <w:gridCol w:w="1888"/>
      </w:tblGrid>
      <w:tr>
        <w:trPr>
          <w:trHeight w:hRule="exact" w:val="240"/>
        </w:trPr>
        <w:tc>
          <w:tcPr>
            <w:tcW w:type="dxa" w:w="378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6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Type of instrument</w:t>
            </w:r>
          </w:p>
        </w:tc>
        <w:tc>
          <w:tcPr>
            <w:tcW w:type="dxa" w:w="287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105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Reported as</w:t>
            </w:r>
          </w:p>
        </w:tc>
        <w:tc>
          <w:tcPr>
            <w:tcW w:type="dxa" w:w="7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2024</w:t>
            </w:r>
          </w:p>
        </w:tc>
        <w:tc>
          <w:tcPr>
            <w:tcW w:type="dxa" w:w="91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208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2023</w:t>
            </w:r>
          </w:p>
        </w:tc>
        <w:tc>
          <w:tcPr>
            <w:tcW w:type="dxa" w:w="91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208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2022</w:t>
            </w:r>
          </w:p>
        </w:tc>
      </w:tr>
    </w:tbl>
    <w:p>
      <w:pPr>
        <w:autoSpaceDN w:val="0"/>
        <w:tabs>
          <w:tab w:pos="4068" w:val="left"/>
        </w:tabs>
        <w:autoSpaceDE w:val="0"/>
        <w:widowControl/>
        <w:spacing w:line="192" w:lineRule="exact" w:before="196" w:after="6"/>
        <w:ind w:left="3888" w:right="3024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Unrealized mark-to-market gains </w:t>
      </w:r>
      <w:r>
        <w:br/>
      </w:r>
      <w:r>
        <w:tab/>
      </w: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(losses) on Investment-Trading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80"/>
        <w:gridCol w:w="1180"/>
        <w:gridCol w:w="1180"/>
        <w:gridCol w:w="1180"/>
        <w:gridCol w:w="1180"/>
        <w:gridCol w:w="1180"/>
        <w:gridCol w:w="1180"/>
        <w:gridCol w:w="1180"/>
      </w:tblGrid>
      <w:tr>
        <w:trPr>
          <w:trHeight w:hRule="exact" w:val="196"/>
        </w:trPr>
        <w:tc>
          <w:tcPr>
            <w:tcW w:type="dxa" w:w="35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Fixed income (including related derivatives)</w:t>
            </w:r>
          </w:p>
        </w:tc>
        <w:tc>
          <w:tcPr>
            <w:tcW w:type="dxa" w:w="30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47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portfolios, net</w:t>
            </w:r>
          </w:p>
        </w:tc>
        <w:tc>
          <w:tcPr>
            <w:tcW w:type="dxa" w:w="3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4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316 </w:t>
            </w:r>
          </w:p>
        </w:tc>
        <w:tc>
          <w:tcPr>
            <w:tcW w:type="dxa" w:w="4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1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45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(29) </w:t>
            </w:r>
          </w:p>
        </w:tc>
        <w:tc>
          <w:tcPr>
            <w:tcW w:type="dxa" w:w="42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(104) </w:t>
            </w:r>
          </w:p>
        </w:tc>
      </w:tr>
      <w:tr>
        <w:trPr>
          <w:trHeight w:hRule="exact" w:val="3234"/>
        </w:trPr>
        <w:tc>
          <w:tcPr>
            <w:tcW w:type="dxa" w:w="35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180"/>
            <w:gridSpan w:val="6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3020" w:after="0"/>
              <w:ind w:left="0" w:right="1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IDA Financial Statements: June 30, 2024</w:t>
            </w:r>
          </w:p>
        </w:tc>
        <w:tc>
          <w:tcPr>
            <w:tcW w:type="dxa" w:w="6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3020" w:after="0"/>
              <w:ind w:left="0" w:right="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105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00" w:right="1370" w:bottom="2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2"/>
        <w:ind w:left="0" w:right="0"/>
      </w:pPr>
    </w:p>
    <w:p>
      <w:pPr>
        <w:autoSpaceDN w:val="0"/>
        <w:autoSpaceDE w:val="0"/>
        <w:widowControl/>
        <w:spacing w:line="312" w:lineRule="exact" w:before="0" w:after="112"/>
        <w:ind w:left="10" w:right="5328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NOTE G—DEVELOPMENT GRANTS </w:t>
      </w:r>
      <w:r>
        <w:br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 summary of grant activities is presented below: </w:t>
      </w:r>
      <w:r>
        <w:br/>
      </w:r>
      <w:r>
        <w:rPr>
          <w:rFonts w:ascii="TimesNewRoman" w:hAnsi="TimesNewRoman" w:eastAsia="TimesNewRoman"/>
          <w:b/>
          <w:i w:val="0"/>
          <w:color w:val="000000"/>
          <w:sz w:val="20"/>
        </w:rPr>
        <w:t>Table G1: Grant activities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73"/>
        <w:gridCol w:w="1573"/>
        <w:gridCol w:w="1573"/>
        <w:gridCol w:w="1573"/>
        <w:gridCol w:w="1573"/>
        <w:gridCol w:w="1573"/>
      </w:tblGrid>
      <w:tr>
        <w:trPr>
          <w:trHeight w:hRule="exact" w:val="240"/>
        </w:trPr>
        <w:tc>
          <w:tcPr>
            <w:tcW w:type="dxa" w:w="511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3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In millions of U.S dollars</w:t>
            </w:r>
          </w:p>
        </w:tc>
        <w:tc>
          <w:tcPr>
            <w:tcW w:type="dxa" w:w="2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84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5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Fiscal Year Ended June 30,</w:t>
            </w:r>
          </w:p>
        </w:tc>
        <w:tc>
          <w:tcPr>
            <w:tcW w:type="dxa" w:w="108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0"/>
        </w:trPr>
        <w:tc>
          <w:tcPr>
            <w:tcW w:type="dxa" w:w="511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7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2024</w:t>
            </w:r>
          </w:p>
        </w:tc>
        <w:tc>
          <w:tcPr>
            <w:tcW w:type="dxa" w:w="2184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748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2023</w:t>
            </w:r>
          </w:p>
        </w:tc>
        <w:tc>
          <w:tcPr>
            <w:tcW w:type="dxa" w:w="108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2022</w:t>
            </w:r>
          </w:p>
        </w:tc>
      </w:tr>
      <w:tr>
        <w:trPr>
          <w:trHeight w:hRule="exact" w:val="240"/>
        </w:trPr>
        <w:tc>
          <w:tcPr>
            <w:tcW w:type="dxa" w:w="511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Grants approved</w:t>
            </w:r>
          </w:p>
        </w:tc>
        <w:tc>
          <w:tcPr>
            <w:tcW w:type="dxa" w:w="29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8,117 </w:t>
            </w:r>
          </w:p>
        </w:tc>
        <w:tc>
          <w:tcPr>
            <w:tcW w:type="dxa" w:w="9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28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2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7,263 </w:t>
            </w:r>
          </w:p>
        </w:tc>
        <w:tc>
          <w:tcPr>
            <w:tcW w:type="dxa" w:w="108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$ 13,083 </w:t>
            </w:r>
          </w:p>
        </w:tc>
      </w:tr>
      <w:tr>
        <w:trPr>
          <w:trHeight w:hRule="exact" w:val="242"/>
        </w:trPr>
        <w:tc>
          <w:tcPr>
            <w:tcW w:type="dxa" w:w="51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Grant disbursements</w:t>
            </w:r>
          </w:p>
        </w:tc>
        <w:tc>
          <w:tcPr>
            <w:tcW w:type="dxa" w:w="29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75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7,191 </w:t>
            </w:r>
          </w:p>
        </w:tc>
        <w:tc>
          <w:tcPr>
            <w:tcW w:type="dxa" w:w="21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7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7,170 </w:t>
            </w:r>
          </w:p>
        </w:tc>
        <w:tc>
          <w:tcPr>
            <w:tcW w:type="dxa" w:w="10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5,395 </w:t>
            </w:r>
          </w:p>
        </w:tc>
      </w:tr>
      <w:tr>
        <w:trPr>
          <w:trHeight w:hRule="exact" w:val="240"/>
        </w:trPr>
        <w:tc>
          <w:tcPr>
            <w:tcW w:type="dxa" w:w="51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Unconditional grants</w:t>
            </w:r>
          </w:p>
        </w:tc>
        <w:tc>
          <w:tcPr>
            <w:tcW w:type="dxa" w:w="1573"/>
            <w:vMerge/>
            <w:tcBorders>
              <w:bottom w:sz="8.0" w:val="single" w:color="#000000"/>
            </w:tcBorders>
          </w:tcPr>
          <w:p/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1,142 </w:t>
            </w:r>
          </w:p>
        </w:tc>
        <w:tc>
          <w:tcPr>
            <w:tcW w:type="dxa" w:w="21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7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1,385 </w:t>
            </w:r>
          </w:p>
        </w:tc>
        <w:tc>
          <w:tcPr>
            <w:tcW w:type="dxa" w:w="10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1,659 </w:t>
            </w:r>
          </w:p>
        </w:tc>
      </w:tr>
      <w:tr>
        <w:trPr>
          <w:trHeight w:hRule="exact" w:val="240"/>
        </w:trPr>
        <w:tc>
          <w:tcPr>
            <w:tcW w:type="dxa" w:w="511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Conditional grants</w:t>
            </w:r>
          </w:p>
        </w:tc>
        <w:tc>
          <w:tcPr>
            <w:tcW w:type="dxa" w:w="1573"/>
            <w:vMerge/>
            <w:tcBorders>
              <w:bottom w:sz="8.0" w:val="single" w:color="#000000"/>
            </w:tcBorders>
          </w:tcPr>
          <w:p/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6,049 </w:t>
            </w:r>
          </w:p>
        </w:tc>
        <w:tc>
          <w:tcPr>
            <w:tcW w:type="dxa" w:w="21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71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5,785 </w:t>
            </w:r>
          </w:p>
        </w:tc>
        <w:tc>
          <w:tcPr>
            <w:tcW w:type="dxa" w:w="10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3,736 </w:t>
            </w:r>
          </w:p>
        </w:tc>
      </w:tr>
      <w:tr>
        <w:trPr>
          <w:trHeight w:hRule="exact" w:val="238"/>
        </w:trPr>
        <w:tc>
          <w:tcPr>
            <w:tcW w:type="dxa" w:w="511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Grant Expense</w:t>
            </w:r>
          </w:p>
        </w:tc>
        <w:tc>
          <w:tcPr>
            <w:tcW w:type="dxa" w:w="1573"/>
            <w:vMerge/>
            <w:tcBorders>
              <w:bottom w:sz="8.0" w:val="single" w:color="#000000"/>
            </w:tcBorders>
          </w:tcPr>
          <w:p/>
        </w:tc>
        <w:tc>
          <w:tcPr>
            <w:tcW w:type="dxa" w:w="7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5,291 </w:t>
            </w:r>
          </w:p>
        </w:tc>
        <w:tc>
          <w:tcPr>
            <w:tcW w:type="dxa" w:w="9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1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28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11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3,946 </w:t>
            </w:r>
          </w:p>
        </w:tc>
        <w:tc>
          <w:tcPr>
            <w:tcW w:type="dxa" w:w="108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$ 2,372 </w:t>
            </w:r>
          </w:p>
        </w:tc>
      </w:tr>
    </w:tbl>
    <w:p>
      <w:pPr>
        <w:autoSpaceDN w:val="0"/>
        <w:autoSpaceDE w:val="0"/>
        <w:widowControl/>
        <w:spacing w:line="224" w:lineRule="exact" w:before="168" w:after="0"/>
        <w:ind w:left="10" w:right="864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of June 30, 2024, the cumulative amount of conditional grants approved but not yet expensed, since all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conditions have not been met, was $29,135 million ($27,407 million —June 30, 2023).</w:t>
      </w:r>
    </w:p>
    <w:p>
      <w:pPr>
        <w:autoSpaceDN w:val="0"/>
        <w:autoSpaceDE w:val="0"/>
        <w:widowControl/>
        <w:spacing w:line="278" w:lineRule="exact" w:before="192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NOTE H—TRANSACTIONS WITH AFFILIATED ORGANIZATIONS </w:t>
      </w:r>
      <w:r>
        <w:br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transacts with affiliated organizations as a recipient of transfers and grants, administrative, derivative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investment intermediation services and through cost sharing of IBRD’s sponsored pension and other postretirement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benefit plans. </w:t>
      </w:r>
    </w:p>
    <w:p>
      <w:pPr>
        <w:autoSpaceDN w:val="0"/>
        <w:autoSpaceDE w:val="0"/>
        <w:widowControl/>
        <w:spacing w:line="356" w:lineRule="exact" w:before="4" w:after="0"/>
        <w:ind w:left="10" w:right="1296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total amounts receivable from (payable to) affiliated organizations is comprised of the following: </w:t>
      </w:r>
      <w:r>
        <w:rPr>
          <w:rFonts w:ascii="TimesNewRoman" w:hAnsi="TimesNewRoman" w:eastAsia="TimesNewRoman"/>
          <w:b/>
          <w:i w:val="0"/>
          <w:color w:val="000000"/>
          <w:sz w:val="20"/>
        </w:rPr>
        <w:t>Table H1: IDA’s receivables and payables with affiliated organizations</w:t>
      </w:r>
    </w:p>
    <w:p>
      <w:pPr>
        <w:autoSpaceDN w:val="0"/>
        <w:autoSpaceDE w:val="0"/>
        <w:widowControl/>
        <w:spacing w:line="178" w:lineRule="exact" w:before="154" w:after="2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87"/>
        <w:gridCol w:w="787"/>
        <w:gridCol w:w="787"/>
        <w:gridCol w:w="787"/>
        <w:gridCol w:w="787"/>
        <w:gridCol w:w="787"/>
        <w:gridCol w:w="787"/>
        <w:gridCol w:w="787"/>
        <w:gridCol w:w="787"/>
        <w:gridCol w:w="787"/>
        <w:gridCol w:w="787"/>
        <w:gridCol w:w="787"/>
      </w:tblGrid>
      <w:tr>
        <w:trPr>
          <w:trHeight w:hRule="exact" w:val="240"/>
        </w:trPr>
        <w:tc>
          <w:tcPr>
            <w:tcW w:type="dxa" w:w="436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284"/>
            <w:gridSpan w:val="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590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2024</w:t>
            </w:r>
          </w:p>
        </w:tc>
        <w:tc>
          <w:tcPr>
            <w:tcW w:type="dxa" w:w="2656"/>
            <w:gridSpan w:val="7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756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2023</w:t>
            </w:r>
          </w:p>
        </w:tc>
      </w:tr>
      <w:tr>
        <w:trPr>
          <w:trHeight w:hRule="exact" w:val="240"/>
        </w:trPr>
        <w:tc>
          <w:tcPr>
            <w:tcW w:type="dxa" w:w="436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84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7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IBRD</w:t>
            </w:r>
          </w:p>
        </w:tc>
        <w:tc>
          <w:tcPr>
            <w:tcW w:type="dxa" w:w="4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4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IFC</w:t>
            </w:r>
          </w:p>
        </w:tc>
        <w:tc>
          <w:tcPr>
            <w:tcW w:type="dxa" w:w="8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24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Total</w:t>
            </w:r>
          </w:p>
        </w:tc>
        <w:tc>
          <w:tcPr>
            <w:tcW w:type="dxa" w:w="1160"/>
            <w:gridSpan w:val="3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446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IBRD</w:t>
            </w:r>
          </w:p>
        </w:tc>
        <w:tc>
          <w:tcPr>
            <w:tcW w:type="dxa" w:w="60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2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IFC</w:t>
            </w:r>
          </w:p>
        </w:tc>
        <w:tc>
          <w:tcPr>
            <w:tcW w:type="dxa" w:w="896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Total</w:t>
            </w:r>
          </w:p>
        </w:tc>
      </w:tr>
      <w:tr>
        <w:trPr>
          <w:trHeight w:hRule="exact" w:val="212"/>
        </w:trPr>
        <w:tc>
          <w:tcPr>
            <w:tcW w:type="dxa" w:w="4366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62" w:right="100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Administrative Services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Derivative (liabilities)/assets, net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PSW-Blended Finance Facility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Investments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Post-Retirement Contribution Reserve Fund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 xml:space="preserve">a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Pension and Other Postretirement Benefits</w:t>
            </w:r>
          </w:p>
        </w:tc>
        <w:tc>
          <w:tcPr>
            <w:tcW w:type="dxa" w:w="984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(279)  $ </w:t>
            </w:r>
          </w:p>
        </w:tc>
        <w:tc>
          <w:tcPr>
            <w:tcW w:type="dxa" w:w="4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980"/>
            <w:gridSpan w:val="4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8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(279)  $ (594)  $ </w:t>
            </w:r>
          </w:p>
        </w:tc>
        <w:tc>
          <w:tcPr>
            <w:tcW w:type="dxa" w:w="5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976"/>
            <w:gridSpan w:val="3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(594) </w:t>
            </w:r>
          </w:p>
        </w:tc>
      </w:tr>
      <w:tr>
        <w:trPr>
          <w:trHeight w:hRule="exact" w:val="260"/>
        </w:trPr>
        <w:tc>
          <w:tcPr>
            <w:tcW w:type="dxa" w:w="787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(94)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0" w:right="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(94) </w:t>
            </w:r>
          </w:p>
        </w:tc>
        <w:tc>
          <w:tcPr>
            <w:tcW w:type="dxa" w:w="11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0" w:right="3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8" w:after="0"/>
              <w:ind w:left="1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(49) 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b</w:t>
            </w:r>
          </w:p>
        </w:tc>
        <w:tc>
          <w:tcPr>
            <w:tcW w:type="dxa" w:w="89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0" w:after="0"/>
              <w:ind w:left="0" w:right="1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(49) </w:t>
            </w:r>
          </w:p>
        </w:tc>
      </w:tr>
      <w:tr>
        <w:trPr>
          <w:trHeight w:hRule="exact" w:val="240"/>
        </w:trPr>
        <w:tc>
          <w:tcPr>
            <w:tcW w:type="dxa" w:w="787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1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102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102 </w:t>
            </w:r>
          </w:p>
        </w:tc>
        <w:tc>
          <w:tcPr>
            <w:tcW w:type="dxa" w:w="11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3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96 </w:t>
            </w:r>
          </w:p>
        </w:tc>
        <w:tc>
          <w:tcPr>
            <w:tcW w:type="dxa" w:w="89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2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96 </w:t>
            </w:r>
          </w:p>
        </w:tc>
      </w:tr>
      <w:tr>
        <w:trPr>
          <w:trHeight w:hRule="exact" w:val="240"/>
        </w:trPr>
        <w:tc>
          <w:tcPr>
            <w:tcW w:type="dxa" w:w="787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1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171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171 </w:t>
            </w:r>
          </w:p>
        </w:tc>
        <w:tc>
          <w:tcPr>
            <w:tcW w:type="dxa" w:w="11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3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244 </w:t>
            </w:r>
          </w:p>
        </w:tc>
        <w:tc>
          <w:tcPr>
            <w:tcW w:type="dxa" w:w="89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2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244 </w:t>
            </w:r>
          </w:p>
        </w:tc>
      </w:tr>
      <w:tr>
        <w:trPr>
          <w:trHeight w:hRule="exact" w:val="240"/>
        </w:trPr>
        <w:tc>
          <w:tcPr>
            <w:tcW w:type="dxa" w:w="787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8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489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1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489 </w:t>
            </w:r>
          </w:p>
        </w:tc>
        <w:tc>
          <w:tcPr>
            <w:tcW w:type="dxa" w:w="11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3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579 </w:t>
            </w:r>
          </w:p>
        </w:tc>
        <w:tc>
          <w:tcPr>
            <w:tcW w:type="dxa" w:w="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89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2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579 </w:t>
            </w:r>
          </w:p>
        </w:tc>
      </w:tr>
      <w:tr>
        <w:trPr>
          <w:trHeight w:hRule="exact" w:val="248"/>
        </w:trPr>
        <w:tc>
          <w:tcPr>
            <w:tcW w:type="dxa" w:w="787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984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906 </w:t>
            </w:r>
          </w:p>
        </w:tc>
        <w:tc>
          <w:tcPr>
            <w:tcW w:type="dxa" w:w="4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1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8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906 </w:t>
            </w:r>
          </w:p>
        </w:tc>
        <w:tc>
          <w:tcPr>
            <w:tcW w:type="dxa" w:w="1160"/>
            <w:gridSpan w:val="3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3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712 </w:t>
            </w:r>
          </w:p>
        </w:tc>
        <w:tc>
          <w:tcPr>
            <w:tcW w:type="dxa" w:w="60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896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0" w:right="2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712 </w:t>
            </w:r>
          </w:p>
        </w:tc>
      </w:tr>
      <w:tr>
        <w:trPr>
          <w:trHeight w:hRule="exact" w:val="220"/>
        </w:trPr>
        <w:tc>
          <w:tcPr>
            <w:tcW w:type="dxa" w:w="436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Total </w:t>
            </w:r>
          </w:p>
        </w:tc>
        <w:tc>
          <w:tcPr>
            <w:tcW w:type="dxa" w:w="7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$ 1,116 </w:t>
            </w:r>
          </w:p>
        </w:tc>
        <w:tc>
          <w:tcPr>
            <w:tcW w:type="dxa" w:w="2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4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179 </w:t>
            </w:r>
          </w:p>
        </w:tc>
        <w:tc>
          <w:tcPr>
            <w:tcW w:type="dxa" w:w="8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8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$ 1,295 </w:t>
            </w:r>
          </w:p>
        </w:tc>
        <w:tc>
          <w:tcPr>
            <w:tcW w:type="dxa" w:w="41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697 </w:t>
            </w:r>
          </w:p>
        </w:tc>
        <w:tc>
          <w:tcPr>
            <w:tcW w:type="dxa" w:w="844"/>
            <w:gridSpan w:val="3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0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$ 291 </w:t>
            </w:r>
          </w:p>
        </w:tc>
        <w:tc>
          <w:tcPr>
            <w:tcW w:type="dxa" w:w="28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1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988 </w:t>
            </w:r>
          </w:p>
        </w:tc>
      </w:tr>
    </w:tbl>
    <w:p>
      <w:pPr>
        <w:autoSpaceDN w:val="0"/>
        <w:tabs>
          <w:tab w:pos="242" w:val="left"/>
        </w:tabs>
        <w:autoSpaceDE w:val="0"/>
        <w:widowControl/>
        <w:spacing w:line="192" w:lineRule="exact" w:before="256" w:after="0"/>
        <w:ind w:left="62" w:right="432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a. Receivable from IBRD for IDA's share of investments associated with Post-Retirement Contribution Reserve Fund (PCRF), </w:t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>which is a fund established to stabilize contributions made to the pension plans.</w:t>
      </w:r>
    </w:p>
    <w:p>
      <w:pPr>
        <w:autoSpaceDN w:val="0"/>
        <w:tabs>
          <w:tab w:pos="242" w:val="left"/>
        </w:tabs>
        <w:autoSpaceDE w:val="0"/>
        <w:widowControl/>
        <w:spacing w:line="192" w:lineRule="exact" w:before="52" w:after="0"/>
        <w:ind w:left="62" w:right="144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b. Includes other receivable of $4 million related to unsettled Local Currency Facility trades that is included in Other assets on the </w:t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>Balance Sheets.</w:t>
      </w:r>
    </w:p>
    <w:p>
      <w:pPr>
        <w:autoSpaceDN w:val="0"/>
        <w:autoSpaceDE w:val="0"/>
        <w:widowControl/>
        <w:spacing w:line="220" w:lineRule="exact" w:before="210" w:after="17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receivables from (payables to) these affiliated organizations are reported on the Balance Sheets as follows: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0"/>
        <w:gridCol w:w="4720"/>
      </w:tblGrid>
      <w:tr>
        <w:trPr>
          <w:trHeight w:hRule="exact" w:val="182"/>
        </w:trPr>
        <w:tc>
          <w:tcPr>
            <w:tcW w:type="dxa" w:w="36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6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Receivables / Payables related to:</w:t>
            </w:r>
          </w:p>
        </w:tc>
        <w:tc>
          <w:tcPr>
            <w:tcW w:type="dxa" w:w="56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1058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16"/>
              </w:rPr>
              <w:t>Reported as:</w:t>
            </w:r>
          </w:p>
        </w:tc>
      </w:tr>
    </w:tbl>
    <w:p>
      <w:pPr>
        <w:autoSpaceDN w:val="0"/>
        <w:autoSpaceDE w:val="0"/>
        <w:widowControl/>
        <w:spacing w:line="14" w:lineRule="exact" w:before="0" w:after="62"/>
        <w:ind w:left="0" w:right="0"/>
      </w:pPr>
    </w:p>
    <w:p>
      <w:pPr>
        <w:sectPr>
          <w:pgSz w:w="12240" w:h="15840"/>
          <w:pgMar w:top="702" w:right="1370" w:bottom="2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08" w:lineRule="exact" w:before="0" w:after="0"/>
        <w:ind w:left="68" w:right="432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Payable for administrative services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16"/>
        </w:rPr>
        <w:t>Net receivables (payables) for derivative transactions</w:t>
      </w:r>
    </w:p>
    <w:p>
      <w:pPr>
        <w:sectPr>
          <w:type w:val="continuous"/>
          <w:pgSz w:w="12240" w:h="15840"/>
          <w:pgMar w:top="702" w:right="1370" w:bottom="200" w:left="1430" w:header="720" w:footer="720" w:gutter="0"/>
          <w:cols w:num="2" w:equalWidth="0">
            <w:col w:w="4288" w:space="0"/>
            <w:col w:w="5152" w:space="0"/>
          </w:cols>
          <w:docGrid w:linePitch="360"/>
        </w:sectPr>
      </w:pPr>
    </w:p>
    <w:p>
      <w:pPr>
        <w:autoSpaceDN w:val="0"/>
        <w:autoSpaceDE w:val="0"/>
        <w:widowControl/>
        <w:spacing w:line="208" w:lineRule="exact" w:before="0" w:after="62"/>
        <w:ind w:left="460" w:right="2304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Payable to affiliated organization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16"/>
        </w:rPr>
        <w:t>Derivative assets/liabilities, net</w:t>
      </w:r>
    </w:p>
    <w:p>
      <w:pPr>
        <w:sectPr>
          <w:type w:val="nextColumn"/>
          <w:pgSz w:w="12240" w:h="15840"/>
          <w:pgMar w:top="702" w:right="1370" w:bottom="200" w:left="1430" w:header="720" w:footer="720" w:gutter="0"/>
          <w:cols w:num="2" w:equalWidth="0">
            <w:col w:w="4288" w:space="0"/>
            <w:col w:w="5152" w:space="0"/>
          </w:cols>
          <w:docGrid w:linePitch="360"/>
        </w:sectPr>
      </w:pPr>
    </w:p>
    <w:p>
      <w:pPr>
        <w:autoSpaceDN w:val="0"/>
        <w:tabs>
          <w:tab w:pos="4748" w:val="left"/>
        </w:tabs>
        <w:autoSpaceDE w:val="0"/>
        <w:widowControl/>
        <w:spacing w:line="178" w:lineRule="exact" w:before="0" w:after="0"/>
        <w:ind w:left="6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Receivable for PSW – Blended Finance Facility </w:t>
      </w:r>
      <w:r>
        <w:rPr>
          <w:rFonts w:ascii="ArialMT" w:hAnsi="ArialMT" w:eastAsia="ArialMT"/>
          <w:b w:val="0"/>
          <w:i w:val="0"/>
          <w:color w:val="000000"/>
          <w:sz w:val="16"/>
        </w:rPr>
        <w:t>Other Assets</w:t>
      </w:r>
    </w:p>
    <w:p>
      <w:pPr>
        <w:autoSpaceDN w:val="0"/>
        <w:tabs>
          <w:tab w:pos="4748" w:val="left"/>
        </w:tabs>
        <w:autoSpaceDE w:val="0"/>
        <w:widowControl/>
        <w:spacing w:line="178" w:lineRule="exact" w:before="62" w:after="62"/>
        <w:ind w:left="6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Receivable for Investments </w:t>
      </w:r>
      <w:r>
        <w:rPr>
          <w:rFonts w:ascii="ArialMT" w:hAnsi="ArialMT" w:eastAsia="ArialMT"/>
          <w:b w:val="0"/>
          <w:i w:val="0"/>
          <w:color w:val="000000"/>
          <w:sz w:val="16"/>
        </w:rPr>
        <w:t>Investments</w:t>
      </w:r>
    </w:p>
    <w:p>
      <w:pPr>
        <w:sectPr>
          <w:type w:val="continuous"/>
          <w:pgSz w:w="12240" w:h="15840"/>
          <w:pgMar w:top="702" w:right="1370" w:bottom="2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08" w:lineRule="exact" w:before="0" w:after="0"/>
        <w:ind w:left="68" w:right="288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Receivable for PCRF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16"/>
        </w:rPr>
        <w:t>Receivable for pension and other postretirement benefits</w:t>
      </w:r>
    </w:p>
    <w:p>
      <w:pPr>
        <w:sectPr>
          <w:type w:val="continuous"/>
          <w:pgSz w:w="12240" w:h="15840"/>
          <w:pgMar w:top="702" w:right="1370" w:bottom="200" w:left="1430" w:header="720" w:footer="720" w:gutter="0"/>
          <w:cols w:num="2" w:equalWidth="0">
            <w:col w:w="4416" w:space="0"/>
            <w:col w:w="5024" w:space="0"/>
          </w:cols>
          <w:docGrid w:linePitch="360"/>
        </w:sectPr>
      </w:pPr>
    </w:p>
    <w:p>
      <w:pPr>
        <w:autoSpaceDN w:val="0"/>
        <w:autoSpaceDE w:val="0"/>
        <w:widowControl/>
        <w:spacing w:line="208" w:lineRule="exact" w:before="0" w:after="28"/>
        <w:ind w:left="332" w:right="1872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Receivable from affiliated organization </w:t>
      </w:r>
      <w:r>
        <w:rPr>
          <w:rFonts w:ascii="ArialMT" w:hAnsi="ArialMT" w:eastAsia="ArialMT"/>
          <w:b w:val="0"/>
          <w:i w:val="0"/>
          <w:color w:val="000000"/>
          <w:sz w:val="16"/>
        </w:rPr>
        <w:t>Receivable from affiliated organization</w:t>
      </w:r>
    </w:p>
    <w:p>
      <w:pPr>
        <w:sectPr>
          <w:type w:val="nextColumn"/>
          <w:pgSz w:w="12240" w:h="15840"/>
          <w:pgMar w:top="702" w:right="1370" w:bottom="200" w:left="1430" w:header="720" w:footer="720" w:gutter="0"/>
          <w:cols w:num="2" w:equalWidth="0">
            <w:col w:w="4416" w:space="0"/>
            <w:col w:w="5024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0"/>
        <w:gridCol w:w="4720"/>
      </w:tblGrid>
      <w:tr>
        <w:trPr>
          <w:trHeight w:hRule="exact" w:val="2756"/>
        </w:trPr>
        <w:tc>
          <w:tcPr>
            <w:tcW w:type="dxa" w:w="57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54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106</w:t>
            </w:r>
          </w:p>
        </w:tc>
        <w:tc>
          <w:tcPr>
            <w:tcW w:type="dxa" w:w="881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542" w:after="0"/>
              <w:ind w:left="19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IDA Financial Statements: June 30, 2024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type w:val="continuous"/>
          <w:pgSz w:w="12240" w:h="15840"/>
          <w:pgMar w:top="702" w:right="1370" w:bottom="2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22" w:lineRule="exact" w:before="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Transfers and Grants</w:t>
      </w:r>
    </w:p>
    <w:p>
      <w:pPr>
        <w:autoSpaceDN w:val="0"/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Cumulative transfers and grants made to IDA as of June 30, 2024 were $20,884 million ($20,593 million—June 30,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2023). Details by transferor are as follows: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 xml:space="preserve">Table H2: Transfers and grants </w:t>
      </w:r>
    </w:p>
    <w:p>
      <w:pPr>
        <w:autoSpaceDN w:val="0"/>
        <w:autoSpaceDE w:val="0"/>
        <w:widowControl/>
        <w:spacing w:line="178" w:lineRule="exact" w:before="154" w:after="0"/>
        <w:ind w:left="68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 dollars</w:t>
      </w:r>
    </w:p>
    <w:p>
      <w:pPr>
        <w:autoSpaceDN w:val="0"/>
        <w:tabs>
          <w:tab w:pos="8192" w:val="left"/>
        </w:tabs>
        <w:autoSpaceDE w:val="0"/>
        <w:widowControl/>
        <w:spacing w:line="192" w:lineRule="exact" w:before="84" w:after="6"/>
        <w:ind w:left="7722" w:right="144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 Cumulative transfers </w:t>
      </w:r>
      <w:r>
        <w:br/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 xml:space="preserve"> as of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47"/>
        <w:gridCol w:w="3147"/>
        <w:gridCol w:w="3147"/>
      </w:tblGrid>
      <w:tr>
        <w:trPr>
          <w:trHeight w:hRule="exact" w:val="216"/>
        </w:trPr>
        <w:tc>
          <w:tcPr>
            <w:tcW w:type="dxa" w:w="40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6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Transfers</w:t>
            </w:r>
          </w:p>
        </w:tc>
        <w:tc>
          <w:tcPr>
            <w:tcW w:type="dxa" w:w="36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18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2024</w:t>
            </w:r>
          </w:p>
        </w:tc>
      </w:tr>
      <w:tr>
        <w:trPr>
          <w:trHeight w:hRule="exact" w:val="242"/>
        </w:trPr>
        <w:tc>
          <w:tcPr>
            <w:tcW w:type="dxa" w:w="40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36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73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7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20,884 </w:t>
            </w:r>
          </w:p>
        </w:tc>
      </w:tr>
    </w:tbl>
    <w:p>
      <w:pPr>
        <w:autoSpaceDN w:val="0"/>
        <w:autoSpaceDE w:val="0"/>
        <w:widowControl/>
        <w:spacing w:line="178" w:lineRule="exact" w:before="30" w:after="32"/>
        <w:ind w:left="68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Of which transfers from: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20"/>
        <w:gridCol w:w="4720"/>
      </w:tblGrid>
      <w:tr>
        <w:trPr>
          <w:trHeight w:hRule="exact" w:val="718"/>
        </w:trPr>
        <w:tc>
          <w:tcPr>
            <w:tcW w:type="dxa" w:w="513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0" w:after="0"/>
              <w:ind w:left="242" w:right="288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IBRD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IFC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Nonaffiliated organizations</w:t>
            </w:r>
          </w:p>
        </w:tc>
        <w:tc>
          <w:tcPr>
            <w:tcW w:type="dxa" w:w="42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0" w:after="0"/>
              <w:ind w:left="2880" w:right="7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16,769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3,885 </w:t>
            </w:r>
            <w:r>
              <w:br/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230 </w:t>
            </w:r>
          </w:p>
        </w:tc>
      </w:tr>
    </w:tbl>
    <w:p>
      <w:pPr>
        <w:autoSpaceDN w:val="0"/>
        <w:autoSpaceDE w:val="0"/>
        <w:widowControl/>
        <w:spacing w:line="240" w:lineRule="exact" w:before="162" w:after="0"/>
        <w:ind w:left="10" w:right="288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On October 13, 2023, IBRD's Board of Governors approved a transfer of $291 million to IDA. This transfer was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received on October 24, 2023.</w:t>
      </w:r>
    </w:p>
    <w:p>
      <w:pPr>
        <w:autoSpaceDN w:val="0"/>
        <w:autoSpaceDE w:val="0"/>
        <w:widowControl/>
        <w:spacing w:line="222" w:lineRule="exact" w:before="138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Administrative Services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payable to IBRD represents IDA’s share of joint administrative expenses including contributions to special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programs, net of other revenue jointly earned. The allocation of expenses is based upon an agreed cost sharing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formula, and amounts are settled quarterly. 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For the fiscal year ended June 30, 2024, IDA’s share of joint administrative expenses and contributions to special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programs totaled $1,750 million ($1,744 million—fiscal year ended June 30, 2023 and $1,644 million—fiscal year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ended June 30, 2022). This amount excludes Bank-executed activities for trust funds expenses of $705 million ($686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million—fiscal year ended June 30, 2023 and $613 million—fiscal year ended June 30, 2022).</w:t>
      </w:r>
    </w:p>
    <w:p>
      <w:pPr>
        <w:autoSpaceDN w:val="0"/>
        <w:autoSpaceDE w:val="0"/>
        <w:widowControl/>
        <w:spacing w:line="222" w:lineRule="exact" w:before="138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Other revenue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IDA’s share of other revenue jointly earned with IBRD during the fiscal year ended June 30, 2024, totaled $326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million ($280 million—fiscal year ended June 30, 2023 and $252 million—fiscal year ended June 30, 2022). This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amount excludes Bank-executed activities for trust fund revenue of $705 million ($686 million—fiscal year ended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June 30, 2023 and $613 million—fiscal year ended June 30, 2022). </w:t>
      </w:r>
    </w:p>
    <w:p>
      <w:pPr>
        <w:autoSpaceDN w:val="0"/>
        <w:autoSpaceDE w:val="0"/>
        <w:widowControl/>
        <w:spacing w:line="240" w:lineRule="exact" w:before="120" w:after="0"/>
        <w:ind w:left="10" w:right="288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amount of fee revenue associated with services provided to other affiliated organizations is included in Other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revenue on the Statements of Income, as follows: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H3: Fee revenue from affiliated organizations</w:t>
      </w:r>
    </w:p>
    <w:p>
      <w:pPr>
        <w:autoSpaceDN w:val="0"/>
        <w:autoSpaceDE w:val="0"/>
        <w:widowControl/>
        <w:spacing w:line="178" w:lineRule="exact" w:before="154" w:after="0"/>
        <w:ind w:left="126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p>
      <w:pPr>
        <w:autoSpaceDN w:val="0"/>
        <w:autoSpaceDE w:val="0"/>
        <w:widowControl/>
        <w:spacing w:line="178" w:lineRule="exact" w:before="62" w:after="20"/>
        <w:ind w:left="0" w:right="2142" w:firstLine="0"/>
        <w:jc w:val="right"/>
      </w:pPr>
      <w:r>
        <w:rPr>
          <w:rFonts w:ascii="Arial" w:hAnsi="Arial" w:eastAsia="Arial"/>
          <w:b w:val="0"/>
          <w:i/>
          <w:color w:val="000000"/>
          <w:sz w:val="16"/>
        </w:rPr>
        <w:t>Fiscal Year Ended June 30,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240"/>
        </w:trPr>
        <w:tc>
          <w:tcPr>
            <w:tcW w:type="dxa" w:w="358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23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2024</w:t>
            </w:r>
          </w:p>
        </w:tc>
        <w:tc>
          <w:tcPr>
            <w:tcW w:type="dxa" w:w="68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3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23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2023</w:t>
            </w:r>
          </w:p>
        </w:tc>
        <w:tc>
          <w:tcPr>
            <w:tcW w:type="dxa" w:w="6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24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2022</w:t>
            </w:r>
          </w:p>
        </w:tc>
      </w:tr>
      <w:tr>
        <w:trPr>
          <w:trHeight w:hRule="exact" w:val="240"/>
        </w:trPr>
        <w:tc>
          <w:tcPr>
            <w:tcW w:type="dxa" w:w="358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2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Fees charged to IFC</w:t>
            </w:r>
          </w:p>
        </w:tc>
        <w:tc>
          <w:tcPr>
            <w:tcW w:type="dxa" w:w="40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23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25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99 </w:t>
            </w:r>
          </w:p>
        </w:tc>
        <w:tc>
          <w:tcPr>
            <w:tcW w:type="dxa" w:w="68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23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25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93 </w:t>
            </w:r>
          </w:p>
        </w:tc>
        <w:tc>
          <w:tcPr>
            <w:tcW w:type="dxa" w:w="66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0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2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25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84 </w:t>
            </w:r>
          </w:p>
        </w:tc>
      </w:tr>
      <w:tr>
        <w:trPr>
          <w:trHeight w:hRule="exact" w:val="480"/>
        </w:trPr>
        <w:tc>
          <w:tcPr>
            <w:tcW w:type="dxa" w:w="358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12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Fees charged to MIGA</w:t>
            </w:r>
          </w:p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23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7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 </w:t>
            </w:r>
          </w:p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23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7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 </w:t>
            </w:r>
          </w:p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2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76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 </w:t>
            </w:r>
          </w:p>
        </w:tc>
      </w:tr>
    </w:tbl>
    <w:p>
      <w:pPr>
        <w:autoSpaceDN w:val="0"/>
        <w:autoSpaceDE w:val="0"/>
        <w:widowControl/>
        <w:spacing w:line="222" w:lineRule="exact" w:before="17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Derivative transactions</w:t>
      </w:r>
    </w:p>
    <w:p>
      <w:pPr>
        <w:autoSpaceDN w:val="0"/>
        <w:autoSpaceDE w:val="0"/>
        <w:widowControl/>
        <w:spacing w:line="224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Under the Local Currency Facility of the Private Sector Window (PSW), IDA enters into derivative transactions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with IFC to support local currency loan transactions where currency hedging capabilities are limited or unavailable.</w:t>
      </w:r>
    </w:p>
    <w:p>
      <w:pPr>
        <w:autoSpaceDN w:val="0"/>
        <w:autoSpaceDE w:val="0"/>
        <w:widowControl/>
        <w:spacing w:line="222" w:lineRule="exact" w:before="122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Private Sector Window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PSW was created under the Eighteenth Replenishment of IDA’s Resources (IDA18) to mobilize private sector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investment in IDA-only countries and IDA-eligible Fragile and Conflict-affected Situations. The PSW continued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under IDA’s Twentieth Replenishment of Resources (IDA20), which commenced on July 1, 2022, with an initial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allocation of $2.5 billion. Under the fee arrangement for the PSW, IDA receives fee income for transactions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executed under this window and reimburses IFC and MIGA for the related costs incurred in administering these </w:t>
      </w:r>
    </w:p>
    <w:p>
      <w:pPr>
        <w:autoSpaceDN w:val="0"/>
        <w:tabs>
          <w:tab w:pos="8984" w:val="left"/>
        </w:tabs>
        <w:autoSpaceDE w:val="0"/>
        <w:widowControl/>
        <w:spacing w:line="224" w:lineRule="exact" w:before="886" w:after="0"/>
        <w:ind w:left="499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Financial Statements: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107</w:t>
      </w:r>
    </w:p>
    <w:p>
      <w:pPr>
        <w:sectPr>
          <w:pgSz w:w="12240" w:h="15840"/>
          <w:pgMar w:top="700" w:right="1370" w:bottom="2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34" w:lineRule="exact" w:before="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transactions. As of June 30, 2024, the PSW exposures comprising mainly of MIGA Guarantee Facility and IFC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Blended Finance Facility, were $1,507 million ($993 million—June 30, 2023), and the related accumulated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provision was $212 million ($166 million—June 30, 2023). </w:t>
      </w:r>
    </w:p>
    <w:p>
      <w:pPr>
        <w:autoSpaceDN w:val="0"/>
        <w:autoSpaceDE w:val="0"/>
        <w:widowControl/>
        <w:spacing w:line="222" w:lineRule="exact" w:before="138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Investments – Non-trading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During the fiscal year ended June 30, 2015, IDA purchased a debt security issued by IFC for a principal amount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$1,179 million, amortizing over a period of 25 years. The investment carries a fixed interest rate of 1.84% and has 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weighted average maturity of 4 years. As of June 30, 2024, the principal amount due on the debt security was $185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million ($262 million—June 30, 2023), and it had a fair value of $171 million ($244 million—June 30, 2023).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investment is reported under Investments in the Balance Sheets. During the fiscal year ended June 30, 2024, IDA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recognized interest income of $4 million from this investment ($6 million fiscal year ended June 30, 2023 and $8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million—fiscal year ended June 30, 2022).</w:t>
      </w:r>
    </w:p>
    <w:p>
      <w:pPr>
        <w:autoSpaceDN w:val="0"/>
        <w:autoSpaceDE w:val="0"/>
        <w:widowControl/>
        <w:spacing w:line="222" w:lineRule="exact" w:before="138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Pension and Other Post-Retirement Benefits</w:t>
      </w:r>
    </w:p>
    <w:p>
      <w:pPr>
        <w:autoSpaceDN w:val="0"/>
        <w:autoSpaceDE w:val="0"/>
        <w:widowControl/>
        <w:spacing w:line="240" w:lineRule="exact" w:before="120" w:after="0"/>
        <w:ind w:left="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staff of IBRD perform functions for both IBRD and IDA, but all staff compensation is paid directly by IBRD.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Accordingly, a portion of IBRD's staff and associated administrative costs is allocated to IDA based on an agreed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cost sharing ratio using various indicators. The methodology for computing this share ratio is approved by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Executive Directors for both institutions. </w:t>
      </w:r>
    </w:p>
    <w:p>
      <w:pPr>
        <w:autoSpaceDN w:val="0"/>
        <w:autoSpaceDE w:val="0"/>
        <w:widowControl/>
        <w:spacing w:line="240" w:lineRule="exact" w:before="120" w:after="0"/>
        <w:ind w:left="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IBRD, along with IFC and MIGA, sponsor a defined benefit Staff Retirement Plan and Trust (SRP), the Retired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Staff Benefits Plan and Trust (RSBP) and the Post-Employment Benefits Plan (PEBP) that cover substantially all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their staff members. </w:t>
      </w:r>
    </w:p>
    <w:p>
      <w:pPr>
        <w:autoSpaceDN w:val="0"/>
        <w:autoSpaceDE w:val="0"/>
        <w:widowControl/>
        <w:spacing w:line="240" w:lineRule="exact" w:before="120" w:after="0"/>
        <w:ind w:left="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SRP provides regular defined pension benefits and also includes a cash balance component. The RSBP provides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certain health and life insurance benefits to eligible retirees. The PEBP provides certain pension benefits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administered outside the SRP. 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June 30 is used as the measurement date for these pension and other postretirement benefit plans. All costs, assets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and liabilities associated with these plans are allocated between IBRD, IFC, and MIGA based upon their employees’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respective participation in the plans.</w:t>
      </w:r>
    </w:p>
    <w:p>
      <w:pPr>
        <w:autoSpaceDN w:val="0"/>
        <w:autoSpaceDE w:val="0"/>
        <w:widowControl/>
        <w:spacing w:line="240" w:lineRule="exact" w:before="12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While IDA is not a participating entity to these benefit plans, IDA shares in the costs and reimburses IBRD for its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proportionate share of any contributions made to these plans by IBRD based on an agreed cost sharing ratio.</w:t>
      </w:r>
    </w:p>
    <w:p>
      <w:pPr>
        <w:autoSpaceDN w:val="0"/>
        <w:autoSpaceDE w:val="0"/>
        <w:widowControl/>
        <w:spacing w:line="240" w:lineRule="exact" w:before="12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During the fiscal year ended June 30, 2024, IDA’s share of IBRD’s costs relating to all three plans totaled $98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million ($163 million—fiscal year ended June 30, 2023 and $191 million—fiscal year ended June 30, 2022).</w:t>
      </w:r>
    </w:p>
    <w:p>
      <w:pPr>
        <w:autoSpaceDN w:val="0"/>
        <w:autoSpaceDE w:val="0"/>
        <w:widowControl/>
        <w:spacing w:line="240" w:lineRule="exact" w:before="12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receivable from IBRD represents IDA’s net share of prepaid costs for pension and other postretirement benefit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plans and PEBP assets. These will be realized over the lives of the plan participants.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cost of any potential future liability arising from these plans would be shared by IBRD and IDA using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applicable cost sharing ratio. As of June 30, 2024, the SRP and the RSBP were overfunded by $3,523 million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$1,132 million, respectively. The PEBP, after reflecting IBRD and IDA’s share of assets which are included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IBRD’s investment portfolio of $2,135 million, was overfunded by $38 million.</w:t>
      </w:r>
    </w:p>
    <w:p>
      <w:pPr>
        <w:autoSpaceDN w:val="0"/>
        <w:tabs>
          <w:tab w:pos="758" w:val="left"/>
        </w:tabs>
        <w:autoSpaceDE w:val="0"/>
        <w:widowControl/>
        <w:spacing w:line="224" w:lineRule="exact" w:before="4114" w:after="0"/>
        <w:ind w:left="5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108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Financial Statements: June 30, 2024</w:t>
      </w:r>
    </w:p>
    <w:p>
      <w:pPr>
        <w:sectPr>
          <w:pgSz w:w="12240" w:h="15840"/>
          <w:pgMar w:top="700" w:right="1370" w:bottom="2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2"/>
        <w:ind w:left="0" w:right="0"/>
      </w:pPr>
    </w:p>
    <w:p>
      <w:pPr>
        <w:autoSpaceDN w:val="0"/>
        <w:autoSpaceDE w:val="0"/>
        <w:widowControl/>
        <w:spacing w:line="260" w:lineRule="exact" w:before="0" w:after="0"/>
        <w:ind w:left="1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NOTE I—ACCUMULATED OTHER COMPREHENSIVE LOSS </w:t>
      </w:r>
      <w:r>
        <w:br/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Comprehensive income consists of net income (loss) and other gains or losses affecting equity that, under U.S.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GAAP, are excluded from net income (loss). For IDA, other comprehensive income (loss) is comprised of currency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translation adjustments on functional currencies and DVA on fair value option elected liabilities. These items are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presented in the Statements of Comprehensive Income.</w:t>
      </w:r>
    </w:p>
    <w:p>
      <w:pPr>
        <w:autoSpaceDN w:val="0"/>
        <w:tabs>
          <w:tab w:pos="38" w:val="left"/>
          <w:tab w:pos="5466" w:val="left"/>
          <w:tab w:pos="7070" w:val="left"/>
        </w:tabs>
        <w:autoSpaceDE w:val="0"/>
        <w:widowControl/>
        <w:spacing w:line="294" w:lineRule="exact" w:before="66" w:after="8"/>
        <w:ind w:left="10" w:right="1008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following table presents the changes in Accumulated Other Comprehensive Loss (AOCL) balances: </w:t>
      </w:r>
      <w:r>
        <w:rPr>
          <w:rFonts w:ascii="TimesNewRoman" w:hAnsi="TimesNewRoman" w:eastAsia="TimesNewRoman"/>
          <w:b/>
          <w:i w:val="0"/>
          <w:color w:val="000000"/>
          <w:sz w:val="20"/>
        </w:rPr>
        <w:t xml:space="preserve">Table I1: Changes in AOCL </w:t>
      </w:r>
      <w:r>
        <w:br/>
      </w:r>
      <w:r>
        <w:rPr>
          <w:rFonts w:ascii="Arial" w:hAnsi="Arial" w:eastAsia="Arial"/>
          <w:b w:val="0"/>
          <w:i/>
          <w:color w:val="000000"/>
          <w:sz w:val="16"/>
        </w:rPr>
        <w:t xml:space="preserve">In millions of U.S dollars </w:t>
      </w:r>
      <w:r>
        <w:br/>
      </w:r>
      <w:r>
        <w:tab/>
      </w:r>
      <w:r>
        <w:tab/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 xml:space="preserve">2024 </w:t>
      </w:r>
      <w:r>
        <w:br/>
      </w:r>
      <w:r>
        <w:tab/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 xml:space="preserve">Balance,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73"/>
        <w:gridCol w:w="1573"/>
        <w:gridCol w:w="1573"/>
        <w:gridCol w:w="1573"/>
        <w:gridCol w:w="1573"/>
        <w:gridCol w:w="1573"/>
      </w:tblGrid>
      <w:tr>
        <w:trPr>
          <w:trHeight w:hRule="exact" w:val="176"/>
        </w:trPr>
        <w:tc>
          <w:tcPr>
            <w:tcW w:type="dxa" w:w="511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32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beginning of the </w:t>
            </w:r>
          </w:p>
        </w:tc>
        <w:tc>
          <w:tcPr>
            <w:tcW w:type="dxa" w:w="41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2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7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Changes </w:t>
            </w:r>
          </w:p>
        </w:tc>
        <w:tc>
          <w:tcPr>
            <w:tcW w:type="dxa" w:w="13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Balance, end of </w:t>
            </w:r>
          </w:p>
        </w:tc>
      </w:tr>
      <w:tr>
        <w:trPr>
          <w:trHeight w:hRule="exact" w:val="230"/>
        </w:trPr>
        <w:tc>
          <w:tcPr>
            <w:tcW w:type="dxa" w:w="1573"/>
            <w:vMerge/>
            <w:tcBorders>
              <w:bottom w:sz="8.0" w:val="single" w:color="#000000"/>
            </w:tcBorders>
          </w:tcPr>
          <w:p/>
        </w:tc>
        <w:tc>
          <w:tcPr>
            <w:tcW w:type="dxa" w:w="1326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fiscal year</w:t>
            </w:r>
          </w:p>
        </w:tc>
        <w:tc>
          <w:tcPr>
            <w:tcW w:type="dxa" w:w="1573"/>
            <w:vMerge/>
            <w:tcBorders>
              <w:bottom w:sz="8.0" w:val="single" w:color="#000000"/>
            </w:tcBorders>
          </w:tcPr>
          <w:p/>
        </w:tc>
        <w:tc>
          <w:tcPr>
            <w:tcW w:type="dxa" w:w="120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1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in AOCI</w:t>
            </w:r>
          </w:p>
        </w:tc>
        <w:tc>
          <w:tcPr>
            <w:tcW w:type="dxa" w:w="132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the fiscal year</w:t>
            </w:r>
          </w:p>
        </w:tc>
      </w:tr>
      <w:tr>
        <w:trPr>
          <w:trHeight w:hRule="exact" w:val="190"/>
        </w:trPr>
        <w:tc>
          <w:tcPr>
            <w:tcW w:type="dxa" w:w="511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Currency translation adjustments on functional currencies</w:t>
            </w:r>
          </w:p>
        </w:tc>
        <w:tc>
          <w:tcPr>
            <w:tcW w:type="dxa" w:w="27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(8,915) </w:t>
            </w:r>
          </w:p>
        </w:tc>
        <w:tc>
          <w:tcPr>
            <w:tcW w:type="dxa" w:w="41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7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20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1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(1,652) </w:t>
            </w:r>
          </w:p>
        </w:tc>
        <w:tc>
          <w:tcPr>
            <w:tcW w:type="dxa" w:w="132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(10,567) </w:t>
            </w:r>
          </w:p>
        </w:tc>
      </w:tr>
      <w:tr>
        <w:trPr>
          <w:trHeight w:hRule="exact" w:val="260"/>
        </w:trPr>
        <w:tc>
          <w:tcPr>
            <w:tcW w:type="dxa" w:w="511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DVA on Fair Value option elected liabilities</w:t>
            </w:r>
          </w:p>
        </w:tc>
        <w:tc>
          <w:tcPr>
            <w:tcW w:type="dxa" w:w="1326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0" w:right="3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(31) </w:t>
            </w:r>
          </w:p>
        </w:tc>
        <w:tc>
          <w:tcPr>
            <w:tcW w:type="dxa" w:w="1573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20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0" w:right="58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 </w:t>
            </w:r>
          </w:p>
        </w:tc>
        <w:tc>
          <w:tcPr>
            <w:tcW w:type="dxa" w:w="132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2" w:after="0"/>
              <w:ind w:left="0" w:right="3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(25) </w:t>
            </w:r>
          </w:p>
        </w:tc>
      </w:tr>
      <w:tr>
        <w:trPr>
          <w:trHeight w:hRule="exact" w:val="220"/>
        </w:trPr>
        <w:tc>
          <w:tcPr>
            <w:tcW w:type="dxa" w:w="511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 AOCI</w:t>
            </w:r>
          </w:p>
        </w:tc>
        <w:tc>
          <w:tcPr>
            <w:tcW w:type="dxa" w:w="276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50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(8,946) </w:t>
            </w:r>
          </w:p>
        </w:tc>
        <w:tc>
          <w:tcPr>
            <w:tcW w:type="dxa" w:w="4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7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2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2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(1,646) </w:t>
            </w:r>
          </w:p>
        </w:tc>
        <w:tc>
          <w:tcPr>
            <w:tcW w:type="dxa" w:w="132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(10,592) </w:t>
            </w:r>
          </w:p>
        </w:tc>
      </w:tr>
    </w:tbl>
    <w:p>
      <w:pPr>
        <w:autoSpaceDN w:val="0"/>
        <w:tabs>
          <w:tab w:pos="38" w:val="left"/>
          <w:tab w:pos="5466" w:val="left"/>
          <w:tab w:pos="7070" w:val="left"/>
        </w:tabs>
        <w:autoSpaceDE w:val="0"/>
        <w:widowControl/>
        <w:spacing w:line="272" w:lineRule="exact" w:before="462" w:after="6"/>
        <w:ind w:left="10" w:right="1872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 xml:space="preserve">Table I1.1 </w:t>
      </w:r>
      <w:r>
        <w:br/>
      </w:r>
      <w:r>
        <w:rPr>
          <w:rFonts w:ascii="Arial" w:hAnsi="Arial" w:eastAsia="Arial"/>
          <w:b w:val="0"/>
          <w:i/>
          <w:color w:val="000000"/>
          <w:sz w:val="16"/>
        </w:rPr>
        <w:t xml:space="preserve">In millions of U.S dollars </w:t>
      </w:r>
      <w:r>
        <w:br/>
      </w:r>
      <w:r>
        <w:tab/>
      </w:r>
      <w:r>
        <w:tab/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 xml:space="preserve">2023 </w:t>
      </w:r>
      <w:r>
        <w:tab/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 xml:space="preserve">Balance,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182"/>
        </w:trPr>
        <w:tc>
          <w:tcPr>
            <w:tcW w:type="dxa" w:w="511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47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" w:after="0"/>
              <w:ind w:left="96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beginning of the </w:t>
            </w:r>
          </w:p>
        </w:tc>
        <w:tc>
          <w:tcPr>
            <w:tcW w:type="dxa" w:w="26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" w:after="0"/>
              <w:ind w:left="7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Changes </w:t>
            </w:r>
          </w:p>
        </w:tc>
        <w:tc>
          <w:tcPr>
            <w:tcW w:type="dxa" w:w="14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" w:after="0"/>
              <w:ind w:left="25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Balance, end of </w:t>
            </w:r>
          </w:p>
        </w:tc>
      </w:tr>
      <w:tr>
        <w:trPr>
          <w:trHeight w:hRule="exact" w:val="226"/>
        </w:trPr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1472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30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fiscal year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10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11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in AOCI</w:t>
            </w:r>
          </w:p>
        </w:tc>
        <w:tc>
          <w:tcPr>
            <w:tcW w:type="dxa" w:w="147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6" w:after="0"/>
              <w:ind w:left="31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the fiscal year</w:t>
            </w:r>
          </w:p>
        </w:tc>
      </w:tr>
      <w:tr>
        <w:trPr>
          <w:trHeight w:hRule="exact" w:val="214"/>
        </w:trPr>
        <w:tc>
          <w:tcPr>
            <w:tcW w:type="dxa" w:w="511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Currency translation adjustments on functional currencies</w:t>
            </w:r>
          </w:p>
        </w:tc>
        <w:tc>
          <w:tcPr>
            <w:tcW w:type="dxa" w:w="27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9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(9,139) </w:t>
            </w:r>
          </w:p>
        </w:tc>
        <w:tc>
          <w:tcPr>
            <w:tcW w:type="dxa" w:w="26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4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224 </w:t>
            </w:r>
          </w:p>
        </w:tc>
        <w:tc>
          <w:tcPr>
            <w:tcW w:type="dxa" w:w="4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1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3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(8,915) </w:t>
            </w:r>
          </w:p>
        </w:tc>
      </w:tr>
      <w:tr>
        <w:trPr>
          <w:trHeight w:hRule="exact" w:val="234"/>
        </w:trPr>
        <w:tc>
          <w:tcPr>
            <w:tcW w:type="dxa" w:w="511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DVA on Fair Value option elected liabilities</w:t>
            </w:r>
          </w:p>
        </w:tc>
        <w:tc>
          <w:tcPr>
            <w:tcW w:type="dxa" w:w="1472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0" w:right="5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(13) </w:t>
            </w:r>
          </w:p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060"/>
            <w:tcBorders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0" w:right="4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(18) </w:t>
            </w:r>
          </w:p>
        </w:tc>
        <w:tc>
          <w:tcPr>
            <w:tcW w:type="dxa" w:w="147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6" w:after="0"/>
              <w:ind w:left="0" w:right="35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(31) </w:t>
            </w:r>
          </w:p>
        </w:tc>
      </w:tr>
      <w:tr>
        <w:trPr>
          <w:trHeight w:hRule="exact" w:val="220"/>
        </w:trPr>
        <w:tc>
          <w:tcPr>
            <w:tcW w:type="dxa" w:w="511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 AOCI</w:t>
            </w:r>
          </w:p>
        </w:tc>
        <w:tc>
          <w:tcPr>
            <w:tcW w:type="dxa" w:w="276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1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(9,152) </w:t>
            </w:r>
          </w:p>
        </w:tc>
        <w:tc>
          <w:tcPr>
            <w:tcW w:type="dxa" w:w="264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60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4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206 </w:t>
            </w:r>
          </w:p>
        </w:tc>
        <w:tc>
          <w:tcPr>
            <w:tcW w:type="dxa" w:w="4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1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1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(8,946) </w:t>
            </w:r>
          </w:p>
        </w:tc>
      </w:tr>
    </w:tbl>
    <w:p>
      <w:pPr>
        <w:autoSpaceDN w:val="0"/>
        <w:tabs>
          <w:tab w:pos="38" w:val="left"/>
          <w:tab w:pos="5466" w:val="left"/>
          <w:tab w:pos="7070" w:val="left"/>
        </w:tabs>
        <w:autoSpaceDE w:val="0"/>
        <w:widowControl/>
        <w:spacing w:line="272" w:lineRule="exact" w:before="402" w:after="6"/>
        <w:ind w:left="10" w:right="1872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 xml:space="preserve">Table I1.2 </w:t>
      </w:r>
      <w:r>
        <w:br/>
      </w:r>
      <w:r>
        <w:rPr>
          <w:rFonts w:ascii="Arial" w:hAnsi="Arial" w:eastAsia="Arial"/>
          <w:b w:val="0"/>
          <w:i/>
          <w:color w:val="000000"/>
          <w:sz w:val="16"/>
        </w:rPr>
        <w:t xml:space="preserve">In millions of U.S dollars </w:t>
      </w:r>
      <w:r>
        <w:br/>
      </w:r>
      <w:r>
        <w:tab/>
      </w:r>
      <w:r>
        <w:tab/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 xml:space="preserve">2022 </w:t>
      </w:r>
      <w:r>
        <w:tab/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 xml:space="preserve">Balance,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80"/>
        <w:gridCol w:w="1180"/>
        <w:gridCol w:w="1180"/>
        <w:gridCol w:w="1180"/>
        <w:gridCol w:w="1180"/>
        <w:gridCol w:w="1180"/>
        <w:gridCol w:w="1180"/>
        <w:gridCol w:w="1180"/>
      </w:tblGrid>
      <w:tr>
        <w:trPr>
          <w:trHeight w:hRule="exact" w:val="188"/>
        </w:trPr>
        <w:tc>
          <w:tcPr>
            <w:tcW w:type="dxa" w:w="455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9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120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beginning of the </w:t>
            </w:r>
          </w:p>
        </w:tc>
        <w:tc>
          <w:tcPr>
            <w:tcW w:type="dxa" w:w="1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238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Changes </w:t>
            </w:r>
          </w:p>
        </w:tc>
        <w:tc>
          <w:tcPr>
            <w:tcW w:type="dxa" w:w="153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31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Balance, end of </w:t>
            </w:r>
          </w:p>
        </w:tc>
      </w:tr>
      <w:tr>
        <w:trPr>
          <w:trHeight w:hRule="exact" w:val="220"/>
        </w:trPr>
        <w:tc>
          <w:tcPr>
            <w:tcW w:type="dxa" w:w="1180"/>
            <w:vMerge/>
            <w:tcBorders>
              <w:bottom w:sz="8.0" w:val="single" w:color="#000000"/>
            </w:tcBorders>
          </w:tcPr>
          <w:p/>
        </w:tc>
        <w:tc>
          <w:tcPr>
            <w:tcW w:type="dxa" w:w="196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" w:after="0"/>
              <w:ind w:left="0" w:right="372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fiscal year</w:t>
            </w:r>
          </w:p>
        </w:tc>
        <w:tc>
          <w:tcPr>
            <w:tcW w:type="dxa" w:w="134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" w:after="0"/>
              <w:ind w:left="0" w:right="322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in AOCI</w:t>
            </w:r>
          </w:p>
        </w:tc>
        <w:tc>
          <w:tcPr>
            <w:tcW w:type="dxa" w:w="1530"/>
            <w:gridSpan w:val="3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2" w:after="0"/>
              <w:ind w:left="37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the fiscal year</w:t>
            </w:r>
          </w:p>
        </w:tc>
      </w:tr>
      <w:tr>
        <w:trPr>
          <w:trHeight w:hRule="exact" w:val="200"/>
        </w:trPr>
        <w:tc>
          <w:tcPr>
            <w:tcW w:type="dxa" w:w="455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4" w:lineRule="exact" w:before="0" w:after="0"/>
              <w:ind w:left="62" w:right="288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Currency translation adjustments on functional currencies 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DVA on Fair Value option elected liabilities</w:t>
            </w:r>
          </w:p>
        </w:tc>
        <w:tc>
          <w:tcPr>
            <w:tcW w:type="dxa" w:w="9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1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1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1,712 </w:t>
            </w:r>
          </w:p>
        </w:tc>
        <w:tc>
          <w:tcPr>
            <w:tcW w:type="dxa" w:w="3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6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(10,851) </w:t>
            </w:r>
          </w:p>
        </w:tc>
        <w:tc>
          <w:tcPr>
            <w:tcW w:type="dxa" w:w="518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1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12"/>
            <w:gridSpan w:val="2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1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(9,139) </w:t>
            </w:r>
          </w:p>
        </w:tc>
      </w:tr>
      <w:tr>
        <w:trPr>
          <w:trHeight w:hRule="exact" w:val="250"/>
        </w:trPr>
        <w:tc>
          <w:tcPr>
            <w:tcW w:type="dxa" w:w="1180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96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(56) </w:t>
            </w:r>
          </w:p>
        </w:tc>
        <w:tc>
          <w:tcPr>
            <w:tcW w:type="dxa" w:w="134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43 </w:t>
            </w:r>
          </w:p>
        </w:tc>
        <w:tc>
          <w:tcPr>
            <w:tcW w:type="dxa" w:w="1530"/>
            <w:gridSpan w:val="3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(13) </w:t>
            </w:r>
          </w:p>
        </w:tc>
      </w:tr>
      <w:tr>
        <w:trPr>
          <w:trHeight w:hRule="exact" w:val="220"/>
        </w:trPr>
        <w:tc>
          <w:tcPr>
            <w:tcW w:type="dxa" w:w="45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 AOCI</w:t>
            </w:r>
          </w:p>
        </w:tc>
        <w:tc>
          <w:tcPr>
            <w:tcW w:type="dxa" w:w="9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40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8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1,656 </w:t>
            </w:r>
          </w:p>
        </w:tc>
        <w:tc>
          <w:tcPr>
            <w:tcW w:type="dxa" w:w="3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00"/>
            <w:tcBorders>
              <w:top w:sz="8.0" w:val="single" w:color="#000000"/>
              <w:bottom w:sz="8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8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(10,808) </w:t>
            </w:r>
          </w:p>
        </w:tc>
        <w:tc>
          <w:tcPr>
            <w:tcW w:type="dxa" w:w="518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12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2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(9,152) </w:t>
            </w:r>
          </w:p>
        </w:tc>
      </w:tr>
      <w:tr>
        <w:trPr>
          <w:trHeight w:hRule="exact" w:val="4890"/>
        </w:trPr>
        <w:tc>
          <w:tcPr>
            <w:tcW w:type="dxa" w:w="45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300"/>
            <w:gridSpan w:val="6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4676" w:after="0"/>
              <w:ind w:left="44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IDA Financial Statements: June 30, 2024</w:t>
            </w:r>
          </w:p>
        </w:tc>
        <w:tc>
          <w:tcPr>
            <w:tcW w:type="dxa" w:w="53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467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109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02" w:right="1370" w:bottom="2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2"/>
        <w:ind w:left="0" w:right="0"/>
      </w:pPr>
    </w:p>
    <w:p>
      <w:pPr>
        <w:autoSpaceDN w:val="0"/>
        <w:autoSpaceDE w:val="0"/>
        <w:widowControl/>
        <w:spacing w:line="224" w:lineRule="exact" w:before="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NOTE J— FAIR VALUE DISCLOSURES</w:t>
      </w:r>
    </w:p>
    <w:p>
      <w:pPr>
        <w:autoSpaceDN w:val="0"/>
        <w:autoSpaceDE w:val="0"/>
        <w:widowControl/>
        <w:spacing w:line="244" w:lineRule="exact" w:before="124" w:after="0"/>
        <w:ind w:left="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 xml:space="preserve">Valuation Methods and Assumptions </w:t>
      </w:r>
    </w:p>
    <w:p>
      <w:pPr>
        <w:autoSpaceDN w:val="0"/>
        <w:autoSpaceDE w:val="0"/>
        <w:widowControl/>
        <w:spacing w:line="240" w:lineRule="exact" w:before="13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As of June 30, 2024, and June 30, 2023, IDA had no financial assets or liabilities measured at fair value on a non–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recurring basis.</w:t>
      </w:r>
    </w:p>
    <w:p>
      <w:pPr>
        <w:autoSpaceDN w:val="0"/>
        <w:autoSpaceDE w:val="0"/>
        <w:widowControl/>
        <w:spacing w:line="222" w:lineRule="exact" w:before="138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Due from Banks</w:t>
      </w:r>
    </w:p>
    <w:p>
      <w:pPr>
        <w:autoSpaceDN w:val="0"/>
        <w:autoSpaceDE w:val="0"/>
        <w:widowControl/>
        <w:spacing w:line="240" w:lineRule="exact" w:before="12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carrying amount of unrestricted and restricted cash is considered a reasonable estimate of the fair value of these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positions.</w:t>
      </w:r>
    </w:p>
    <w:p>
      <w:pPr>
        <w:autoSpaceDN w:val="0"/>
        <w:autoSpaceDE w:val="0"/>
        <w:widowControl/>
        <w:spacing w:line="222" w:lineRule="exact" w:before="138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Loans and Loan commitments</w:t>
      </w:r>
    </w:p>
    <w:p>
      <w:pPr>
        <w:autoSpaceDN w:val="0"/>
        <w:autoSpaceDE w:val="0"/>
        <w:widowControl/>
        <w:spacing w:line="240" w:lineRule="exact" w:before="12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There were no loans carried at fair value as of June 30, 2024, and June 30, 2023. IDA’s loans and loan commitments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would be classified as Level 3 within the fair value hierarchy. </w:t>
      </w:r>
    </w:p>
    <w:p>
      <w:pPr>
        <w:autoSpaceDN w:val="0"/>
        <w:autoSpaceDE w:val="0"/>
        <w:widowControl/>
        <w:spacing w:line="222" w:lineRule="exact" w:before="138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Summarized below are the techniques applied in determining the fair values of IDA’s financial instruments.</w:t>
      </w:r>
    </w:p>
    <w:p>
      <w:pPr>
        <w:autoSpaceDN w:val="0"/>
        <w:autoSpaceDE w:val="0"/>
        <w:widowControl/>
        <w:spacing w:line="222" w:lineRule="exact" w:before="138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Investment securities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Where available, quoted market prices are used to determine the fair value of trading securities. For instruments for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which market quotations are not available, fair values are determined using model-based valuation techniques,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whether internally-generated or vendor-supplied, that include the standard discounted cash flow method using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observable market inputs such as yield curves, credit spreads, and constant prepayment spreads. Where applicable,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unobservable inputs such as conditional prepayment rates, probability of default, and loss severity are used.</w:t>
      </w:r>
    </w:p>
    <w:p>
      <w:pPr>
        <w:autoSpaceDN w:val="0"/>
        <w:autoSpaceDE w:val="0"/>
        <w:widowControl/>
        <w:spacing w:line="240" w:lineRule="exact" w:before="12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Unless quoted prices are available, time deposits are reported at face value, which approximates fair value, as they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are short term in nature.</w:t>
      </w:r>
    </w:p>
    <w:p>
      <w:pPr>
        <w:autoSpaceDN w:val="0"/>
        <w:autoSpaceDE w:val="0"/>
        <w:widowControl/>
        <w:spacing w:line="240" w:lineRule="exact" w:before="12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 xml:space="preserve">Securities purchased under resale agreements, securities sold under repurchase agreements, and securities lent </w:t>
      </w:r>
      <w:r>
        <w:rPr>
          <w:rFonts w:ascii="TimesNewRoman" w:hAnsi="TimesNewRoman" w:eastAsia="TimesNewRoman"/>
          <w:b w:val="0"/>
          <w:i/>
          <w:color w:val="000000"/>
          <w:sz w:val="20"/>
        </w:rPr>
        <w:t>under securities lending agreements</w:t>
      </w:r>
    </w:p>
    <w:p>
      <w:pPr>
        <w:autoSpaceDN w:val="0"/>
        <w:autoSpaceDE w:val="0"/>
        <w:widowControl/>
        <w:spacing w:line="222" w:lineRule="exact" w:before="138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These securities are of a short-term nature and are reported at face value, which approximates fair value.</w:t>
      </w:r>
    </w:p>
    <w:p>
      <w:pPr>
        <w:autoSpaceDN w:val="0"/>
        <w:autoSpaceDE w:val="0"/>
        <w:widowControl/>
        <w:spacing w:line="222" w:lineRule="exact" w:before="138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Borrowings</w:t>
      </w:r>
    </w:p>
    <w:p>
      <w:pPr>
        <w:autoSpaceDN w:val="0"/>
        <w:autoSpaceDE w:val="0"/>
        <w:widowControl/>
        <w:spacing w:line="240" w:lineRule="exact" w:before="12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fair value of IDA’s borrowings carried at fair value is calculated using a discounted cash flow method which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relies on observable market inputs such as yield curves, foreign exchange rates, basis spreads and funding spreads.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of June 30, 2024, and June 30, 2023, the fair value of borrowings measured at amortized cost would be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calculated using the same methodology as described above for borrowings at fair value and classified as Level 2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within the fair value hierarchy.</w:t>
      </w:r>
    </w:p>
    <w:p>
      <w:pPr>
        <w:autoSpaceDN w:val="0"/>
        <w:autoSpaceDE w:val="0"/>
        <w:widowControl/>
        <w:spacing w:line="222" w:lineRule="exact" w:before="138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Derivative instruments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Derivative contracts include currency forward contracts, TBA securities, swaptions, options and futures contracts,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currency swaps and interest rate swaps. Where available, quoted market prices are used to determine the fair value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of trading securities. Examples include options and futures contracts.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For instruments for which market quotations are not available, fair values are determined using model-based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valuation techniques, whether internally-generated or vendor-supplied, that include the standard discounted cash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flow method using observable market inputs such as yield curves, foreign exchange rates, credit spreads, basis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spreads, funding spreads and constant prepayment spreads. Where applicable, unobservable inputs such as constant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prepayment rates, probability of default, and loss severity are used.</w:t>
      </w:r>
    </w:p>
    <w:p>
      <w:pPr>
        <w:autoSpaceDN w:val="0"/>
        <w:autoSpaceDE w:val="0"/>
        <w:widowControl/>
        <w:spacing w:line="222" w:lineRule="exact" w:before="138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/>
          <w:color w:val="000000"/>
          <w:sz w:val="20"/>
        </w:rPr>
        <w:t>Valuation adjustments on fair value option elected liabilities</w:t>
      </w:r>
    </w:p>
    <w:p>
      <w:pPr>
        <w:autoSpaceDN w:val="0"/>
        <w:autoSpaceDE w:val="0"/>
        <w:widowControl/>
        <w:spacing w:line="240" w:lineRule="exact" w:before="120" w:after="0"/>
        <w:ind w:left="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DVA on fair value option elected liabilities (market borrowings carried at fair value) is measured by revaluing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each liability to determine the changes in fair value of that liability arising from changes in IDA’s cost of funding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applicable to the relevant reference rates. </w:t>
      </w:r>
    </w:p>
    <w:p>
      <w:pPr>
        <w:autoSpaceDN w:val="0"/>
        <w:tabs>
          <w:tab w:pos="758" w:val="left"/>
        </w:tabs>
        <w:autoSpaceDE w:val="0"/>
        <w:widowControl/>
        <w:spacing w:line="224" w:lineRule="exact" w:before="1570" w:after="0"/>
        <w:ind w:left="5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110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Financial Statements: June 30, 2024</w:t>
      </w:r>
    </w:p>
    <w:p>
      <w:pPr>
        <w:sectPr>
          <w:pgSz w:w="12240" w:h="15840"/>
          <w:pgMar w:top="702" w:right="1370" w:bottom="20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30" w:lineRule="exact" w:before="0" w:after="0"/>
        <w:ind w:left="10" w:right="72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table below presents IDA’s estimates of fair value of its financial assets and liabilities along with their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respective carrying amounts.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J1: Fair value and carrying amounts of financial assets and liabilities</w:t>
      </w:r>
    </w:p>
    <w:p>
      <w:pPr>
        <w:autoSpaceDN w:val="0"/>
        <w:autoSpaceDE w:val="0"/>
        <w:widowControl/>
        <w:spacing w:line="178" w:lineRule="exact" w:before="154" w:after="20"/>
        <w:ind w:left="38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359"/>
        <w:gridCol w:w="2359"/>
        <w:gridCol w:w="2359"/>
        <w:gridCol w:w="2359"/>
      </w:tblGrid>
      <w:tr>
        <w:trPr>
          <w:trHeight w:hRule="exact" w:val="240"/>
        </w:trPr>
        <w:tc>
          <w:tcPr>
            <w:tcW w:type="dxa" w:w="6814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732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2024</w:t>
            </w:r>
          </w:p>
        </w:tc>
        <w:tc>
          <w:tcPr>
            <w:tcW w:type="dxa" w:w="252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2023</w:t>
            </w:r>
          </w:p>
        </w:tc>
      </w:tr>
      <w:tr>
        <w:trPr>
          <w:trHeight w:hRule="exact" w:val="240"/>
        </w:trPr>
        <w:tc>
          <w:tcPr>
            <w:tcW w:type="dxa" w:w="555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80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Carrying Value</w:t>
            </w:r>
          </w:p>
        </w:tc>
        <w:tc>
          <w:tcPr>
            <w:tcW w:type="dxa" w:w="12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Fair Value</w:t>
            </w:r>
          </w:p>
        </w:tc>
        <w:tc>
          <w:tcPr>
            <w:tcW w:type="dxa" w:w="12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Carrying Value</w:t>
            </w:r>
          </w:p>
        </w:tc>
        <w:tc>
          <w:tcPr>
            <w:tcW w:type="dxa" w:w="12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Fair Value</w:t>
            </w:r>
          </w:p>
        </w:tc>
      </w:tr>
    </w:tbl>
    <w:p>
      <w:pPr>
        <w:autoSpaceDN w:val="0"/>
        <w:autoSpaceDE w:val="0"/>
        <w:widowControl/>
        <w:spacing w:line="178" w:lineRule="exact" w:before="22" w:after="32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Assets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240"/>
        </w:trPr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Due from banks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586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8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586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8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689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8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689 </w:t>
            </w:r>
          </w:p>
        </w:tc>
      </w:tr>
    </w:tbl>
    <w:p>
      <w:pPr>
        <w:autoSpaceDN w:val="0"/>
        <w:autoSpaceDE w:val="0"/>
        <w:widowControl/>
        <w:spacing w:line="180" w:lineRule="exact" w:before="32" w:after="6"/>
        <w:ind w:left="24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Investments (including securities purchased under resale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0.0" w:type="dxa"/>
      </w:tblPr>
      <w:tblGrid>
        <w:gridCol w:w="1888"/>
        <w:gridCol w:w="1888"/>
        <w:gridCol w:w="1888"/>
        <w:gridCol w:w="1888"/>
        <w:gridCol w:w="1888"/>
      </w:tblGrid>
      <w:tr>
        <w:trPr>
          <w:trHeight w:hRule="exact" w:val="200"/>
        </w:trPr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3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agreements)</w:t>
            </w:r>
          </w:p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3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34,435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3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34,435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3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31,990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31,990 </w:t>
            </w:r>
          </w:p>
        </w:tc>
      </w:tr>
      <w:tr>
        <w:trPr>
          <w:trHeight w:hRule="exact" w:val="240"/>
        </w:trPr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Net loans outstanding</w:t>
            </w:r>
          </w:p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198,457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151,428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187,669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141,478 </w:t>
            </w:r>
          </w:p>
        </w:tc>
      </w:tr>
      <w:tr>
        <w:trPr>
          <w:trHeight w:hRule="exact" w:val="256"/>
        </w:trPr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Derivative assets, net</w:t>
            </w:r>
          </w:p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363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363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1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364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364 </w:t>
            </w:r>
          </w:p>
        </w:tc>
      </w:tr>
    </w:tbl>
    <w:p>
      <w:pPr>
        <w:autoSpaceDN w:val="0"/>
        <w:autoSpaceDE w:val="0"/>
        <w:widowControl/>
        <w:spacing w:line="180" w:lineRule="exact" w:before="30" w:after="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Liabilities</w:t>
      </w:r>
    </w:p>
    <w:p>
      <w:pPr>
        <w:autoSpaceDN w:val="0"/>
        <w:autoSpaceDE w:val="0"/>
        <w:widowControl/>
        <w:spacing w:line="180" w:lineRule="exact" w:before="60" w:after="30"/>
        <w:ind w:left="24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Borrowings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10.0" w:type="dxa"/>
      </w:tblPr>
      <w:tblGrid>
        <w:gridCol w:w="1888"/>
        <w:gridCol w:w="1888"/>
        <w:gridCol w:w="1888"/>
        <w:gridCol w:w="1888"/>
        <w:gridCol w:w="1888"/>
      </w:tblGrid>
      <w:tr>
        <w:trPr>
          <w:trHeight w:hRule="exact" w:val="224"/>
        </w:trPr>
        <w:tc>
          <w:tcPr>
            <w:tcW w:type="dxa" w:w="3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Market borrowings, at fair value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3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26,425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26,425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16,786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16,786 </w:t>
            </w:r>
          </w:p>
        </w:tc>
      </w:tr>
      <w:tr>
        <w:trPr>
          <w:trHeight w:hRule="exact" w:val="240"/>
        </w:trPr>
        <w:tc>
          <w:tcPr>
            <w:tcW w:type="dxa" w:w="3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Market borrowings, at amortized cost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11,494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9,920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8,627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6,938 </w:t>
            </w:r>
          </w:p>
        </w:tc>
      </w:tr>
      <w:tr>
        <w:trPr>
          <w:trHeight w:hRule="exact" w:val="252"/>
        </w:trPr>
        <w:tc>
          <w:tcPr>
            <w:tcW w:type="dxa" w:w="3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21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Concessional partner loans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7,004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6,049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7,154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6,698 </w:t>
            </w:r>
          </w:p>
        </w:tc>
      </w:tr>
    </w:tbl>
    <w:p>
      <w:pPr>
        <w:autoSpaceDN w:val="0"/>
        <w:autoSpaceDE w:val="0"/>
        <w:widowControl/>
        <w:spacing w:line="178" w:lineRule="exact" w:before="28" w:after="6"/>
        <w:ind w:left="24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Securities sold under repurchase agreements, securities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88"/>
        <w:gridCol w:w="1888"/>
        <w:gridCol w:w="1888"/>
        <w:gridCol w:w="1888"/>
        <w:gridCol w:w="1888"/>
      </w:tblGrid>
      <w:tr>
        <w:trPr>
          <w:trHeight w:hRule="exact" w:val="176"/>
        </w:trPr>
        <w:tc>
          <w:tcPr>
            <w:tcW w:type="dxa" w:w="47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lent under securities lending agreements, and payable </w:t>
            </w:r>
          </w:p>
        </w:tc>
        <w:tc>
          <w:tcPr>
            <w:tcW w:type="dxa" w:w="1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8" w:after="0"/>
              <w:ind w:left="0" w:right="45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71 </w:t>
            </w:r>
          </w:p>
        </w:tc>
        <w:tc>
          <w:tcPr>
            <w:tcW w:type="dxa" w:w="1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8" w:after="0"/>
              <w:ind w:left="0" w:right="39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71 </w:t>
            </w:r>
          </w:p>
        </w:tc>
        <w:tc>
          <w:tcPr>
            <w:tcW w:type="dxa" w:w="12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8" w:after="0"/>
              <w:ind w:left="0" w:right="39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221 </w:t>
            </w:r>
          </w:p>
        </w:tc>
        <w:tc>
          <w:tcPr>
            <w:tcW w:type="dxa" w:w="90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68" w:after="0"/>
              <w:ind w:left="0" w:right="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221 </w:t>
            </w:r>
          </w:p>
        </w:tc>
      </w:tr>
      <w:tr>
        <w:trPr>
          <w:trHeight w:hRule="exact" w:val="199"/>
        </w:trPr>
        <w:tc>
          <w:tcPr>
            <w:tcW w:type="dxa" w:w="47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" w:after="0"/>
              <w:ind w:left="42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for cash collateral received</w:t>
            </w:r>
          </w:p>
        </w:tc>
        <w:tc>
          <w:tcPr>
            <w:tcW w:type="dxa" w:w="1888"/>
            <w:vMerge/>
            <w:tcBorders/>
          </w:tcPr>
          <w:p/>
        </w:tc>
        <w:tc>
          <w:tcPr>
            <w:tcW w:type="dxa" w:w="1888"/>
            <w:vMerge/>
            <w:tcBorders/>
          </w:tcPr>
          <w:p/>
        </w:tc>
        <w:tc>
          <w:tcPr>
            <w:tcW w:type="dxa" w:w="1888"/>
            <w:vMerge/>
            <w:tcBorders/>
          </w:tcPr>
          <w:p/>
        </w:tc>
        <w:tc>
          <w:tcPr>
            <w:tcW w:type="dxa" w:w="1888"/>
            <w:vMerge/>
            <w:tcBorders/>
          </w:tcPr>
          <w:p/>
        </w:tc>
      </w:tr>
      <w:tr>
        <w:trPr>
          <w:trHeight w:hRule="exact" w:val="481"/>
        </w:trPr>
        <w:tc>
          <w:tcPr>
            <w:tcW w:type="dxa" w:w="47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Derivative liabilities, net</w:t>
            </w:r>
          </w:p>
        </w:tc>
        <w:tc>
          <w:tcPr>
            <w:tcW w:type="dxa" w:w="12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667 </w:t>
            </w:r>
          </w:p>
        </w:tc>
        <w:tc>
          <w:tcPr>
            <w:tcW w:type="dxa" w:w="12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39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667 </w:t>
            </w:r>
          </w:p>
        </w:tc>
        <w:tc>
          <w:tcPr>
            <w:tcW w:type="dxa" w:w="12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1,244 </w:t>
            </w:r>
          </w:p>
        </w:tc>
        <w:tc>
          <w:tcPr>
            <w:tcW w:type="dxa" w:w="90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4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1,244 </w:t>
            </w:r>
          </w:p>
        </w:tc>
      </w:tr>
    </w:tbl>
    <w:p>
      <w:pPr>
        <w:autoSpaceDN w:val="0"/>
        <w:autoSpaceDE w:val="0"/>
        <w:widowControl/>
        <w:spacing w:line="240" w:lineRule="exact" w:before="162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of June 30, 2024, IDA’s signed loan commitments were $68.9 billion ($68.5 billion — June 30, 2023) and had 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fair value of $(12.8) billion ($(9.7) billion—June 30, 2023).</w:t>
      </w:r>
    </w:p>
    <w:p>
      <w:pPr>
        <w:autoSpaceDN w:val="0"/>
        <w:tabs>
          <w:tab w:pos="9014" w:val="left"/>
        </w:tabs>
        <w:autoSpaceDE w:val="0"/>
        <w:widowControl/>
        <w:spacing w:line="224" w:lineRule="exact" w:before="7854" w:after="0"/>
        <w:ind w:left="499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Financial Statements: June 30, 2024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111</w:t>
      </w:r>
    </w:p>
    <w:p>
      <w:pPr>
        <w:sectPr>
          <w:pgSz w:w="12240" w:h="15840"/>
          <w:pgMar w:top="700" w:right="1372" w:bottom="2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30" w:lineRule="exact" w:before="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following tables present IDA’s fair value hierarchy for assets and liabilities measured at fair value on a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recurring basis. 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J2: Fair value hierarchy of IDA’s assets and liabilities</w:t>
      </w:r>
    </w:p>
    <w:p>
      <w:pPr>
        <w:autoSpaceDN w:val="0"/>
        <w:tabs>
          <w:tab w:pos="5606" w:val="left"/>
          <w:tab w:pos="6574" w:val="left"/>
        </w:tabs>
        <w:autoSpaceDE w:val="0"/>
        <w:widowControl/>
        <w:spacing w:line="240" w:lineRule="exact" w:before="92" w:after="20"/>
        <w:ind w:left="62" w:right="432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In millions of U.S. dollars </w:t>
      </w:r>
      <w:r>
        <w:br/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 xml:space="preserve">Fair Value Measurements on a Recurring Basis </w:t>
      </w:r>
      <w:r>
        <w:tab/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>As of June 30, 2024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190.0" w:type="dxa"/>
      </w:tblPr>
      <w:tblGrid>
        <w:gridCol w:w="2359"/>
        <w:gridCol w:w="2359"/>
        <w:gridCol w:w="2359"/>
        <w:gridCol w:w="2359"/>
      </w:tblGrid>
      <w:tr>
        <w:trPr>
          <w:trHeight w:hRule="exact" w:val="240"/>
        </w:trPr>
        <w:tc>
          <w:tcPr>
            <w:tcW w:type="dxa" w:w="9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Level 1</w:t>
            </w:r>
          </w:p>
        </w:tc>
        <w:tc>
          <w:tcPr>
            <w:tcW w:type="dxa" w:w="10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0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Level 2</w:t>
            </w:r>
          </w:p>
        </w:tc>
        <w:tc>
          <w:tcPr>
            <w:tcW w:type="dxa" w:w="106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0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Level 3</w:t>
            </w:r>
          </w:p>
        </w:tc>
        <w:tc>
          <w:tcPr>
            <w:tcW w:type="dxa" w:w="10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9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</w:t>
            </w:r>
          </w:p>
        </w:tc>
      </w:tr>
    </w:tbl>
    <w:p>
      <w:pPr>
        <w:autoSpaceDN w:val="0"/>
        <w:tabs>
          <w:tab w:pos="152" w:val="left"/>
        </w:tabs>
        <w:autoSpaceDE w:val="0"/>
        <w:widowControl/>
        <w:spacing w:line="220" w:lineRule="exact" w:before="0" w:after="32"/>
        <w:ind w:left="62" w:right="7632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 xml:space="preserve">Assets: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16"/>
        </w:rPr>
        <w:t>Investments—Trading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238"/>
        </w:trPr>
        <w:tc>
          <w:tcPr>
            <w:tcW w:type="dxa" w:w="5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1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Government and agency obligations</w:t>
            </w:r>
          </w:p>
        </w:tc>
        <w:tc>
          <w:tcPr>
            <w:tcW w:type="dxa" w:w="28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1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12,806 </w:t>
            </w:r>
          </w:p>
        </w:tc>
        <w:tc>
          <w:tcPr>
            <w:tcW w:type="dxa" w:w="41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6,574 </w:t>
            </w:r>
          </w:p>
        </w:tc>
        <w:tc>
          <w:tcPr>
            <w:tcW w:type="dxa" w:w="57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26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19,380 </w:t>
            </w:r>
          </w:p>
        </w:tc>
      </w:tr>
      <w:tr>
        <w:trPr>
          <w:trHeight w:hRule="exact" w:val="240"/>
        </w:trPr>
        <w:tc>
          <w:tcPr>
            <w:tcW w:type="dxa" w:w="5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1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Time deposits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2,032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12,683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14,715 </w:t>
            </w:r>
          </w:p>
        </w:tc>
      </w:tr>
      <w:tr>
        <w:trPr>
          <w:trHeight w:hRule="exact" w:val="240"/>
        </w:trPr>
        <w:tc>
          <w:tcPr>
            <w:tcW w:type="dxa" w:w="51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1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ABS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8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6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111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3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111 </w:t>
            </w:r>
          </w:p>
        </w:tc>
      </w:tr>
      <w:tr>
        <w:trPr>
          <w:trHeight w:hRule="exact" w:val="240"/>
        </w:trPr>
        <w:tc>
          <w:tcPr>
            <w:tcW w:type="dxa" w:w="51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 Investments—Trading</w:t>
            </w:r>
          </w:p>
        </w:tc>
        <w:tc>
          <w:tcPr>
            <w:tcW w:type="dxa" w:w="28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68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14,838 </w:t>
            </w:r>
          </w:p>
        </w:tc>
        <w:tc>
          <w:tcPr>
            <w:tcW w:type="dxa" w:w="416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66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19,368 </w:t>
            </w:r>
          </w:p>
        </w:tc>
        <w:tc>
          <w:tcPr>
            <w:tcW w:type="dxa" w:w="576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63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26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67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34,206 </w:t>
            </w:r>
          </w:p>
        </w:tc>
      </w:tr>
      <w:tr>
        <w:trPr>
          <w:trHeight w:hRule="exact" w:val="240"/>
        </w:trPr>
        <w:tc>
          <w:tcPr>
            <w:tcW w:type="dxa" w:w="51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Investments—Non-trading</w:t>
            </w:r>
          </w:p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68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66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171 </w:t>
            </w:r>
          </w:p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63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6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171 </w:t>
            </w:r>
          </w:p>
        </w:tc>
      </w:tr>
      <w:tr>
        <w:trPr>
          <w:trHeight w:hRule="exact" w:val="340"/>
        </w:trPr>
        <w:tc>
          <w:tcPr>
            <w:tcW w:type="dxa" w:w="51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 Investments</w:t>
            </w:r>
          </w:p>
        </w:tc>
        <w:tc>
          <w:tcPr>
            <w:tcW w:type="dxa" w:w="2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8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14,838 </w:t>
            </w:r>
          </w:p>
        </w:tc>
        <w:tc>
          <w:tcPr>
            <w:tcW w:type="dxa" w:w="41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6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19,539 </w:t>
            </w:r>
          </w:p>
        </w:tc>
        <w:tc>
          <w:tcPr>
            <w:tcW w:type="dxa" w:w="57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3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26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7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34,377 </w:t>
            </w:r>
          </w:p>
        </w:tc>
      </w:tr>
      <w:tr>
        <w:trPr>
          <w:trHeight w:hRule="exact" w:val="396"/>
        </w:trPr>
        <w:tc>
          <w:tcPr>
            <w:tcW w:type="dxa" w:w="5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56" w:after="0"/>
              <w:ind w:left="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Securities purchased under resale agreements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5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5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56" w:after="0"/>
              <w:ind w:left="0" w:right="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5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58 </w:t>
            </w:r>
          </w:p>
        </w:tc>
        <w:tc>
          <w:tcPr>
            <w:tcW w:type="dxa" w:w="5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5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5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2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5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7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5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58 </w:t>
            </w:r>
          </w:p>
        </w:tc>
      </w:tr>
    </w:tbl>
    <w:p>
      <w:pPr>
        <w:autoSpaceDN w:val="0"/>
        <w:autoSpaceDE w:val="0"/>
        <w:widowControl/>
        <w:spacing w:line="178" w:lineRule="exact" w:before="226" w:after="32"/>
        <w:ind w:left="15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Derivative assets: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228"/>
        </w:trPr>
        <w:tc>
          <w:tcPr>
            <w:tcW w:type="dxa" w:w="5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Currency swaps and currency forward contracts </w:t>
            </w:r>
          </w:p>
        </w:tc>
        <w:tc>
          <w:tcPr>
            <w:tcW w:type="dxa" w:w="46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5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1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767 </w:t>
            </w:r>
          </w:p>
        </w:tc>
        <w:tc>
          <w:tcPr>
            <w:tcW w:type="dxa" w:w="57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2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767 </w:t>
            </w:r>
          </w:p>
        </w:tc>
      </w:tr>
      <w:tr>
        <w:trPr>
          <w:trHeight w:hRule="exact" w:val="240"/>
        </w:trPr>
        <w:tc>
          <w:tcPr>
            <w:tcW w:type="dxa" w:w="5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Interest rate swaps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5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14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2,250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2,250 </w:t>
            </w:r>
          </w:p>
        </w:tc>
      </w:tr>
      <w:tr>
        <w:trPr>
          <w:trHeight w:hRule="exact" w:val="250"/>
        </w:trPr>
        <w:tc>
          <w:tcPr>
            <w:tcW w:type="dxa" w:w="50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Other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a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50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2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3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 </w:t>
            </w:r>
          </w:p>
        </w:tc>
      </w:tr>
      <w:tr>
        <w:trPr>
          <w:trHeight w:hRule="exact" w:val="242"/>
        </w:trPr>
        <w:tc>
          <w:tcPr>
            <w:tcW w:type="dxa" w:w="50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0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 </w:t>
            </w:r>
          </w:p>
        </w:tc>
        <w:tc>
          <w:tcPr>
            <w:tcW w:type="dxa" w:w="45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2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4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3,017 </w:t>
            </w:r>
          </w:p>
        </w:tc>
        <w:tc>
          <w:tcPr>
            <w:tcW w:type="dxa" w:w="57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3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2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1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3,020 </w:t>
            </w:r>
          </w:p>
        </w:tc>
      </w:tr>
    </w:tbl>
    <w:p>
      <w:pPr>
        <w:autoSpaceDN w:val="0"/>
        <w:autoSpaceDE w:val="0"/>
        <w:widowControl/>
        <w:spacing w:line="178" w:lineRule="exact" w:before="30" w:after="20"/>
        <w:ind w:left="15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Less: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0.0" w:type="dxa"/>
      </w:tblPr>
      <w:tblGrid>
        <w:gridCol w:w="3146"/>
        <w:gridCol w:w="3146"/>
        <w:gridCol w:w="3146"/>
      </w:tblGrid>
      <w:tr>
        <w:trPr>
          <w:trHeight w:hRule="exact" w:val="240"/>
        </w:trPr>
        <w:tc>
          <w:tcPr>
            <w:tcW w:type="dxa" w:w="83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1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Amounts subject to legally enforceable master netting agreements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b</w:t>
            </w:r>
          </w:p>
        </w:tc>
        <w:tc>
          <w:tcPr>
            <w:tcW w:type="dxa" w:w="32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6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1,764 </w:t>
            </w:r>
          </w:p>
        </w:tc>
      </w:tr>
      <w:tr>
        <w:trPr>
          <w:trHeight w:hRule="exact" w:val="250"/>
        </w:trPr>
        <w:tc>
          <w:tcPr>
            <w:tcW w:type="dxa" w:w="837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1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Cash collateral received</w:t>
            </w:r>
          </w:p>
        </w:tc>
        <w:tc>
          <w:tcPr>
            <w:tcW w:type="dxa" w:w="3146"/>
            <w:vMerge/>
            <w:tcBorders>
              <w:bottom w:sz="8.0" w:val="single" w:color="#000000"/>
            </w:tcBorders>
          </w:tcPr>
          <w:p/>
        </w:tc>
        <w:tc>
          <w:tcPr>
            <w:tcW w:type="dxa" w:w="6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893 </w:t>
            </w:r>
          </w:p>
        </w:tc>
      </w:tr>
      <w:tr>
        <w:trPr>
          <w:trHeight w:hRule="exact" w:val="240"/>
        </w:trPr>
        <w:tc>
          <w:tcPr>
            <w:tcW w:type="dxa" w:w="83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Derivative assets, net</w:t>
            </w:r>
          </w:p>
        </w:tc>
        <w:tc>
          <w:tcPr>
            <w:tcW w:type="dxa" w:w="3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363 </w:t>
            </w:r>
          </w:p>
        </w:tc>
      </w:tr>
    </w:tbl>
    <w:p>
      <w:pPr>
        <w:autoSpaceDN w:val="0"/>
        <w:autoSpaceDE w:val="0"/>
        <w:widowControl/>
        <w:spacing w:line="180" w:lineRule="exact" w:before="316" w:after="30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Liabilities: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270"/>
        </w:trPr>
        <w:tc>
          <w:tcPr>
            <w:tcW w:type="dxa" w:w="3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Market Borrowings, at fair value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10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26,425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2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10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26,425 </w:t>
            </w:r>
          </w:p>
        </w:tc>
      </w:tr>
    </w:tbl>
    <w:p>
      <w:pPr>
        <w:autoSpaceDN w:val="0"/>
        <w:autoSpaceDE w:val="0"/>
        <w:widowControl/>
        <w:spacing w:line="180" w:lineRule="exact" w:before="336" w:after="6"/>
        <w:ind w:left="15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Securities sold under repurchase agreements, securities lent under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172"/>
        </w:trPr>
        <w:tc>
          <w:tcPr>
            <w:tcW w:type="dxa" w:w="4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securities lending agreements, and payable for cash collateral </w:t>
            </w:r>
          </w:p>
        </w:tc>
        <w:tc>
          <w:tcPr>
            <w:tcW w:type="dxa" w:w="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9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98" w:after="0"/>
              <w:ind w:left="0" w:right="10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5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98" w:after="0"/>
              <w:ind w:left="0" w:right="2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98" w:after="0"/>
              <w:ind w:left="0" w:right="10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71 </w:t>
            </w:r>
          </w:p>
        </w:tc>
        <w:tc>
          <w:tcPr>
            <w:tcW w:type="dxa" w:w="5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98" w:after="0"/>
              <w:ind w:left="0" w:right="2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98" w:after="0"/>
              <w:ind w:left="0" w:right="10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5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98" w:after="0"/>
              <w:ind w:left="0" w:right="2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98" w:after="0"/>
              <w:ind w:left="0" w:right="4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71 </w:t>
            </w:r>
          </w:p>
        </w:tc>
      </w:tr>
      <w:tr>
        <w:trPr>
          <w:trHeight w:hRule="exact" w:val="266"/>
        </w:trPr>
        <w:tc>
          <w:tcPr>
            <w:tcW w:type="dxa" w:w="4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4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received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c</w:t>
            </w:r>
          </w:p>
        </w:tc>
        <w:tc>
          <w:tcPr>
            <w:tcW w:type="dxa" w:w="1049"/>
            <w:vMerge/>
            <w:tcBorders/>
          </w:tcPr>
          <w:p/>
        </w:tc>
        <w:tc>
          <w:tcPr>
            <w:tcW w:type="dxa" w:w="1049"/>
            <w:vMerge/>
            <w:tcBorders/>
          </w:tcPr>
          <w:p/>
        </w:tc>
        <w:tc>
          <w:tcPr>
            <w:tcW w:type="dxa" w:w="1049"/>
            <w:vMerge/>
            <w:tcBorders/>
          </w:tcPr>
          <w:p/>
        </w:tc>
        <w:tc>
          <w:tcPr>
            <w:tcW w:type="dxa" w:w="1049"/>
            <w:vMerge/>
            <w:tcBorders/>
          </w:tcPr>
          <w:p/>
        </w:tc>
        <w:tc>
          <w:tcPr>
            <w:tcW w:type="dxa" w:w="1049"/>
            <w:vMerge/>
            <w:tcBorders/>
          </w:tcPr>
          <w:p/>
        </w:tc>
        <w:tc>
          <w:tcPr>
            <w:tcW w:type="dxa" w:w="1049"/>
            <w:vMerge/>
            <w:tcBorders/>
          </w:tcPr>
          <w:p/>
        </w:tc>
        <w:tc>
          <w:tcPr>
            <w:tcW w:type="dxa" w:w="1049"/>
            <w:vMerge/>
            <w:tcBorders/>
          </w:tcPr>
          <w:p/>
        </w:tc>
        <w:tc>
          <w:tcPr>
            <w:tcW w:type="dxa" w:w="1049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78" w:lineRule="exact" w:before="226" w:after="30"/>
        <w:ind w:left="15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Derivative liabilities: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240"/>
        </w:trPr>
        <w:tc>
          <w:tcPr>
            <w:tcW w:type="dxa" w:w="5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Currency swaps and currency forward contracts</w:t>
            </w:r>
          </w:p>
        </w:tc>
        <w:tc>
          <w:tcPr>
            <w:tcW w:type="dxa" w:w="46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5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665 </w:t>
            </w:r>
          </w:p>
        </w:tc>
        <w:tc>
          <w:tcPr>
            <w:tcW w:type="dxa" w:w="57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49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7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1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665 </w:t>
            </w:r>
          </w:p>
        </w:tc>
      </w:tr>
      <w:tr>
        <w:trPr>
          <w:trHeight w:hRule="exact" w:val="240"/>
        </w:trPr>
        <w:tc>
          <w:tcPr>
            <w:tcW w:type="dxa" w:w="50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Interest rate swaps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50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2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14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1,694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4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1,694 </w:t>
            </w:r>
          </w:p>
        </w:tc>
      </w:tr>
      <w:tr>
        <w:trPr>
          <w:trHeight w:hRule="exact" w:val="240"/>
        </w:trPr>
        <w:tc>
          <w:tcPr>
            <w:tcW w:type="dxa" w:w="50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0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5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2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4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2,359 </w:t>
            </w:r>
          </w:p>
        </w:tc>
        <w:tc>
          <w:tcPr>
            <w:tcW w:type="dxa" w:w="57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4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7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3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1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2,359 </w:t>
            </w:r>
          </w:p>
        </w:tc>
      </w:tr>
    </w:tbl>
    <w:p>
      <w:pPr>
        <w:autoSpaceDN w:val="0"/>
        <w:autoSpaceDE w:val="0"/>
        <w:widowControl/>
        <w:spacing w:line="178" w:lineRule="exact" w:before="32" w:after="20"/>
        <w:ind w:left="24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Less: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46"/>
        <w:gridCol w:w="3146"/>
        <w:gridCol w:w="3146"/>
      </w:tblGrid>
      <w:tr>
        <w:trPr>
          <w:trHeight w:hRule="exact" w:val="250"/>
        </w:trPr>
        <w:tc>
          <w:tcPr>
            <w:tcW w:type="dxa" w:w="844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3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Amounts subject to legally enforceable master netting agreements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d</w:t>
            </w:r>
          </w:p>
        </w:tc>
        <w:tc>
          <w:tcPr>
            <w:tcW w:type="dxa" w:w="32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1,692 </w:t>
            </w:r>
          </w:p>
        </w:tc>
      </w:tr>
      <w:tr>
        <w:trPr>
          <w:trHeight w:hRule="exact" w:val="240"/>
        </w:trPr>
        <w:tc>
          <w:tcPr>
            <w:tcW w:type="dxa" w:w="844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Derivative liabilities, net</w:t>
            </w:r>
          </w:p>
        </w:tc>
        <w:tc>
          <w:tcPr>
            <w:tcW w:type="dxa" w:w="3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667 </w:t>
            </w:r>
          </w:p>
        </w:tc>
      </w:tr>
    </w:tbl>
    <w:p>
      <w:pPr>
        <w:autoSpaceDN w:val="0"/>
        <w:autoSpaceDE w:val="0"/>
        <w:widowControl/>
        <w:spacing w:line="240" w:lineRule="exact" w:before="210" w:after="0"/>
        <w:ind w:left="62" w:right="2736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a. These relate to TBA Securities, swaptions, exchange traded options and futures contracts. </w:t>
      </w:r>
      <w:r>
        <w:rPr>
          <w:rFonts w:ascii="Arial" w:hAnsi="Arial" w:eastAsia="Arial"/>
          <w:b w:val="0"/>
          <w:i/>
          <w:color w:val="000000"/>
          <w:sz w:val="16"/>
        </w:rPr>
        <w:t>b. Includes $92 million CVA.</w:t>
      </w:r>
    </w:p>
    <w:p>
      <w:pPr>
        <w:autoSpaceDN w:val="0"/>
        <w:autoSpaceDE w:val="0"/>
        <w:widowControl/>
        <w:spacing w:line="240" w:lineRule="exact" w:before="0" w:after="0"/>
        <w:ind w:left="62" w:right="4176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c. Excludes amount payable for cash collateral received of $893 million. </w:t>
      </w:r>
      <w:r>
        <w:rPr>
          <w:rFonts w:ascii="Arial" w:hAnsi="Arial" w:eastAsia="Arial"/>
          <w:b w:val="0"/>
          <w:i/>
          <w:color w:val="000000"/>
          <w:sz w:val="16"/>
        </w:rPr>
        <w:t>d. Includes $20 million DVA.</w:t>
      </w:r>
    </w:p>
    <w:p>
      <w:pPr>
        <w:autoSpaceDN w:val="0"/>
        <w:tabs>
          <w:tab w:pos="768" w:val="left"/>
        </w:tabs>
        <w:autoSpaceDE w:val="0"/>
        <w:widowControl/>
        <w:spacing w:line="224" w:lineRule="exact" w:before="2346" w:after="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112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Financial Statements: June 30, 2024</w:t>
      </w:r>
    </w:p>
    <w:p>
      <w:pPr>
        <w:sectPr>
          <w:pgSz w:w="12240" w:h="15840"/>
          <w:pgMar w:top="700" w:right="1372" w:bottom="2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78"/>
        <w:ind w:left="0" w:right="0"/>
      </w:pPr>
    </w:p>
    <w:p>
      <w:pPr>
        <w:autoSpaceDN w:val="0"/>
        <w:autoSpaceDE w:val="0"/>
        <w:widowControl/>
        <w:spacing w:line="220" w:lineRule="exact" w:before="0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J2.1</w:t>
      </w:r>
    </w:p>
    <w:p>
      <w:pPr>
        <w:autoSpaceDN w:val="0"/>
        <w:tabs>
          <w:tab w:pos="5606" w:val="left"/>
          <w:tab w:pos="6574" w:val="left"/>
        </w:tabs>
        <w:autoSpaceDE w:val="0"/>
        <w:widowControl/>
        <w:spacing w:line="224" w:lineRule="exact" w:before="92" w:after="18"/>
        <w:ind w:left="118" w:right="432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In millions of U.S. dollars </w:t>
      </w:r>
      <w:r>
        <w:br/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 xml:space="preserve">Fair Value Measurements on a Recurring Basis </w:t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>As of June 30, 2023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190.0" w:type="dxa"/>
      </w:tblPr>
      <w:tblGrid>
        <w:gridCol w:w="2359"/>
        <w:gridCol w:w="2359"/>
        <w:gridCol w:w="2359"/>
        <w:gridCol w:w="2359"/>
      </w:tblGrid>
      <w:tr>
        <w:trPr>
          <w:trHeight w:hRule="exact" w:val="226"/>
        </w:trPr>
        <w:tc>
          <w:tcPr>
            <w:tcW w:type="dxa" w:w="9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Level 1</w:t>
            </w:r>
          </w:p>
        </w:tc>
        <w:tc>
          <w:tcPr>
            <w:tcW w:type="dxa" w:w="12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Level 2</w:t>
            </w:r>
          </w:p>
        </w:tc>
        <w:tc>
          <w:tcPr>
            <w:tcW w:type="dxa" w:w="9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Level 3</w:t>
            </w:r>
          </w:p>
        </w:tc>
        <w:tc>
          <w:tcPr>
            <w:tcW w:type="dxa" w:w="10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8" w:after="0"/>
              <w:ind w:left="0" w:right="28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</w:t>
            </w:r>
          </w:p>
        </w:tc>
      </w:tr>
    </w:tbl>
    <w:p>
      <w:pPr>
        <w:autoSpaceDN w:val="0"/>
        <w:tabs>
          <w:tab w:pos="152" w:val="left"/>
        </w:tabs>
        <w:autoSpaceDE w:val="0"/>
        <w:widowControl/>
        <w:spacing w:line="210" w:lineRule="exact" w:before="0" w:after="20"/>
        <w:ind w:left="62" w:right="7632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 xml:space="preserve">Assets: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16"/>
        </w:rPr>
        <w:t>Investments—Trading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192"/>
        </w:trPr>
        <w:tc>
          <w:tcPr>
            <w:tcW w:type="dxa" w:w="5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2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Government and agency obligations</w:t>
            </w:r>
          </w:p>
        </w:tc>
        <w:tc>
          <w:tcPr>
            <w:tcW w:type="dxa" w:w="28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11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11,037 </w:t>
            </w:r>
          </w:p>
        </w:tc>
        <w:tc>
          <w:tcPr>
            <w:tcW w:type="dxa" w:w="43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" w:after="0"/>
              <w:ind w:left="0" w:right="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8,733 </w:t>
            </w:r>
          </w:p>
        </w:tc>
        <w:tc>
          <w:tcPr>
            <w:tcW w:type="dxa" w:w="56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0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" w:after="0"/>
              <w:ind w:left="0" w:right="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19,770 </w:t>
            </w:r>
          </w:p>
        </w:tc>
      </w:tr>
      <w:tr>
        <w:trPr>
          <w:trHeight w:hRule="exact" w:val="220"/>
        </w:trPr>
        <w:tc>
          <w:tcPr>
            <w:tcW w:type="dxa" w:w="5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2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Time deposits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792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10,911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11,703 </w:t>
            </w:r>
          </w:p>
        </w:tc>
      </w:tr>
      <w:tr>
        <w:trPr>
          <w:trHeight w:hRule="exact" w:val="266"/>
        </w:trPr>
        <w:tc>
          <w:tcPr>
            <w:tcW w:type="dxa" w:w="51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2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ABS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8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7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6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105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5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6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6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105 </w:t>
            </w:r>
          </w:p>
        </w:tc>
      </w:tr>
      <w:tr>
        <w:trPr>
          <w:trHeight w:hRule="exact" w:val="194"/>
        </w:trPr>
        <w:tc>
          <w:tcPr>
            <w:tcW w:type="dxa" w:w="51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1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 Investments—Trading</w:t>
            </w:r>
          </w:p>
        </w:tc>
        <w:tc>
          <w:tcPr>
            <w:tcW w:type="dxa" w:w="28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68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11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11,829 </w:t>
            </w:r>
          </w:p>
        </w:tc>
        <w:tc>
          <w:tcPr>
            <w:tcW w:type="dxa" w:w="436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67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19,749 </w:t>
            </w:r>
          </w:p>
        </w:tc>
        <w:tc>
          <w:tcPr>
            <w:tcW w:type="dxa" w:w="564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5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0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6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31,578 </w:t>
            </w:r>
          </w:p>
        </w:tc>
      </w:tr>
      <w:tr>
        <w:trPr>
          <w:trHeight w:hRule="exact" w:val="254"/>
        </w:trPr>
        <w:tc>
          <w:tcPr>
            <w:tcW w:type="dxa" w:w="51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1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Investments—Non-trading</w:t>
            </w:r>
          </w:p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68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67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244 </w:t>
            </w:r>
          </w:p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5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6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244 </w:t>
            </w:r>
          </w:p>
        </w:tc>
      </w:tr>
      <w:tr>
        <w:trPr>
          <w:trHeight w:hRule="exact" w:val="186"/>
        </w:trPr>
        <w:tc>
          <w:tcPr>
            <w:tcW w:type="dxa" w:w="512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 Investments</w:t>
            </w:r>
          </w:p>
        </w:tc>
        <w:tc>
          <w:tcPr>
            <w:tcW w:type="dxa" w:w="2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8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11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11,829 </w:t>
            </w:r>
          </w:p>
        </w:tc>
        <w:tc>
          <w:tcPr>
            <w:tcW w:type="dxa" w:w="43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7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19,993 </w:t>
            </w:r>
          </w:p>
        </w:tc>
        <w:tc>
          <w:tcPr>
            <w:tcW w:type="dxa" w:w="56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31,822 </w:t>
            </w:r>
          </w:p>
        </w:tc>
      </w:tr>
      <w:tr>
        <w:trPr>
          <w:trHeight w:hRule="exact" w:val="536"/>
        </w:trPr>
        <w:tc>
          <w:tcPr>
            <w:tcW w:type="dxa" w:w="5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96" w:after="0"/>
              <w:ind w:left="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Securities purchased under resale agreements</w:t>
            </w:r>
          </w:p>
        </w:tc>
        <w:tc>
          <w:tcPr>
            <w:tcW w:type="dxa" w:w="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9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96" w:after="0"/>
              <w:ind w:left="0" w:right="3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96" w:after="0"/>
              <w:ind w:left="0" w:right="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7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9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168 </w:t>
            </w:r>
          </w:p>
        </w:tc>
        <w:tc>
          <w:tcPr>
            <w:tcW w:type="dxa" w:w="5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9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9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96" w:after="0"/>
              <w:ind w:left="0" w:right="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9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168 </w:t>
            </w:r>
          </w:p>
        </w:tc>
      </w:tr>
    </w:tbl>
    <w:p>
      <w:pPr>
        <w:autoSpaceDN w:val="0"/>
        <w:autoSpaceDE w:val="0"/>
        <w:widowControl/>
        <w:spacing w:line="178" w:lineRule="exact" w:before="218" w:after="20"/>
        <w:ind w:left="15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Derivative assets: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188"/>
        </w:trPr>
        <w:tc>
          <w:tcPr>
            <w:tcW w:type="dxa" w:w="5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0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Currency swaps and currency forward contracts </w:t>
            </w:r>
          </w:p>
        </w:tc>
        <w:tc>
          <w:tcPr>
            <w:tcW w:type="dxa" w:w="46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0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7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0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856 </w:t>
            </w:r>
          </w:p>
        </w:tc>
        <w:tc>
          <w:tcPr>
            <w:tcW w:type="dxa" w:w="56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0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4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" w:after="0"/>
              <w:ind w:left="0" w:right="1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0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856 </w:t>
            </w:r>
          </w:p>
        </w:tc>
      </w:tr>
      <w:tr>
        <w:trPr>
          <w:trHeight w:hRule="exact" w:val="266"/>
        </w:trPr>
        <w:tc>
          <w:tcPr>
            <w:tcW w:type="dxa" w:w="50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4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Interest rate swaps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50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3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6" w:after="0"/>
              <w:ind w:left="1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1,831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5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6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56" w:after="0"/>
              <w:ind w:left="13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1,831 </w:t>
            </w:r>
          </w:p>
        </w:tc>
      </w:tr>
      <w:tr>
        <w:trPr>
          <w:trHeight w:hRule="exact" w:val="222"/>
        </w:trPr>
        <w:tc>
          <w:tcPr>
            <w:tcW w:type="dxa" w:w="50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0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7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3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1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2,687 </w:t>
            </w:r>
          </w:p>
        </w:tc>
        <w:tc>
          <w:tcPr>
            <w:tcW w:type="dxa" w:w="56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0" w:right="1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1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" w:after="0"/>
              <w:ind w:left="13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2,687 </w:t>
            </w:r>
          </w:p>
        </w:tc>
      </w:tr>
    </w:tbl>
    <w:p>
      <w:pPr>
        <w:autoSpaceDN w:val="0"/>
        <w:autoSpaceDE w:val="0"/>
        <w:widowControl/>
        <w:spacing w:line="178" w:lineRule="exact" w:before="26" w:after="16"/>
        <w:ind w:left="15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Less: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0.0" w:type="dxa"/>
      </w:tblPr>
      <w:tblGrid>
        <w:gridCol w:w="3146"/>
        <w:gridCol w:w="3146"/>
        <w:gridCol w:w="3146"/>
      </w:tblGrid>
      <w:tr>
        <w:trPr>
          <w:trHeight w:hRule="exact" w:val="232"/>
        </w:trPr>
        <w:tc>
          <w:tcPr>
            <w:tcW w:type="dxa" w:w="84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16" w:after="0"/>
              <w:ind w:left="1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Amounts subject to legally enforceable master netting agreements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a</w:t>
            </w:r>
          </w:p>
        </w:tc>
        <w:tc>
          <w:tcPr>
            <w:tcW w:type="dxa" w:w="29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6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8" w:after="0"/>
              <w:ind w:left="13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1,884 </w:t>
            </w:r>
          </w:p>
        </w:tc>
      </w:tr>
      <w:tr>
        <w:trPr>
          <w:trHeight w:hRule="exact" w:val="240"/>
        </w:trPr>
        <w:tc>
          <w:tcPr>
            <w:tcW w:type="dxa" w:w="840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0" w:after="0"/>
              <w:ind w:left="17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Cash collateral received</w:t>
            </w:r>
          </w:p>
        </w:tc>
        <w:tc>
          <w:tcPr>
            <w:tcW w:type="dxa" w:w="3146"/>
            <w:vMerge/>
            <w:tcBorders>
              <w:bottom w:sz="8.0" w:val="single" w:color="#000000"/>
            </w:tcBorders>
          </w:tcPr>
          <w:p/>
        </w:tc>
        <w:tc>
          <w:tcPr>
            <w:tcW w:type="dxa" w:w="6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439 </w:t>
            </w:r>
          </w:p>
        </w:tc>
      </w:tr>
      <w:tr>
        <w:trPr>
          <w:trHeight w:hRule="exact" w:val="226"/>
        </w:trPr>
        <w:tc>
          <w:tcPr>
            <w:tcW w:type="dxa" w:w="840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Derivative assets, net</w:t>
            </w:r>
          </w:p>
        </w:tc>
        <w:tc>
          <w:tcPr>
            <w:tcW w:type="dxa" w:w="2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364 </w:t>
            </w:r>
          </w:p>
        </w:tc>
      </w:tr>
    </w:tbl>
    <w:p>
      <w:pPr>
        <w:autoSpaceDN w:val="0"/>
        <w:autoSpaceDE w:val="0"/>
        <w:widowControl/>
        <w:spacing w:line="180" w:lineRule="exact" w:before="240" w:after="24"/>
        <w:ind w:left="6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6"/>
        </w:rPr>
        <w:t>Liabilities: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268"/>
        </w:trPr>
        <w:tc>
          <w:tcPr>
            <w:tcW w:type="dxa" w:w="3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0" w:after="0"/>
              <w:ind w:left="8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Market Borrowings, at fair value</w:t>
            </w:r>
          </w:p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16,786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1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16,786 </w:t>
            </w:r>
          </w:p>
        </w:tc>
      </w:tr>
    </w:tbl>
    <w:p>
      <w:pPr>
        <w:autoSpaceDN w:val="0"/>
        <w:autoSpaceDE w:val="0"/>
        <w:widowControl/>
        <w:spacing w:line="178" w:lineRule="exact" w:before="240" w:after="6"/>
        <w:ind w:left="15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 xml:space="preserve">Securities sold under repurchase agreements, securities lent under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178"/>
        </w:trPr>
        <w:tc>
          <w:tcPr>
            <w:tcW w:type="dxa" w:w="4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0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securities lending agreements, and payable for cash collateral </w:t>
            </w:r>
          </w:p>
        </w:tc>
        <w:tc>
          <w:tcPr>
            <w:tcW w:type="dxa" w:w="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0" w:after="0"/>
              <w:ind w:left="0" w:right="1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0" w:after="0"/>
              <w:ind w:left="0" w:right="1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221 </w:t>
            </w:r>
          </w:p>
        </w:tc>
        <w:tc>
          <w:tcPr>
            <w:tcW w:type="dxa" w:w="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0" w:after="0"/>
              <w:ind w:left="0" w:right="22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0" w:after="0"/>
              <w:ind w:left="0" w:right="11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00" w:after="0"/>
              <w:ind w:left="0" w:right="4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221 </w:t>
            </w:r>
          </w:p>
        </w:tc>
      </w:tr>
      <w:tr>
        <w:trPr>
          <w:trHeight w:hRule="exact" w:val="260"/>
        </w:trPr>
        <w:tc>
          <w:tcPr>
            <w:tcW w:type="dxa" w:w="4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received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b</w:t>
            </w:r>
          </w:p>
        </w:tc>
        <w:tc>
          <w:tcPr>
            <w:tcW w:type="dxa" w:w="1049"/>
            <w:vMerge/>
            <w:tcBorders/>
          </w:tcPr>
          <w:p/>
        </w:tc>
        <w:tc>
          <w:tcPr>
            <w:tcW w:type="dxa" w:w="1049"/>
            <w:vMerge/>
            <w:tcBorders/>
          </w:tcPr>
          <w:p/>
        </w:tc>
        <w:tc>
          <w:tcPr>
            <w:tcW w:type="dxa" w:w="1049"/>
            <w:vMerge/>
            <w:tcBorders/>
          </w:tcPr>
          <w:p/>
        </w:tc>
        <w:tc>
          <w:tcPr>
            <w:tcW w:type="dxa" w:w="1049"/>
            <w:vMerge/>
            <w:tcBorders/>
          </w:tcPr>
          <w:p/>
        </w:tc>
        <w:tc>
          <w:tcPr>
            <w:tcW w:type="dxa" w:w="1049"/>
            <w:vMerge/>
            <w:tcBorders/>
          </w:tcPr>
          <w:p/>
        </w:tc>
        <w:tc>
          <w:tcPr>
            <w:tcW w:type="dxa" w:w="1049"/>
            <w:vMerge/>
            <w:tcBorders/>
          </w:tcPr>
          <w:p/>
        </w:tc>
        <w:tc>
          <w:tcPr>
            <w:tcW w:type="dxa" w:w="1049"/>
            <w:vMerge/>
            <w:tcBorders/>
          </w:tcPr>
          <w:p/>
        </w:tc>
        <w:tc>
          <w:tcPr>
            <w:tcW w:type="dxa" w:w="1049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78" w:lineRule="exact" w:before="220" w:after="20"/>
        <w:ind w:left="15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Derivative liabilities: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0.0" w:type="dxa"/>
      </w:tblPr>
      <w:tblGrid>
        <w:gridCol w:w="1049"/>
        <w:gridCol w:w="1049"/>
        <w:gridCol w:w="1049"/>
        <w:gridCol w:w="1049"/>
        <w:gridCol w:w="1049"/>
        <w:gridCol w:w="1049"/>
        <w:gridCol w:w="1049"/>
        <w:gridCol w:w="1049"/>
        <w:gridCol w:w="1049"/>
      </w:tblGrid>
      <w:tr>
        <w:trPr>
          <w:trHeight w:hRule="exact" w:val="182"/>
        </w:trPr>
        <w:tc>
          <w:tcPr>
            <w:tcW w:type="dxa" w:w="5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6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Currency swaps and currency forward contracts</w:t>
            </w:r>
          </w:p>
        </w:tc>
        <w:tc>
          <w:tcPr>
            <w:tcW w:type="dxa" w:w="46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7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3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910 </w:t>
            </w:r>
          </w:p>
        </w:tc>
        <w:tc>
          <w:tcPr>
            <w:tcW w:type="dxa" w:w="56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4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8" w:after="0"/>
              <w:ind w:left="0" w:right="1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910 </w:t>
            </w:r>
          </w:p>
        </w:tc>
      </w:tr>
      <w:tr>
        <w:trPr>
          <w:trHeight w:hRule="exact" w:val="46"/>
        </w:trPr>
        <w:tc>
          <w:tcPr>
            <w:tcW w:type="dxa" w:w="1049"/>
            <w:vMerge/>
            <w:tcBorders/>
          </w:tcPr>
          <w:p/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50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2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36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2" w:after="0"/>
              <w:ind w:left="1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2,143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50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2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61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62" w:after="0"/>
              <w:ind w:left="13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2,143 </w:t>
            </w:r>
          </w:p>
        </w:tc>
      </w:tr>
      <w:tr>
        <w:trPr>
          <w:trHeight w:hRule="exact" w:val="224"/>
        </w:trPr>
        <w:tc>
          <w:tcPr>
            <w:tcW w:type="dxa" w:w="50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4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Interest rate swaps</w:t>
            </w:r>
          </w:p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  <w:tc>
          <w:tcPr>
            <w:tcW w:type="dxa" w:w="1049"/>
            <w:vMerge/>
            <w:tcBorders>
              <w:bottom w:sz="8.0" w:val="single" w:color="#000000"/>
            </w:tcBorders>
          </w:tcPr>
          <w:p/>
        </w:tc>
      </w:tr>
      <w:tr>
        <w:trPr>
          <w:trHeight w:hRule="exact" w:val="222"/>
        </w:trPr>
        <w:tc>
          <w:tcPr>
            <w:tcW w:type="dxa" w:w="50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0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3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7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3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156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3,053 </w:t>
            </w:r>
          </w:p>
        </w:tc>
        <w:tc>
          <w:tcPr>
            <w:tcW w:type="dxa" w:w="56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5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4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1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1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13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3,053 </w:t>
            </w:r>
          </w:p>
        </w:tc>
      </w:tr>
    </w:tbl>
    <w:p>
      <w:pPr>
        <w:autoSpaceDN w:val="0"/>
        <w:autoSpaceDE w:val="0"/>
        <w:widowControl/>
        <w:spacing w:line="178" w:lineRule="exact" w:before="28" w:after="16"/>
        <w:ind w:left="15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Less: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46"/>
        <w:gridCol w:w="3146"/>
        <w:gridCol w:w="3146"/>
      </w:tblGrid>
      <w:tr>
        <w:trPr>
          <w:trHeight w:hRule="exact" w:val="246"/>
        </w:trPr>
        <w:tc>
          <w:tcPr>
            <w:tcW w:type="dxa" w:w="847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16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Amounts subject to legally enforceable master netting agreements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c</w:t>
            </w:r>
          </w:p>
        </w:tc>
        <w:tc>
          <w:tcPr>
            <w:tcW w:type="dxa" w:w="29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6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8" w:after="0"/>
              <w:ind w:left="13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1,809 </w:t>
            </w:r>
          </w:p>
        </w:tc>
      </w:tr>
      <w:tr>
        <w:trPr>
          <w:trHeight w:hRule="exact" w:val="226"/>
        </w:trPr>
        <w:tc>
          <w:tcPr>
            <w:tcW w:type="dxa" w:w="847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15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Derivative liabilities, net</w:t>
            </w:r>
          </w:p>
        </w:tc>
        <w:tc>
          <w:tcPr>
            <w:tcW w:type="dxa" w:w="2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13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1,244 </w:t>
            </w:r>
          </w:p>
        </w:tc>
      </w:tr>
    </w:tbl>
    <w:p>
      <w:pPr>
        <w:autoSpaceDN w:val="0"/>
        <w:autoSpaceDE w:val="0"/>
        <w:widowControl/>
        <w:spacing w:line="180" w:lineRule="exact" w:before="240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a. Includes $102 million CVA.</w:t>
      </w:r>
    </w:p>
    <w:p>
      <w:pPr>
        <w:autoSpaceDN w:val="0"/>
        <w:autoSpaceDE w:val="0"/>
        <w:widowControl/>
        <w:spacing w:line="224" w:lineRule="exact" w:before="16" w:after="0"/>
        <w:ind w:left="62" w:right="4176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b. Excludes amount payable for cash collateral received of $439 million. </w:t>
      </w:r>
      <w:r>
        <w:rPr>
          <w:rFonts w:ascii="Arial" w:hAnsi="Arial" w:eastAsia="Arial"/>
          <w:b w:val="0"/>
          <w:i/>
          <w:color w:val="000000"/>
          <w:sz w:val="16"/>
        </w:rPr>
        <w:t>c. Includes $27 million DVA.</w:t>
      </w:r>
    </w:p>
    <w:p>
      <w:pPr>
        <w:autoSpaceDN w:val="0"/>
        <w:autoSpaceDE w:val="0"/>
        <w:widowControl/>
        <w:spacing w:line="240" w:lineRule="exact" w:before="192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Presented below is the difference between the aggregate fair value and aggregate contractual principal balance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non-trading securities in the investment portfolio:</w:t>
      </w:r>
    </w:p>
    <w:p>
      <w:pPr>
        <w:autoSpaceDN w:val="0"/>
        <w:autoSpaceDE w:val="0"/>
        <w:widowControl/>
        <w:spacing w:line="222" w:lineRule="exact" w:before="138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J3: Investment portfolio-Non-trading security</w:t>
      </w:r>
    </w:p>
    <w:p>
      <w:pPr>
        <w:autoSpaceDN w:val="0"/>
        <w:autoSpaceDE w:val="0"/>
        <w:widowControl/>
        <w:spacing w:line="178" w:lineRule="exact" w:before="150" w:after="20"/>
        <w:ind w:left="118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80"/>
        <w:gridCol w:w="1180"/>
        <w:gridCol w:w="1180"/>
        <w:gridCol w:w="1180"/>
        <w:gridCol w:w="1180"/>
        <w:gridCol w:w="1180"/>
        <w:gridCol w:w="1180"/>
        <w:gridCol w:w="1180"/>
      </w:tblGrid>
      <w:tr>
        <w:trPr>
          <w:trHeight w:hRule="exact" w:val="240"/>
        </w:trPr>
        <w:tc>
          <w:tcPr>
            <w:tcW w:type="dxa" w:w="27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9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Fair value</w:t>
            </w:r>
          </w:p>
        </w:tc>
        <w:tc>
          <w:tcPr>
            <w:tcW w:type="dxa" w:w="263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388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Principal amount due</w:t>
            </w:r>
          </w:p>
        </w:tc>
        <w:tc>
          <w:tcPr>
            <w:tcW w:type="dxa" w:w="1700"/>
            <w:gridSpan w:val="2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76" w:firstLine="0"/>
              <w:jc w:val="righ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Difference</w:t>
            </w:r>
          </w:p>
        </w:tc>
        <w:tc>
          <w:tcPr>
            <w:tcW w:type="dxa" w:w="4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40"/>
        </w:trPr>
        <w:tc>
          <w:tcPr>
            <w:tcW w:type="dxa" w:w="27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June 30, 2024</w:t>
            </w:r>
          </w:p>
        </w:tc>
        <w:tc>
          <w:tcPr>
            <w:tcW w:type="dxa" w:w="37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4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6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171 </w:t>
            </w:r>
          </w:p>
        </w:tc>
        <w:tc>
          <w:tcPr>
            <w:tcW w:type="dxa" w:w="12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5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3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185 </w:t>
            </w:r>
          </w:p>
        </w:tc>
        <w:tc>
          <w:tcPr>
            <w:tcW w:type="dxa" w:w="10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4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(14) </w:t>
            </w:r>
          </w:p>
        </w:tc>
        <w:tc>
          <w:tcPr>
            <w:tcW w:type="dxa" w:w="47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80"/>
        </w:trPr>
        <w:tc>
          <w:tcPr>
            <w:tcW w:type="dxa" w:w="27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1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June 30, 2023</w:t>
            </w:r>
          </w:p>
        </w:tc>
        <w:tc>
          <w:tcPr>
            <w:tcW w:type="dxa" w:w="37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4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63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244 </w:t>
            </w:r>
          </w:p>
        </w:tc>
        <w:tc>
          <w:tcPr>
            <w:tcW w:type="dxa" w:w="129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5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3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262 </w:t>
            </w:r>
          </w:p>
        </w:tc>
        <w:tc>
          <w:tcPr>
            <w:tcW w:type="dxa" w:w="10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4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(18) </w:t>
            </w:r>
          </w:p>
        </w:tc>
        <w:tc>
          <w:tcPr>
            <w:tcW w:type="dxa" w:w="1180"/>
            <w:vMerge/>
            <w:tcBorders>
              <w:top w:sz="8.0" w:val="single" w:color="#000000"/>
              <w:bottom w:sz="8.0" w:val="single" w:color="#000000"/>
            </w:tcBorders>
          </w:tcPr>
          <w:p/>
        </w:tc>
      </w:tr>
      <w:tr>
        <w:trPr>
          <w:trHeight w:hRule="exact" w:val="1880"/>
        </w:trPr>
        <w:tc>
          <w:tcPr>
            <w:tcW w:type="dxa" w:w="27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7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5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330"/>
            <w:gridSpan w:val="4"/>
            <w:tcBorders>
              <w:top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666" w:after="0"/>
              <w:ind w:left="410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IDA Financial Statements: June 30, 2024</w:t>
            </w:r>
          </w:p>
        </w:tc>
        <w:tc>
          <w:tcPr>
            <w:tcW w:type="dxa" w:w="47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666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113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00" w:right="1372" w:bottom="2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30" w:lineRule="exact" w:before="0" w:after="0"/>
        <w:ind w:left="10" w:right="288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Presented below is the difference between the aggregate fair value and aggregate contractual principal balance of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market borrowings at fair value: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J4: Market Borrowings at fair value</w:t>
      </w:r>
    </w:p>
    <w:p>
      <w:pPr>
        <w:autoSpaceDN w:val="0"/>
        <w:autoSpaceDE w:val="0"/>
        <w:widowControl/>
        <w:spacing w:line="178" w:lineRule="exact" w:before="154" w:after="0"/>
        <w:ind w:left="38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p>
      <w:pPr>
        <w:autoSpaceDN w:val="0"/>
        <w:autoSpaceDE w:val="0"/>
        <w:widowControl/>
        <w:spacing w:line="180" w:lineRule="exact" w:before="64" w:after="6"/>
        <w:ind w:left="0" w:right="2450" w:firstLine="0"/>
        <w:jc w:val="righ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Principal Due Upon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214"/>
        </w:trPr>
        <w:tc>
          <w:tcPr>
            <w:tcW w:type="dxa" w:w="316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6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17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Fair Value</w:t>
            </w:r>
          </w:p>
        </w:tc>
        <w:tc>
          <w:tcPr>
            <w:tcW w:type="dxa" w:w="7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79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22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Maturity</w:t>
            </w:r>
          </w:p>
        </w:tc>
        <w:tc>
          <w:tcPr>
            <w:tcW w:type="dxa" w:w="36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4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17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Difference</w:t>
            </w:r>
          </w:p>
        </w:tc>
      </w:tr>
      <w:tr>
        <w:trPr>
          <w:trHeight w:hRule="exact" w:val="226"/>
        </w:trPr>
        <w:tc>
          <w:tcPr>
            <w:tcW w:type="dxa" w:w="316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June 30, 2024</w:t>
            </w:r>
          </w:p>
        </w:tc>
        <w:tc>
          <w:tcPr>
            <w:tcW w:type="dxa" w:w="36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4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5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26,425 </w:t>
            </w:r>
          </w:p>
        </w:tc>
        <w:tc>
          <w:tcPr>
            <w:tcW w:type="dxa" w:w="7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2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796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78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27,886 </w:t>
            </w:r>
          </w:p>
        </w:tc>
        <w:tc>
          <w:tcPr>
            <w:tcW w:type="dxa" w:w="364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4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2" w:after="0"/>
              <w:ind w:left="0" w:right="5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(1,461) </w:t>
            </w:r>
          </w:p>
        </w:tc>
      </w:tr>
      <w:tr>
        <w:trPr>
          <w:trHeight w:hRule="exact" w:val="494"/>
        </w:trPr>
        <w:tc>
          <w:tcPr>
            <w:tcW w:type="dxa" w:w="316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3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June 30, 2023</w:t>
            </w:r>
          </w:p>
        </w:tc>
        <w:tc>
          <w:tcPr>
            <w:tcW w:type="dxa" w:w="36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4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5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16,786 </w:t>
            </w:r>
          </w:p>
        </w:tc>
        <w:tc>
          <w:tcPr>
            <w:tcW w:type="dxa" w:w="7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2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79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78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19,259 </w:t>
            </w:r>
          </w:p>
        </w:tc>
        <w:tc>
          <w:tcPr>
            <w:tcW w:type="dxa" w:w="364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4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52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(2,473) </w:t>
            </w:r>
          </w:p>
        </w:tc>
      </w:tr>
    </w:tbl>
    <w:p>
      <w:pPr>
        <w:autoSpaceDN w:val="0"/>
        <w:autoSpaceDE w:val="0"/>
        <w:widowControl/>
        <w:spacing w:line="224" w:lineRule="exact" w:before="178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During the fiscal year ended June 30, 2024, IDA recorded unrealized mark-to-market gains of $6 million ($18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million loss – fiscal year ended June 30, 2023) in Other Comprehensive Income, in relation to the changes in its own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credit (DVA) on fair value option elected liabilities (market borrowings).</w:t>
      </w:r>
    </w:p>
    <w:p>
      <w:pPr>
        <w:autoSpaceDN w:val="0"/>
        <w:autoSpaceDE w:val="0"/>
        <w:widowControl/>
        <w:spacing w:line="240" w:lineRule="exact" w:before="104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As of June 30, 2024, IDA’s Balance Sheets included a DVA of $25 million cumulative loss ($31 million cumulative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loss—June 30, 2023) in Accumulated other comprehensive income, associated with the changes in IDA’s own credit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for its market borrowings reported at fair value. </w:t>
      </w:r>
    </w:p>
    <w:p>
      <w:pPr>
        <w:autoSpaceDN w:val="0"/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following tables reflect the components of the unrealized mark-to-market gains or losses on IDA’s trading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non-trading portfolios, net. </w:t>
      </w:r>
    </w:p>
    <w:p>
      <w:pPr>
        <w:autoSpaceDN w:val="0"/>
        <w:autoSpaceDE w:val="0"/>
        <w:widowControl/>
        <w:spacing w:line="222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 xml:space="preserve">Table J5: Unrealized mark-to-market gains (losses) on trading and non-trading portfolios, net </w:t>
      </w:r>
    </w:p>
    <w:p>
      <w:pPr>
        <w:autoSpaceDN w:val="0"/>
        <w:autoSpaceDE w:val="0"/>
        <w:widowControl/>
        <w:spacing w:line="180" w:lineRule="exact" w:before="15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p>
      <w:pPr>
        <w:autoSpaceDN w:val="0"/>
        <w:autoSpaceDE w:val="0"/>
        <w:widowControl/>
        <w:spacing w:line="180" w:lineRule="exact" w:before="60" w:after="20"/>
        <w:ind w:left="0" w:right="1882" w:firstLine="0"/>
        <w:jc w:val="right"/>
      </w:pPr>
      <w:r>
        <w:rPr>
          <w:rFonts w:ascii="Arial" w:hAnsi="Arial" w:eastAsia="Arial"/>
          <w:b w:val="0"/>
          <w:i/>
          <w:color w:val="000000"/>
          <w:sz w:val="16"/>
        </w:rPr>
        <w:t>Fiscal Year Ended June 30, 2024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332"/>
        </w:trPr>
        <w:tc>
          <w:tcPr>
            <w:tcW w:type="dxa" w:w="3376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04"/>
            <w:gridSpan w:val="2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3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Realized gains (losses)</w:t>
            </w:r>
          </w:p>
        </w:tc>
        <w:tc>
          <w:tcPr>
            <w:tcW w:type="dxa" w:w="48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59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34" w:after="0"/>
              <w:ind w:left="0" w:right="144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Unrealized gains </w:t>
            </w: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(losses) excluding </w:t>
            </w: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realized amounts </w:t>
            </w:r>
            <w:r>
              <w:rPr>
                <w:w w:val="103.99999618530273"/>
                <w:rFonts w:ascii="Arial" w:hAnsi="Arial" w:eastAsia="Arial"/>
                <w:b w:val="0"/>
                <w:i/>
                <w:color w:val="000000"/>
                <w:sz w:val="10"/>
              </w:rPr>
              <w:t>a</w:t>
            </w:r>
          </w:p>
        </w:tc>
        <w:tc>
          <w:tcPr>
            <w:tcW w:type="dxa" w:w="51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4" w:after="0"/>
              <w:ind w:left="6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Unrealized gains </w:t>
            </w:r>
          </w:p>
        </w:tc>
      </w:tr>
      <w:tr>
        <w:trPr>
          <w:trHeight w:hRule="exact" w:val="222"/>
        </w:trPr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2698"/>
            <w:gridSpan w:val="2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5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4" w:after="0"/>
              <w:ind w:left="37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(losses)</w:t>
            </w:r>
          </w:p>
        </w:tc>
      </w:tr>
      <w:tr>
        <w:trPr>
          <w:trHeight w:hRule="exact" w:val="220"/>
        </w:trPr>
        <w:tc>
          <w:tcPr>
            <w:tcW w:type="dxa" w:w="33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Investments, Trading, net—Note F</w:t>
            </w:r>
          </w:p>
        </w:tc>
        <w:tc>
          <w:tcPr>
            <w:tcW w:type="dxa" w:w="7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35 </w:t>
            </w:r>
          </w:p>
        </w:tc>
        <w:tc>
          <w:tcPr>
            <w:tcW w:type="dxa" w:w="4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5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281 </w:t>
            </w:r>
          </w:p>
        </w:tc>
        <w:tc>
          <w:tcPr>
            <w:tcW w:type="dxa" w:w="5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5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316 </w:t>
            </w:r>
          </w:p>
        </w:tc>
      </w:tr>
    </w:tbl>
    <w:p>
      <w:pPr>
        <w:autoSpaceDN w:val="0"/>
        <w:autoSpaceDE w:val="0"/>
        <w:widowControl/>
        <w:spacing w:line="178" w:lineRule="exact" w:before="282" w:after="2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Non-trading portfolios, net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0.0" w:type="dxa"/>
      </w:tblPr>
      <w:tblGrid>
        <w:gridCol w:w="2360"/>
        <w:gridCol w:w="2360"/>
        <w:gridCol w:w="2360"/>
        <w:gridCol w:w="2360"/>
      </w:tblGrid>
      <w:tr>
        <w:trPr>
          <w:trHeight w:hRule="exact" w:val="250"/>
        </w:trPr>
        <w:tc>
          <w:tcPr>
            <w:tcW w:type="dxa" w:w="3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Asset-liability management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b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—Note F</w:t>
            </w:r>
          </w:p>
        </w:tc>
        <w:tc>
          <w:tcPr>
            <w:tcW w:type="dxa" w:w="2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8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393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1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393 </w:t>
            </w:r>
          </w:p>
        </w:tc>
      </w:tr>
    </w:tbl>
    <w:p>
      <w:pPr>
        <w:autoSpaceDN w:val="0"/>
        <w:autoSpaceDE w:val="0"/>
        <w:widowControl/>
        <w:spacing w:line="178" w:lineRule="exact" w:before="32" w:after="3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Other Non-trading portfolios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238"/>
        </w:trPr>
        <w:tc>
          <w:tcPr>
            <w:tcW w:type="dxa" w:w="45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Investment portfolio—Note C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96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1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 </w:t>
            </w:r>
          </w:p>
        </w:tc>
        <w:tc>
          <w:tcPr>
            <w:tcW w:type="dxa" w:w="97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2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 </w:t>
            </w:r>
          </w:p>
        </w:tc>
      </w:tr>
      <w:tr>
        <w:trPr>
          <w:trHeight w:hRule="exact" w:val="240"/>
        </w:trPr>
        <w:tc>
          <w:tcPr>
            <w:tcW w:type="dxa" w:w="45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Borrowing portfolio—Note E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11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 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25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34 </w:t>
            </w:r>
          </w:p>
        </w:tc>
      </w:tr>
      <w:tr>
        <w:trPr>
          <w:trHeight w:hRule="exact" w:val="220"/>
        </w:trPr>
        <w:tc>
          <w:tcPr>
            <w:tcW w:type="dxa" w:w="45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Loan-related derivatives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111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(2) 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4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(2) </w:t>
            </w:r>
          </w:p>
        </w:tc>
      </w:tr>
      <w:tr>
        <w:trPr>
          <w:trHeight w:hRule="exact" w:val="262"/>
        </w:trPr>
        <w:tc>
          <w:tcPr>
            <w:tcW w:type="dxa" w:w="4570"/>
            <w:gridSpan w:val="2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32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Other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c</w:t>
            </w:r>
          </w:p>
        </w:tc>
        <w:tc>
          <w:tcPr>
            <w:tcW w:type="dxa" w:w="6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111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(24) 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110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(24) </w:t>
            </w:r>
          </w:p>
        </w:tc>
      </w:tr>
      <w:tr>
        <w:trPr>
          <w:trHeight w:hRule="exact" w:val="220"/>
        </w:trPr>
        <w:tc>
          <w:tcPr>
            <w:tcW w:type="dxa" w:w="3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41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97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6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9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50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405 </w:t>
            </w:r>
          </w:p>
        </w:tc>
        <w:tc>
          <w:tcPr>
            <w:tcW w:type="dxa" w:w="97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51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6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405 </w:t>
            </w:r>
          </w:p>
        </w:tc>
      </w:tr>
      <w:tr>
        <w:trPr>
          <w:trHeight w:hRule="exact" w:val="5518"/>
        </w:trPr>
        <w:tc>
          <w:tcPr>
            <w:tcW w:type="dxa" w:w="39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5304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114</w:t>
            </w:r>
          </w:p>
        </w:tc>
        <w:tc>
          <w:tcPr>
            <w:tcW w:type="dxa" w:w="418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5304" w:after="0"/>
              <w:ind w:left="37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20"/>
              </w:rPr>
              <w:t>IDA Financial Statements: June 30, 2024</w:t>
            </w:r>
          </w:p>
        </w:tc>
        <w:tc>
          <w:tcPr>
            <w:tcW w:type="dxa" w:w="64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1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97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0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00" w:right="1370" w:bottom="2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78"/>
        <w:ind w:left="0" w:right="0"/>
      </w:pPr>
    </w:p>
    <w:p>
      <w:pPr>
        <w:autoSpaceDN w:val="0"/>
        <w:autoSpaceDE w:val="0"/>
        <w:widowControl/>
        <w:spacing w:line="220" w:lineRule="exact" w:before="0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J5.1</w:t>
      </w:r>
    </w:p>
    <w:p>
      <w:pPr>
        <w:autoSpaceDN w:val="0"/>
        <w:autoSpaceDE w:val="0"/>
        <w:widowControl/>
        <w:spacing w:line="178" w:lineRule="exact" w:before="154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p>
      <w:pPr>
        <w:autoSpaceDN w:val="0"/>
        <w:autoSpaceDE w:val="0"/>
        <w:widowControl/>
        <w:spacing w:line="178" w:lineRule="exact" w:before="62" w:after="20"/>
        <w:ind w:left="0" w:right="1882" w:firstLine="0"/>
        <w:jc w:val="right"/>
      </w:pPr>
      <w:r>
        <w:rPr>
          <w:rFonts w:ascii="Arial" w:hAnsi="Arial" w:eastAsia="Arial"/>
          <w:b w:val="0"/>
          <w:i/>
          <w:color w:val="000000"/>
          <w:sz w:val="16"/>
        </w:rPr>
        <w:t>Fiscal Year Ended June 30, 2023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340"/>
        </w:trPr>
        <w:tc>
          <w:tcPr>
            <w:tcW w:type="dxa" w:w="3376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04"/>
            <w:gridSpan w:val="2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36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Realized gains (losses)</w:t>
            </w:r>
          </w:p>
        </w:tc>
        <w:tc>
          <w:tcPr>
            <w:tcW w:type="dxa" w:w="48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59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36" w:after="0"/>
              <w:ind w:left="0" w:right="144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Unrealized gains </w:t>
            </w: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(losses) excluding </w:t>
            </w: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realized amounts </w:t>
            </w:r>
            <w:r>
              <w:rPr>
                <w:w w:val="103.99999618530273"/>
                <w:rFonts w:ascii="Arial" w:hAnsi="Arial" w:eastAsia="Arial"/>
                <w:b w:val="0"/>
                <w:i/>
                <w:color w:val="000000"/>
                <w:sz w:val="10"/>
              </w:rPr>
              <w:t>a</w:t>
            </w:r>
          </w:p>
        </w:tc>
        <w:tc>
          <w:tcPr>
            <w:tcW w:type="dxa" w:w="51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44" w:after="0"/>
              <w:ind w:left="6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Unrealized gains </w:t>
            </w:r>
          </w:p>
        </w:tc>
      </w:tr>
      <w:tr>
        <w:trPr>
          <w:trHeight w:hRule="exact" w:val="214"/>
        </w:trPr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2698"/>
            <w:gridSpan w:val="2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5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6" w:after="0"/>
              <w:ind w:left="37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(losses)</w:t>
            </w:r>
          </w:p>
        </w:tc>
      </w:tr>
      <w:tr>
        <w:trPr>
          <w:trHeight w:hRule="exact" w:val="220"/>
        </w:trPr>
        <w:tc>
          <w:tcPr>
            <w:tcW w:type="dxa" w:w="33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Investments, Trading, net—Note F</w:t>
            </w:r>
          </w:p>
        </w:tc>
        <w:tc>
          <w:tcPr>
            <w:tcW w:type="dxa" w:w="6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(254) </w:t>
            </w:r>
          </w:p>
        </w:tc>
        <w:tc>
          <w:tcPr>
            <w:tcW w:type="dxa" w:w="4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5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225 </w:t>
            </w:r>
          </w:p>
        </w:tc>
        <w:tc>
          <w:tcPr>
            <w:tcW w:type="dxa" w:w="5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5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1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(29) </w:t>
            </w:r>
          </w:p>
        </w:tc>
      </w:tr>
    </w:tbl>
    <w:p>
      <w:pPr>
        <w:autoSpaceDN w:val="0"/>
        <w:autoSpaceDE w:val="0"/>
        <w:widowControl/>
        <w:spacing w:line="180" w:lineRule="exact" w:before="282" w:after="18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Non-trading portfolios, net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0.0" w:type="dxa"/>
      </w:tblPr>
      <w:tblGrid>
        <w:gridCol w:w="2360"/>
        <w:gridCol w:w="2360"/>
        <w:gridCol w:w="2360"/>
        <w:gridCol w:w="2360"/>
      </w:tblGrid>
      <w:tr>
        <w:trPr>
          <w:trHeight w:hRule="exact" w:val="252"/>
        </w:trPr>
        <w:tc>
          <w:tcPr>
            <w:tcW w:type="dxa" w:w="3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0" w:after="0"/>
              <w:ind w:left="1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Asset-liability management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b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—Note F</w:t>
            </w:r>
          </w:p>
        </w:tc>
        <w:tc>
          <w:tcPr>
            <w:tcW w:type="dxa" w:w="2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0" w:right="8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143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2" w:after="0"/>
              <w:ind w:left="0" w:right="14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143 </w:t>
            </w:r>
          </w:p>
        </w:tc>
      </w:tr>
    </w:tbl>
    <w:p>
      <w:pPr>
        <w:autoSpaceDN w:val="0"/>
        <w:autoSpaceDE w:val="0"/>
        <w:widowControl/>
        <w:spacing w:line="180" w:lineRule="exact" w:before="30" w:after="3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Other Non-trading portfolios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224"/>
        </w:trPr>
        <w:tc>
          <w:tcPr>
            <w:tcW w:type="dxa" w:w="34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Investment portfolio—Note C</w:t>
            </w:r>
          </w:p>
        </w:tc>
        <w:tc>
          <w:tcPr>
            <w:tcW w:type="dxa" w:w="76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98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3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42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(5) </w:t>
            </w:r>
          </w:p>
        </w:tc>
        <w:tc>
          <w:tcPr>
            <w:tcW w:type="dxa" w:w="72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0" w:after="0"/>
              <w:ind w:left="0" w:right="16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(5) </w:t>
            </w:r>
          </w:p>
        </w:tc>
      </w:tr>
      <w:tr>
        <w:trPr>
          <w:trHeight w:hRule="exact" w:val="240"/>
        </w:trPr>
        <w:tc>
          <w:tcPr>
            <w:tcW w:type="dxa" w:w="34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Borrowing portfolio—Note E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13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48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</w:tr>
      <w:tr>
        <w:trPr>
          <w:trHeight w:hRule="exact" w:val="240"/>
        </w:trPr>
        <w:tc>
          <w:tcPr>
            <w:tcW w:type="dxa" w:w="34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Loan-related derivatives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13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48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33 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33 </w:t>
            </w:r>
          </w:p>
        </w:tc>
      </w:tr>
      <w:tr>
        <w:trPr>
          <w:trHeight w:hRule="exact" w:val="254"/>
        </w:trPr>
        <w:tc>
          <w:tcPr>
            <w:tcW w:type="dxa" w:w="340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24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Other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c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10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(1) 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135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42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(36) 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108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6" w:after="0"/>
              <w:ind w:left="0" w:right="16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(37) </w:t>
            </w:r>
          </w:p>
        </w:tc>
      </w:tr>
      <w:tr>
        <w:trPr>
          <w:trHeight w:hRule="exact" w:val="220"/>
        </w:trPr>
        <w:tc>
          <w:tcPr>
            <w:tcW w:type="dxa" w:w="340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7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(1) </w:t>
            </w:r>
          </w:p>
        </w:tc>
        <w:tc>
          <w:tcPr>
            <w:tcW w:type="dxa" w:w="9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5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3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135 </w:t>
            </w:r>
          </w:p>
        </w:tc>
        <w:tc>
          <w:tcPr>
            <w:tcW w:type="dxa" w:w="7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20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134 </w:t>
            </w:r>
          </w:p>
        </w:tc>
      </w:tr>
    </w:tbl>
    <w:p>
      <w:pPr>
        <w:autoSpaceDN w:val="0"/>
        <w:autoSpaceDE w:val="0"/>
        <w:widowControl/>
        <w:spacing w:line="222" w:lineRule="exact" w:before="438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J5.2</w:t>
      </w:r>
    </w:p>
    <w:p>
      <w:pPr>
        <w:autoSpaceDN w:val="0"/>
        <w:autoSpaceDE w:val="0"/>
        <w:widowControl/>
        <w:spacing w:line="180" w:lineRule="exact" w:before="15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p>
      <w:pPr>
        <w:autoSpaceDN w:val="0"/>
        <w:autoSpaceDE w:val="0"/>
        <w:widowControl/>
        <w:spacing w:line="180" w:lineRule="exact" w:before="60" w:after="18"/>
        <w:ind w:left="0" w:right="1880" w:firstLine="0"/>
        <w:jc w:val="right"/>
      </w:pPr>
      <w:r>
        <w:rPr>
          <w:rFonts w:ascii="Arial" w:hAnsi="Arial" w:eastAsia="Arial"/>
          <w:b w:val="0"/>
          <w:i/>
          <w:color w:val="000000"/>
          <w:sz w:val="16"/>
        </w:rPr>
        <w:t>Fiscal Year Ended June 30, 2022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.0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326"/>
        </w:trPr>
        <w:tc>
          <w:tcPr>
            <w:tcW w:type="dxa" w:w="3376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804"/>
            <w:gridSpan w:val="2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33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Realized gains (losses)</w:t>
            </w:r>
          </w:p>
        </w:tc>
        <w:tc>
          <w:tcPr>
            <w:tcW w:type="dxa" w:w="48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59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36" w:after="0"/>
              <w:ind w:left="0" w:right="144" w:firstLine="0"/>
              <w:jc w:val="center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Unrealized gains </w:t>
            </w: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(losses) excluding </w:t>
            </w: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realized amounts </w:t>
            </w:r>
            <w:r>
              <w:rPr>
                <w:w w:val="103.99999618530273"/>
                <w:rFonts w:ascii="Arial" w:hAnsi="Arial" w:eastAsia="Arial"/>
                <w:b w:val="0"/>
                <w:i/>
                <w:color w:val="000000"/>
                <w:sz w:val="10"/>
              </w:rPr>
              <w:t>a</w:t>
            </w:r>
          </w:p>
        </w:tc>
        <w:tc>
          <w:tcPr>
            <w:tcW w:type="dxa" w:w="510"/>
            <w:vMerge w:val="restart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560"/>
            <w:tcBorders>
              <w:top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138" w:after="0"/>
              <w:ind w:left="6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 xml:space="preserve">Unrealized gains </w:t>
            </w:r>
          </w:p>
        </w:tc>
      </w:tr>
      <w:tr>
        <w:trPr>
          <w:trHeight w:hRule="exact" w:val="230"/>
        </w:trPr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2698"/>
            <w:gridSpan w:val="2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349"/>
            <w:vMerge/>
            <w:tcBorders>
              <w:top w:sz="8.0" w:val="single" w:color="#000000"/>
              <w:bottom w:sz="8.0" w:val="single" w:color="#000000"/>
            </w:tcBorders>
          </w:tcPr>
          <w:p/>
        </w:tc>
        <w:tc>
          <w:tcPr>
            <w:tcW w:type="dxa" w:w="156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37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(losses)</w:t>
            </w:r>
          </w:p>
        </w:tc>
      </w:tr>
      <w:tr>
        <w:trPr>
          <w:trHeight w:hRule="exact" w:val="220"/>
        </w:trPr>
        <w:tc>
          <w:tcPr>
            <w:tcW w:type="dxa" w:w="337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3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Investments, Trading, net—Note F</w:t>
            </w:r>
          </w:p>
        </w:tc>
        <w:tc>
          <w:tcPr>
            <w:tcW w:type="dxa" w:w="7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407 </w:t>
            </w:r>
          </w:p>
        </w:tc>
        <w:tc>
          <w:tcPr>
            <w:tcW w:type="dxa" w:w="4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5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(511) </w:t>
            </w:r>
          </w:p>
        </w:tc>
        <w:tc>
          <w:tcPr>
            <w:tcW w:type="dxa" w:w="51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5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5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(104) </w:t>
            </w:r>
          </w:p>
        </w:tc>
      </w:tr>
    </w:tbl>
    <w:p>
      <w:pPr>
        <w:autoSpaceDN w:val="0"/>
        <w:autoSpaceDE w:val="0"/>
        <w:widowControl/>
        <w:spacing w:line="178" w:lineRule="exact" w:before="282" w:after="2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6"/>
        </w:rPr>
        <w:t>Non-trading portfolios, net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240"/>
        </w:trPr>
        <w:tc>
          <w:tcPr>
            <w:tcW w:type="dxa" w:w="34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Asset-liability management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b</w:t>
            </w: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—Note F</w:t>
            </w:r>
          </w:p>
        </w:tc>
        <w:tc>
          <w:tcPr>
            <w:tcW w:type="dxa" w:w="784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92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1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1,441 </w:t>
            </w:r>
          </w:p>
        </w:tc>
        <w:tc>
          <w:tcPr>
            <w:tcW w:type="dxa" w:w="930"/>
            <w:vMerge w:val="restart"/>
            <w:tcBorders>
              <w:bottom w:sz="8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1,441 </w:t>
            </w:r>
          </w:p>
        </w:tc>
      </w:tr>
      <w:tr>
        <w:trPr>
          <w:trHeight w:hRule="exact" w:val="240"/>
        </w:trPr>
        <w:tc>
          <w:tcPr>
            <w:tcW w:type="dxa" w:w="34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Investment portfolio—Note C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11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1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(26) 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1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(26) </w:t>
            </w:r>
          </w:p>
        </w:tc>
      </w:tr>
      <w:tr>
        <w:trPr>
          <w:trHeight w:hRule="exact" w:val="240"/>
        </w:trPr>
        <w:tc>
          <w:tcPr>
            <w:tcW w:type="dxa" w:w="34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Borrowing portfolio—Note E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11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1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(2) 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1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(2) </w:t>
            </w:r>
          </w:p>
        </w:tc>
      </w:tr>
      <w:tr>
        <w:trPr>
          <w:trHeight w:hRule="exact" w:val="240"/>
        </w:trPr>
        <w:tc>
          <w:tcPr>
            <w:tcW w:type="dxa" w:w="34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Loan-related derivatives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115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67 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67 </w:t>
            </w:r>
          </w:p>
        </w:tc>
      </w:tr>
      <w:tr>
        <w:trPr>
          <w:trHeight w:hRule="exact" w:val="250"/>
        </w:trPr>
        <w:tc>
          <w:tcPr>
            <w:tcW w:type="dxa" w:w="340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20" w:after="0"/>
              <w:ind w:left="24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Other </w:t>
            </w:r>
            <w:r>
              <w:rPr>
                <w:w w:val="103.99999618530273"/>
                <w:rFonts w:ascii="ArialMT" w:hAnsi="ArialMT" w:eastAsia="ArialMT"/>
                <w:b w:val="0"/>
                <w:i w:val="0"/>
                <w:color w:val="000000"/>
                <w:sz w:val="10"/>
              </w:rPr>
              <w:t>c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102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115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1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(6) </w:t>
            </w:r>
          </w:p>
        </w:tc>
        <w:tc>
          <w:tcPr>
            <w:tcW w:type="dxa" w:w="1349"/>
            <w:vMerge/>
            <w:tcBorders>
              <w:bottom w:sz="8.0" w:val="single" w:color="#000000"/>
            </w:tcBorders>
          </w:tcPr>
          <w:p/>
        </w:tc>
        <w:tc>
          <w:tcPr>
            <w:tcW w:type="dxa" w:w="1140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2" w:after="0"/>
              <w:ind w:left="0" w:right="19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(6) </w:t>
            </w:r>
          </w:p>
        </w:tc>
      </w:tr>
      <w:tr>
        <w:trPr>
          <w:trHeight w:hRule="exact" w:val="220"/>
        </w:trPr>
        <w:tc>
          <w:tcPr>
            <w:tcW w:type="dxa" w:w="340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78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0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— </w:t>
            </w:r>
          </w:p>
        </w:tc>
        <w:tc>
          <w:tcPr>
            <w:tcW w:type="dxa" w:w="92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46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1,474 </w:t>
            </w:r>
          </w:p>
        </w:tc>
        <w:tc>
          <w:tcPr>
            <w:tcW w:type="dxa" w:w="9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47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22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1,474 </w:t>
            </w:r>
          </w:p>
        </w:tc>
      </w:tr>
    </w:tbl>
    <w:p>
      <w:pPr>
        <w:autoSpaceDN w:val="0"/>
        <w:autoSpaceDE w:val="0"/>
        <w:widowControl/>
        <w:spacing w:line="178" w:lineRule="exact" w:before="292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a. Adjusted to exclude amounts reclassified to realized gains (losses).</w:t>
      </w:r>
    </w:p>
    <w:p>
      <w:pPr>
        <w:autoSpaceDN w:val="0"/>
        <w:tabs>
          <w:tab w:pos="242" w:val="left"/>
        </w:tabs>
        <w:autoSpaceDE w:val="0"/>
        <w:widowControl/>
        <w:spacing w:line="192" w:lineRule="exact" w:before="52" w:after="0"/>
        <w:ind w:left="62" w:right="72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b. Includes mark-to-market gains (losses) on the Capital Value Protection program (CVP) portfolio and other Asset-liability </w:t>
      </w:r>
      <w:r>
        <w:tab/>
      </w:r>
      <w:r>
        <w:rPr>
          <w:rFonts w:ascii="Arial" w:hAnsi="Arial" w:eastAsia="Arial"/>
          <w:b w:val="0"/>
          <w:i/>
          <w:color w:val="000000"/>
          <w:sz w:val="16"/>
        </w:rPr>
        <w:t>management portfolios.</w:t>
      </w:r>
    </w:p>
    <w:p>
      <w:pPr>
        <w:autoSpaceDN w:val="0"/>
        <w:autoSpaceDE w:val="0"/>
        <w:widowControl/>
        <w:spacing w:line="180" w:lineRule="exact" w:before="60" w:after="0"/>
        <w:ind w:left="62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 xml:space="preserve">c. Represents mark-to-market gains (losses) on PSW. </w:t>
      </w:r>
    </w:p>
    <w:p>
      <w:pPr>
        <w:autoSpaceDN w:val="0"/>
        <w:autoSpaceDE w:val="0"/>
        <w:widowControl/>
        <w:spacing w:line="222" w:lineRule="exact" w:before="32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NOTE K—TRUST FUNDS ADMINISTRATION</w:t>
      </w:r>
    </w:p>
    <w:p>
      <w:pPr>
        <w:autoSpaceDN w:val="0"/>
        <w:autoSpaceDE w:val="0"/>
        <w:widowControl/>
        <w:spacing w:line="240" w:lineRule="exact" w:before="122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IDA, alone or jointly with one or more of its affiliated organizations, administers on behalf of the donors, including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members, their agencies and other entities, funds restricted for specific uses in accordance with administration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agreements with the donors. Specified uses of the funds include, among others, co-financing of IDA lending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projects, debt reduction operations for IDA members, technical assistance for borrowers including feasibility studies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and project preparation, global and regional programs, and research and training programs. These funds are held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trust by IDA and/or IBRD, and are held in a separate investment portfolio which is not commingled with IDA and/or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IBRD funds. </w:t>
      </w:r>
    </w:p>
    <w:p>
      <w:pPr>
        <w:autoSpaceDN w:val="0"/>
        <w:autoSpaceDE w:val="0"/>
        <w:widowControl/>
        <w:spacing w:line="220" w:lineRule="exact" w:before="14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Trust fund execution may be carried out in one of two ways: recipient-executed or Bank-executed activities.</w:t>
      </w:r>
    </w:p>
    <w:p>
      <w:pPr>
        <w:autoSpaceDN w:val="0"/>
        <w:autoSpaceDE w:val="0"/>
        <w:widowControl/>
        <w:spacing w:line="240" w:lineRule="exact" w:before="120" w:after="0"/>
        <w:ind w:left="10" w:right="22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Recipient-executed activities for trust funds involve activities carried out by a recipient third-party executing agency.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IDA enters into agreements with and disburses funds to such recipients, who then exercise spending authority to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meet the objectives and comply with terms stipulated in the agreements.</w:t>
      </w:r>
    </w:p>
    <w:p>
      <w:pPr>
        <w:autoSpaceDN w:val="0"/>
        <w:tabs>
          <w:tab w:pos="8998" w:val="left"/>
        </w:tabs>
        <w:autoSpaceDE w:val="0"/>
        <w:widowControl/>
        <w:spacing w:line="224" w:lineRule="exact" w:before="1410" w:after="0"/>
        <w:ind w:left="499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Financial Statements: June 30, 2024 </w:t>
      </w:r>
      <w:r>
        <w:rPr>
          <w:rFonts w:ascii="ArialMT" w:hAnsi="ArialMT" w:eastAsia="ArialMT"/>
          <w:b w:val="0"/>
          <w:i w:val="0"/>
          <w:color w:val="000000"/>
          <w:sz w:val="20"/>
        </w:rPr>
        <w:t>115</w:t>
      </w:r>
    </w:p>
    <w:p>
      <w:pPr>
        <w:sectPr>
          <w:pgSz w:w="12240" w:h="15840"/>
          <w:pgMar w:top="700" w:right="1370" w:bottom="2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0"/>
        <w:ind w:left="0" w:right="0"/>
      </w:pPr>
    </w:p>
    <w:p>
      <w:pPr>
        <w:autoSpaceDN w:val="0"/>
        <w:autoSpaceDE w:val="0"/>
        <w:widowControl/>
        <w:spacing w:line="236" w:lineRule="exact" w:before="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Bank-executed activities for trust funds involve execution of activities by IDA as described in relevant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administration agreements with donors, which define the terms and conditions for use of the funds. Spending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authority is exercised by IDA, under the terms of the administration agreements. The executing agency services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provided by IDA include, among others, activity preparation, analytical and advisory activities and project-related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activities, including procurement of goods and services. </w:t>
      </w:r>
    </w:p>
    <w:p>
      <w:pPr>
        <w:autoSpaceDN w:val="0"/>
        <w:autoSpaceDE w:val="0"/>
        <w:widowControl/>
        <w:spacing w:line="222" w:lineRule="exact" w:before="138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 following table summarizes the expenses pertaining to Bank-executed activities for trust funds:</w:t>
      </w:r>
    </w:p>
    <w:p>
      <w:pPr>
        <w:autoSpaceDN w:val="0"/>
        <w:autoSpaceDE w:val="0"/>
        <w:widowControl/>
        <w:spacing w:line="220" w:lineRule="exact" w:before="9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K1: Expenses for Bank-executed activities for trust funds</w:t>
      </w:r>
    </w:p>
    <w:p>
      <w:pPr>
        <w:autoSpaceDN w:val="0"/>
        <w:autoSpaceDE w:val="0"/>
        <w:widowControl/>
        <w:spacing w:line="178" w:lineRule="exact" w:before="114" w:after="0"/>
        <w:ind w:left="118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p>
      <w:pPr>
        <w:autoSpaceDN w:val="0"/>
        <w:autoSpaceDE w:val="0"/>
        <w:widowControl/>
        <w:spacing w:line="178" w:lineRule="exact" w:before="62" w:after="20"/>
        <w:ind w:left="0" w:right="1692" w:firstLine="0"/>
        <w:jc w:val="right"/>
      </w:pPr>
      <w:r>
        <w:rPr>
          <w:rFonts w:ascii="Arial" w:hAnsi="Arial" w:eastAsia="Arial"/>
          <w:b w:val="0"/>
          <w:i/>
          <w:color w:val="000000"/>
          <w:sz w:val="16"/>
        </w:rPr>
        <w:t>Fiscal Year Ended June 30,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240"/>
        </w:trPr>
        <w:tc>
          <w:tcPr>
            <w:tcW w:type="dxa" w:w="421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2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22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2024</w:t>
            </w:r>
          </w:p>
        </w:tc>
        <w:tc>
          <w:tcPr>
            <w:tcW w:type="dxa" w:w="5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220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2023</w:t>
            </w:r>
          </w:p>
        </w:tc>
        <w:tc>
          <w:tcPr>
            <w:tcW w:type="dxa" w:w="5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21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2022</w:t>
            </w:r>
          </w:p>
        </w:tc>
      </w:tr>
      <w:tr>
        <w:trPr>
          <w:trHeight w:hRule="exact" w:val="480"/>
        </w:trPr>
        <w:tc>
          <w:tcPr>
            <w:tcW w:type="dxa" w:w="421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Expenses for Bank-executed activities for trust funds</w:t>
            </w:r>
          </w:p>
        </w:tc>
        <w:tc>
          <w:tcPr>
            <w:tcW w:type="dxa" w:w="3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4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20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51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705 </w:t>
            </w:r>
          </w:p>
        </w:tc>
        <w:tc>
          <w:tcPr>
            <w:tcW w:type="dxa" w:w="5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51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686 </w:t>
            </w:r>
          </w:p>
        </w:tc>
        <w:tc>
          <w:tcPr>
            <w:tcW w:type="dxa" w:w="56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9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51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613 </w:t>
            </w:r>
          </w:p>
        </w:tc>
      </w:tr>
    </w:tbl>
    <w:p>
      <w:pPr>
        <w:autoSpaceDN w:val="0"/>
        <w:autoSpaceDE w:val="0"/>
        <w:widowControl/>
        <w:spacing w:line="240" w:lineRule="exact" w:before="152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These amounts are included in Administrative expenses and the corresponding revenue is included in Revenue from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externally funded activities in the Statements of Income. Administrative expenses primarily relate to staff cost, travel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and consultant fees.</w:t>
      </w:r>
    </w:p>
    <w:p>
      <w:pPr>
        <w:autoSpaceDN w:val="0"/>
        <w:autoSpaceDE w:val="0"/>
        <w:widowControl/>
        <w:spacing w:line="240" w:lineRule="exact" w:before="12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 following table summarizes undisbursed contributions made by third party donors to Bank-executed activities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for trust funds, recognized on the Balance Sheets:</w:t>
      </w:r>
    </w:p>
    <w:p>
      <w:pPr>
        <w:autoSpaceDN w:val="0"/>
        <w:autoSpaceDE w:val="0"/>
        <w:widowControl/>
        <w:spacing w:line="220" w:lineRule="exact" w:before="13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K2: Undisbursed contributions made by third party donors to Bank-executed activities for trust funds</w:t>
      </w:r>
    </w:p>
    <w:p>
      <w:pPr>
        <w:autoSpaceDN w:val="0"/>
        <w:autoSpaceDE w:val="0"/>
        <w:widowControl/>
        <w:spacing w:line="178" w:lineRule="exact" w:before="114" w:after="20"/>
        <w:ind w:left="118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888"/>
        <w:gridCol w:w="1888"/>
        <w:gridCol w:w="1888"/>
        <w:gridCol w:w="1888"/>
        <w:gridCol w:w="1888"/>
      </w:tblGrid>
      <w:tr>
        <w:trPr>
          <w:trHeight w:hRule="exact" w:val="240"/>
        </w:trPr>
        <w:tc>
          <w:tcPr>
            <w:tcW w:type="dxa" w:w="547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0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2024</w:t>
            </w:r>
          </w:p>
        </w:tc>
        <w:tc>
          <w:tcPr>
            <w:tcW w:type="dxa" w:w="5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5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1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June 30, 2023</w:t>
            </w:r>
          </w:p>
        </w:tc>
      </w:tr>
      <w:tr>
        <w:trPr>
          <w:trHeight w:hRule="exact" w:val="480"/>
        </w:trPr>
        <w:tc>
          <w:tcPr>
            <w:tcW w:type="dxa" w:w="547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Bank-executed activities for trust funds</w:t>
            </w:r>
          </w:p>
        </w:tc>
        <w:tc>
          <w:tcPr>
            <w:tcW w:type="dxa" w:w="29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0" w:firstLine="0"/>
              <w:jc w:val="center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52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51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735 </w:t>
            </w:r>
          </w:p>
        </w:tc>
        <w:tc>
          <w:tcPr>
            <w:tcW w:type="dxa" w:w="5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9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53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51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729 </w:t>
            </w:r>
          </w:p>
        </w:tc>
      </w:tr>
    </w:tbl>
    <w:p>
      <w:pPr>
        <w:autoSpaceDN w:val="0"/>
        <w:autoSpaceDE w:val="0"/>
        <w:widowControl/>
        <w:spacing w:line="240" w:lineRule="exact" w:before="152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These amounts are included in Other Assets and the corresponding liabilities are included in Accounts payable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miscellaneous liabilities on the Balance Sheets.</w:t>
      </w:r>
    </w:p>
    <w:p>
      <w:pPr>
        <w:autoSpaceDN w:val="0"/>
        <w:autoSpaceDE w:val="0"/>
        <w:widowControl/>
        <w:spacing w:line="244" w:lineRule="exact" w:before="130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Revenues</w:t>
      </w:r>
    </w:p>
    <w:p>
      <w:pPr>
        <w:autoSpaceDN w:val="0"/>
        <w:autoSpaceDE w:val="0"/>
        <w:widowControl/>
        <w:spacing w:line="222" w:lineRule="exact" w:before="148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IDA’s revenues for the administration of trust fund operations were as follows:</w:t>
      </w:r>
    </w:p>
    <w:p>
      <w:pPr>
        <w:autoSpaceDN w:val="0"/>
        <w:autoSpaceDE w:val="0"/>
        <w:widowControl/>
        <w:spacing w:line="220" w:lineRule="exact" w:before="96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0"/>
        </w:rPr>
        <w:t>Table K3: IDA’s revenues for the administration of trust fund operations</w:t>
      </w:r>
    </w:p>
    <w:p>
      <w:pPr>
        <w:autoSpaceDN w:val="0"/>
        <w:autoSpaceDE w:val="0"/>
        <w:widowControl/>
        <w:spacing w:line="178" w:lineRule="exact" w:before="114" w:after="0"/>
        <w:ind w:left="118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16"/>
        </w:rPr>
        <w:t>In millions of U.S. dollars</w:t>
      </w:r>
    </w:p>
    <w:p>
      <w:pPr>
        <w:autoSpaceDN w:val="0"/>
        <w:autoSpaceDE w:val="0"/>
        <w:widowControl/>
        <w:spacing w:line="178" w:lineRule="exact" w:before="62" w:after="20"/>
        <w:ind w:left="0" w:right="1744" w:firstLine="0"/>
        <w:jc w:val="right"/>
      </w:pPr>
      <w:r>
        <w:rPr>
          <w:rFonts w:ascii="Arial" w:hAnsi="Arial" w:eastAsia="Arial"/>
          <w:b w:val="0"/>
          <w:i/>
          <w:color w:val="000000"/>
          <w:sz w:val="16"/>
        </w:rPr>
        <w:t>Fiscal Year Ended June 30,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49"/>
        <w:gridCol w:w="1349"/>
        <w:gridCol w:w="1349"/>
        <w:gridCol w:w="1349"/>
        <w:gridCol w:w="1349"/>
        <w:gridCol w:w="1349"/>
        <w:gridCol w:w="1349"/>
      </w:tblGrid>
      <w:tr>
        <w:trPr>
          <w:trHeight w:hRule="exact" w:val="240"/>
        </w:trPr>
        <w:tc>
          <w:tcPr>
            <w:tcW w:type="dxa" w:w="40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20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2024</w:t>
            </w:r>
          </w:p>
        </w:tc>
        <w:tc>
          <w:tcPr>
            <w:tcW w:type="dxa" w:w="7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20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2023</w:t>
            </w:r>
          </w:p>
        </w:tc>
        <w:tc>
          <w:tcPr>
            <w:tcW w:type="dxa" w:w="7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1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212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16"/>
              </w:rPr>
              <w:t>2022</w:t>
            </w:r>
          </w:p>
        </w:tc>
      </w:tr>
      <w:tr>
        <w:trPr>
          <w:trHeight w:hRule="exact" w:val="480"/>
        </w:trPr>
        <w:tc>
          <w:tcPr>
            <w:tcW w:type="dxa" w:w="40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118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>Revenues</w:t>
            </w:r>
          </w:p>
        </w:tc>
        <w:tc>
          <w:tcPr>
            <w:tcW w:type="dxa" w:w="38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62" w:right="0" w:firstLine="0"/>
              <w:jc w:val="lef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4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592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93 </w:t>
            </w:r>
          </w:p>
        </w:tc>
        <w:tc>
          <w:tcPr>
            <w:tcW w:type="dxa" w:w="76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80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44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598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57 </w:t>
            </w:r>
          </w:p>
        </w:tc>
        <w:tc>
          <w:tcPr>
            <w:tcW w:type="dxa" w:w="756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174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$ </w:t>
            </w:r>
          </w:p>
        </w:tc>
        <w:tc>
          <w:tcPr>
            <w:tcW w:type="dxa" w:w="1150"/>
            <w:tcBorders>
              <w:top w:sz="8.0" w:val="single" w:color="#000000"/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22" w:after="0"/>
              <w:ind w:left="0" w:right="586" w:firstLine="0"/>
              <w:jc w:val="right"/>
            </w:pPr>
            <w:r>
              <w:rPr>
                <w:rFonts w:ascii="ArialMT" w:hAnsi="ArialMT" w:eastAsia="ArialMT"/>
                <w:b w:val="0"/>
                <w:i w:val="0"/>
                <w:color w:val="000000"/>
                <w:sz w:val="16"/>
              </w:rPr>
              <w:t xml:space="preserve">43 </w:t>
            </w:r>
          </w:p>
        </w:tc>
      </w:tr>
    </w:tbl>
    <w:p>
      <w:pPr>
        <w:autoSpaceDN w:val="0"/>
        <w:autoSpaceDE w:val="0"/>
        <w:widowControl/>
        <w:spacing w:line="222" w:lineRule="exact" w:before="17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>These amounts are included in Revenue from externally funded activities in the Statements of Income.</w:t>
      </w:r>
    </w:p>
    <w:p>
      <w:pPr>
        <w:autoSpaceDN w:val="0"/>
        <w:autoSpaceDE w:val="0"/>
        <w:widowControl/>
        <w:spacing w:line="240" w:lineRule="exact" w:before="120" w:after="0"/>
        <w:ind w:left="10" w:right="20" w:firstLine="0"/>
        <w:jc w:val="both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Amounts collected from donor contributions for administration activities, but not yet earned, totaling $74 million at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June 30, 2024 ($69 million—June 30, 2023) are included in Other Assets and in Accounts payable and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miscellaneous liabilities, respectively, on the Balance Sheets.</w:t>
      </w:r>
    </w:p>
    <w:p>
      <w:pPr>
        <w:autoSpaceDN w:val="0"/>
        <w:autoSpaceDE w:val="0"/>
        <w:widowControl/>
        <w:spacing w:line="244" w:lineRule="exact" w:before="130" w:after="0"/>
        <w:ind w:left="1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Transfers Received</w:t>
      </w:r>
    </w:p>
    <w:p>
      <w:pPr>
        <w:autoSpaceDN w:val="0"/>
        <w:autoSpaceDE w:val="0"/>
        <w:widowControl/>
        <w:spacing w:line="240" w:lineRule="exact" w:before="130" w:after="0"/>
        <w:ind w:left="1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Under the agreements governing the administration of certain trust funds, IDA may receive any surplus assets as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transfers upon the termination of these trust funds. In addition, as loans are repaid to trust funds, in certain cases the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repayments are transferred to IDA. During the fiscal year ended June 30, 2024 no funds were recorded as Transfers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from affiliated organizations and others under these arrangements (Nil—fiscal year ended June 30, 2023 and Nil —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fiscal year ended June 30, 2022).</w:t>
      </w:r>
    </w:p>
    <w:p>
      <w:pPr>
        <w:autoSpaceDN w:val="0"/>
        <w:tabs>
          <w:tab w:pos="768" w:val="left"/>
        </w:tabs>
        <w:autoSpaceDE w:val="0"/>
        <w:widowControl/>
        <w:spacing w:line="224" w:lineRule="exact" w:before="1866" w:after="0"/>
        <w:ind w:left="62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116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20"/>
        </w:rPr>
        <w:t>IDA Financial Statements: June 30, 2024</w:t>
      </w:r>
    </w:p>
    <w:p>
      <w:pPr>
        <w:sectPr>
          <w:pgSz w:w="12240" w:h="15840"/>
          <w:pgMar w:top="700" w:right="1370" w:bottom="200" w:left="143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76"/>
        <w:ind w:left="0" w:right="0"/>
      </w:pPr>
    </w:p>
    <w:p>
      <w:pPr>
        <w:autoSpaceDN w:val="0"/>
        <w:autoSpaceDE w:val="0"/>
        <w:widowControl/>
        <w:spacing w:line="244" w:lineRule="exact" w:before="0" w:after="0"/>
        <w:ind w:left="0" w:right="0" w:firstLine="0"/>
        <w:jc w:val="left"/>
      </w:pPr>
      <w:r>
        <w:rPr>
          <w:rFonts w:ascii="TimesNewRoman" w:hAnsi="TimesNewRoman" w:eastAsia="TimesNewRoman"/>
          <w:b/>
          <w:i w:val="0"/>
          <w:color w:val="000000"/>
          <w:sz w:val="22"/>
        </w:rPr>
        <w:t>NOTE L—CONTINGENCIES</w:t>
      </w:r>
    </w:p>
    <w:p>
      <w:pPr>
        <w:autoSpaceDN w:val="0"/>
        <w:autoSpaceDE w:val="0"/>
        <w:widowControl/>
        <w:spacing w:line="240" w:lineRule="exact" w:before="130" w:after="0"/>
        <w:ind w:left="0" w:right="0" w:firstLine="0"/>
        <w:jc w:val="left"/>
      </w:pP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From time to time, IDA may be named as a defendant or co-defendant in legal actions on different grounds in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various jurisdictions. The outcome of any existing legal action, in which IDA has been named as a defendant or co-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 xml:space="preserve">defendant, as of and for the fiscal year ended June 30, 2024, is not expected to have a material adverse effect on </w:t>
      </w:r>
      <w:r>
        <w:rPr>
          <w:rFonts w:ascii="TimesNewRoman" w:hAnsi="TimesNewRoman" w:eastAsia="TimesNewRoman"/>
          <w:b w:val="0"/>
          <w:i w:val="0"/>
          <w:color w:val="000000"/>
          <w:sz w:val="20"/>
        </w:rPr>
        <w:t>IDA's financial position, results of operations or cash flows.</w:t>
      </w:r>
    </w:p>
    <w:p>
      <w:pPr>
        <w:autoSpaceDN w:val="0"/>
        <w:tabs>
          <w:tab w:pos="8988" w:val="left"/>
        </w:tabs>
        <w:autoSpaceDE w:val="0"/>
        <w:widowControl/>
        <w:spacing w:line="224" w:lineRule="exact" w:before="12490" w:after="0"/>
        <w:ind w:left="498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0"/>
        </w:rPr>
        <w:t xml:space="preserve">IDA Financial Statements: June 30, 2024 </w:t>
      </w:r>
      <w:r>
        <w:rPr>
          <w:rFonts w:ascii="ArialMT" w:hAnsi="ArialMT" w:eastAsia="ArialMT"/>
          <w:b w:val="0"/>
          <w:i w:val="0"/>
          <w:color w:val="000000"/>
          <w:sz w:val="20"/>
        </w:rPr>
        <w:t>117</w:t>
      </w:r>
    </w:p>
    <w:sectPr w:rsidR="00FC693F" w:rsidRPr="0006063C" w:rsidSect="00034616">
      <w:pgSz w:w="12240" w:h="15840"/>
      <w:pgMar w:top="696" w:right="1374" w:bottom="20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