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2"/>
        <w:ind w:left="0" w:right="0"/>
      </w:pPr>
    </w:p>
    <w:p>
      <w:pPr>
        <w:autoSpaceDN w:val="0"/>
        <w:tabs>
          <w:tab w:pos="3388" w:val="left"/>
        </w:tabs>
        <w:autoSpaceDE w:val="0"/>
        <w:widowControl/>
        <w:spacing w:line="614" w:lineRule="exact" w:before="0" w:after="0"/>
        <w:ind w:left="628" w:right="43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48"/>
        </w:rPr>
        <w:t xml:space="preserve">International Bank for Reconstruction and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>Development</w:t>
      </w:r>
    </w:p>
    <w:p>
      <w:pPr>
        <w:autoSpaceDN w:val="0"/>
        <w:autoSpaceDE w:val="0"/>
        <w:widowControl/>
        <w:spacing w:line="240" w:lineRule="auto" w:before="95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638" w:lineRule="exact" w:before="716" w:after="0"/>
        <w:ind w:left="432" w:right="432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48"/>
        </w:rPr>
        <w:t xml:space="preserve">Management’s Discussion &amp; Analysis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 xml:space="preserve">and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 xml:space="preserve">Condensed Quarterly Financial Statements </w:t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 xml:space="preserve">December 31, 2024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>(Unaudited)</w:t>
      </w:r>
    </w:p>
    <w:p>
      <w:pPr>
        <w:sectPr>
          <w:pgSz w:w="12240" w:h="15840"/>
          <w:pgMar w:top="1020" w:right="1440" w:bottom="1440" w:left="144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88"/>
      </w:tblGrid>
      <w:tr>
        <w:trPr>
          <w:trHeight w:hRule="exact" w:val="284"/>
        </w:trPr>
        <w:tc>
          <w:tcPr>
            <w:tcW w:type="dxa" w:w="9368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9368"/>
            </w:tblGrid>
            <w:tr>
              <w:trPr>
                <w:trHeight w:hRule="exact" w:val="264"/>
              </w:trPr>
              <w:tc>
                <w:tcPr>
                  <w:tcW w:type="dxa" w:w="3960"/>
                  <w:tcBorders/>
                  <w:shd w:fill="7f7f7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42" w:after="0"/>
                    <w:ind w:left="108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8"/>
                    </w:rPr>
                    <w:t>Management’s Discussion and Analysis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14" w:lineRule="exact" w:before="246" w:after="328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3129"/>
        <w:gridCol w:w="3129"/>
        <w:gridCol w:w="3129"/>
      </w:tblGrid>
      <w:tr>
        <w:trPr>
          <w:trHeight w:hRule="exact" w:val="308"/>
        </w:trPr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Section I: Executive Summary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7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Summary Financial Results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4</w:t>
            </w:r>
          </w:p>
        </w:tc>
      </w:tr>
      <w:tr>
        <w:trPr>
          <w:trHeight w:hRule="exact" w:val="280"/>
        </w:trPr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Section II: Overview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8" w:after="0"/>
              <w:ind w:left="7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Financial Business Model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8" w:after="0"/>
              <w:ind w:left="0" w:right="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6</w:t>
            </w:r>
          </w:p>
        </w:tc>
      </w:tr>
      <w:tr>
        <w:trPr>
          <w:trHeight w:hRule="exact" w:val="296"/>
        </w:trPr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Section III: Financial Results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7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Basis of Reporting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</w:t>
            </w:r>
          </w:p>
        </w:tc>
      </w:tr>
      <w:tr>
        <w:trPr>
          <w:trHeight w:hRule="exact" w:val="284"/>
        </w:trPr>
        <w:tc>
          <w:tcPr>
            <w:tcW w:type="dxa" w:w="3129"/>
            <w:vMerge/>
            <w:tcBorders/>
          </w:tcPr>
          <w:p/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7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Financial Results and Portfolio Performance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9</w:t>
            </w:r>
          </w:p>
        </w:tc>
      </w:tr>
      <w:tr>
        <w:trPr>
          <w:trHeight w:hRule="exact" w:val="288"/>
        </w:trPr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1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Section IV: Risk Management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7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(Loss) Income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10</w:t>
            </w:r>
          </w:p>
        </w:tc>
      </w:tr>
      <w:tr>
        <w:trPr>
          <w:trHeight w:hRule="exact" w:val="272"/>
        </w:trPr>
        <w:tc>
          <w:tcPr>
            <w:tcW w:type="dxa" w:w="3129"/>
            <w:vMerge/>
            <w:tcBorders/>
          </w:tcPr>
          <w:p/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7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Risk Governance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18</w:t>
            </w:r>
          </w:p>
        </w:tc>
      </w:tr>
      <w:tr>
        <w:trPr>
          <w:trHeight w:hRule="exact" w:val="298"/>
        </w:trPr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Section V: Governance 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7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Management of IBRD's Risks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18</w:t>
            </w:r>
          </w:p>
        </w:tc>
      </w:tr>
      <w:tr>
        <w:trPr>
          <w:trHeight w:hRule="exact" w:val="314"/>
        </w:trPr>
        <w:tc>
          <w:tcPr>
            <w:tcW w:type="dxa" w:w="3129"/>
            <w:vMerge/>
            <w:tcBorders/>
          </w:tcPr>
          <w:p/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7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Senior Management Changes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312" w:lineRule="exact" w:before="500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Tables</w:t>
      </w:r>
    </w:p>
    <w:p>
      <w:pPr>
        <w:autoSpaceDN w:val="0"/>
        <w:tabs>
          <w:tab w:pos="9088" w:val="left"/>
          <w:tab w:pos="9104" w:val="left"/>
          <w:tab w:pos="9200" w:val="left"/>
        </w:tabs>
        <w:autoSpaceDE w:val="0"/>
        <w:widowControl/>
        <w:spacing w:line="286" w:lineRule="exact" w:before="28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1: Selected Financial Data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2: Condensed Statements of Income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9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3: Condensed Balance Sheets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9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4: Gross Disbursements by Region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11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5: Net Commitments by Region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12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6: Net Other Revenue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14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7: Net Non-Interest Expenses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15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8: Unrealized Mark-to-market Gains / (Losses) on Non-trading Portfolios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15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9: Equity-to-Loans Ratio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10: Usable Paid-In Capital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11: Credit Enhancements Received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22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12: Commercial Credit Exposure, Net of Collateral Held, by Counterparty Rating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23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13: Non-Commercial Counterparty Credit Risk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24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14: Liquidity Levels for FY25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25</w:t>
      </w:r>
    </w:p>
    <w:p>
      <w:pPr>
        <w:autoSpaceDN w:val="0"/>
        <w:autoSpaceDE w:val="0"/>
        <w:widowControl/>
        <w:spacing w:line="312" w:lineRule="exact" w:before="200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Figures</w:t>
      </w:r>
    </w:p>
    <w:p>
      <w:pPr>
        <w:autoSpaceDN w:val="0"/>
        <w:tabs>
          <w:tab w:pos="9088" w:val="left"/>
          <w:tab w:pos="9104" w:val="left"/>
          <w:tab w:pos="9200" w:val="left"/>
        </w:tabs>
        <w:autoSpaceDE w:val="0"/>
        <w:widowControl/>
        <w:spacing w:line="284" w:lineRule="exact" w:before="30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Figure 1: Sources and Uses of Revenue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7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Figure 2: Loans interest revenue and funding cost (including related derivatives)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10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Figure 3: Loan interest revenue, net of funding costs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10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Figure 4: Change in Net Loans Outstanding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11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Figure 5: Net Loans Outstanding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11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Figure 6: Net Investment Portfolio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13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Figure 7: Investment Revenue, net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13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Figure 8: Borrowing Portfolio (original maturities)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13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Figure 9: Net Non-Interest Expenses (GAAP basis)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14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Figure 10: Country Exposures as of December 31,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21</w:t>
      </w:r>
    </w:p>
    <w:p>
      <w:pPr>
        <w:autoSpaceDN w:val="0"/>
        <w:autoSpaceDE w:val="0"/>
        <w:widowControl/>
        <w:spacing w:line="224" w:lineRule="exact" w:before="3098" w:after="0"/>
        <w:ind w:left="0" w:right="24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December 31, 2024     1</w:t>
      </w:r>
    </w:p>
    <w:p>
      <w:pPr>
        <w:sectPr>
          <w:pgSz w:w="12240" w:h="15840"/>
          <w:pgMar w:top="250" w:right="1416" w:bottom="13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6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1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I: Executive Summary</w:t>
            </w:r>
          </w:p>
        </w:tc>
      </w:tr>
    </w:tbl>
    <w:p>
      <w:pPr>
        <w:autoSpaceDN w:val="0"/>
        <w:autoSpaceDE w:val="0"/>
        <w:widowControl/>
        <w:spacing w:line="312" w:lineRule="exact" w:before="18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Section I: Executive Summary</w:t>
      </w:r>
    </w:p>
    <w:p>
      <w:pPr>
        <w:autoSpaceDN w:val="0"/>
        <w:autoSpaceDE w:val="0"/>
        <w:widowControl/>
        <w:spacing w:line="240" w:lineRule="exact" w:before="192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This Management’s Discussion and Analysis (MD&amp;A) reflects the results of the International Bank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Reconstruction and Development’s (IBRD’s) financial performance for the six months ended December 31, 2024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(FY25 YTD). This document should be read in conjunction with IBRD’s Financial Statements and MD&amp;A for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fiscal year ended June 30, 2024 (FY24). IBRD undertakes no obligation to update any forward-looking statements.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Certain reclassifications of prior years’ information have been made to conform with the current year’s presentation. </w:t>
      </w:r>
    </w:p>
    <w:p>
      <w:pPr>
        <w:autoSpaceDN w:val="0"/>
        <w:autoSpaceDE w:val="0"/>
        <w:widowControl/>
        <w:spacing w:line="250" w:lineRule="exact" w:before="274" w:after="0"/>
        <w:ind w:left="10" w:right="360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Table 1: Selected Financial Data </w:t>
      </w:r>
      <w:r>
        <w:br/>
      </w:r>
      <w:r>
        <w:rPr>
          <w:rFonts w:ascii="Arial" w:hAnsi="Arial" w:eastAsia="Arial"/>
          <w:b w:val="0"/>
          <w:i/>
          <w:color w:val="000000"/>
          <w:sz w:val="20"/>
        </w:rPr>
        <w:t>In millions of U.S. dollars, except ratios which are in percentages</w:t>
      </w:r>
    </w:p>
    <w:p>
      <w:pPr>
        <w:autoSpaceDN w:val="0"/>
        <w:autoSpaceDE w:val="0"/>
        <w:widowControl/>
        <w:spacing w:line="180" w:lineRule="exact" w:before="344" w:after="6"/>
        <w:ind w:left="0" w:right="136" w:firstLine="0"/>
        <w:jc w:val="right"/>
      </w:pPr>
      <w:r>
        <w:rPr>
          <w:rFonts w:ascii="Arial" w:hAnsi="Arial" w:eastAsia="Arial"/>
          <w:b w:val="0"/>
          <w:i/>
          <w:color w:val="6D6D6D"/>
          <w:sz w:val="16"/>
        </w:rPr>
        <w:t xml:space="preserve">As of and for the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47"/>
        <w:gridCol w:w="3147"/>
        <w:gridCol w:w="3147"/>
      </w:tblGrid>
      <w:tr>
        <w:trPr>
          <w:trHeight w:hRule="exact" w:val="408"/>
        </w:trPr>
        <w:tc>
          <w:tcPr>
            <w:tcW w:type="dxa" w:w="7904"/>
            <w:gridSpan w:val="2"/>
            <w:tcBorders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576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6D6D6D"/>
                <w:sz w:val="16"/>
              </w:rPr>
              <w:t xml:space="preserve">As of and for the six months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6D6D6D"/>
                <w:sz w:val="16"/>
              </w:rPr>
              <w:t>ended December 31,</w:t>
            </w:r>
          </w:p>
        </w:tc>
        <w:tc>
          <w:tcPr>
            <w:tcW w:type="dxa" w:w="145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144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6D6D6D"/>
                <w:sz w:val="16"/>
              </w:rPr>
              <w:t xml:space="preserve">fiscal year ended </w:t>
            </w:r>
            <w:r>
              <w:rPr>
                <w:rFonts w:ascii="Arial" w:hAnsi="Arial" w:eastAsia="Arial"/>
                <w:b w:val="0"/>
                <w:i/>
                <w:color w:val="6D6D6D"/>
                <w:sz w:val="16"/>
              </w:rPr>
              <w:t>June 30,</w:t>
            </w:r>
          </w:p>
        </w:tc>
      </w:tr>
      <w:tr>
        <w:trPr>
          <w:trHeight w:hRule="exact" w:val="240"/>
        </w:trPr>
        <w:tc>
          <w:tcPr>
            <w:tcW w:type="dxa" w:w="6784"/>
            <w:tcBorders>
              <w:top w:sz="4.0" w:val="single" w:color="#929292"/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0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6D6D6D"/>
                <w:sz w:val="16"/>
              </w:rPr>
              <w:t>2024</w:t>
            </w:r>
          </w:p>
        </w:tc>
        <w:tc>
          <w:tcPr>
            <w:tcW w:type="dxa" w:w="1120"/>
            <w:tcBorders>
              <w:top w:sz="4.0" w:val="single" w:color="#929292"/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6D6D6D"/>
                <w:sz w:val="16"/>
              </w:rPr>
              <w:t>2023</w:t>
            </w:r>
          </w:p>
        </w:tc>
        <w:tc>
          <w:tcPr>
            <w:tcW w:type="dxa" w:w="1450"/>
            <w:tcBorders>
              <w:top w:sz="4.0" w:val="single" w:color="#929292"/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6D6D6D"/>
                <w:sz w:val="16"/>
              </w:rPr>
              <w:t>2024</w:t>
            </w:r>
          </w:p>
        </w:tc>
      </w:tr>
    </w:tbl>
    <w:p>
      <w:pPr>
        <w:autoSpaceDN w:val="0"/>
        <w:autoSpaceDE w:val="0"/>
        <w:widowControl/>
        <w:spacing w:line="180" w:lineRule="exact" w:before="26" w:after="2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Lending Highlights (Section III)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40"/>
        </w:trPr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commitments </w:t>
            </w:r>
            <w:r>
              <w:rPr>
                <w:w w:val="103.99999618530273"/>
                <w:rFonts w:ascii="Arial" w:hAnsi="Arial" w:eastAsia="Arial"/>
                <w:b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17,698 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14,996 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37,568 </w:t>
            </w:r>
          </w:p>
        </w:tc>
      </w:tr>
      <w:tr>
        <w:trPr>
          <w:trHeight w:hRule="exact" w:val="240"/>
        </w:trPr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Gross disbursements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17,690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18,105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33,450 </w:t>
            </w:r>
          </w:p>
        </w:tc>
      </w:tr>
      <w:tr>
        <w:trPr>
          <w:trHeight w:hRule="exact" w:val="280"/>
        </w:trPr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disbursements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10,584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11,000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20,115 </w:t>
            </w:r>
          </w:p>
        </w:tc>
      </w:tr>
    </w:tbl>
    <w:p>
      <w:pPr>
        <w:autoSpaceDN w:val="0"/>
        <w:autoSpaceDE w:val="0"/>
        <w:widowControl/>
        <w:spacing w:line="178" w:lineRule="exact" w:before="226" w:after="32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Income Statement (Section III)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24"/>
        </w:trPr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Board of Governors-approved and other transfers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(815) 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(371) 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(371) </w:t>
            </w:r>
          </w:p>
        </w:tc>
      </w:tr>
      <w:tr>
        <w:trPr>
          <w:trHeight w:hRule="exact" w:val="284"/>
        </w:trPr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(loss) income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(41)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357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2,142 </w:t>
            </w:r>
          </w:p>
        </w:tc>
      </w:tr>
    </w:tbl>
    <w:p>
      <w:pPr>
        <w:autoSpaceDN w:val="0"/>
        <w:autoSpaceDE w:val="0"/>
        <w:widowControl/>
        <w:spacing w:line="180" w:lineRule="exact" w:before="226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Balance Sheet (Section III)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220"/>
        </w:trPr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Total assets 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372,323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$ 342,354 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356,612 </w:t>
            </w:r>
          </w:p>
        </w:tc>
      </w:tr>
      <w:tr>
        <w:trPr>
          <w:trHeight w:hRule="exact" w:val="260"/>
        </w:trPr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investment portfolio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573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91,793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1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74,693 </w:t>
            </w:r>
          </w:p>
        </w:tc>
        <w:tc>
          <w:tcPr>
            <w:tcW w:type="dxa" w:w="1573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82,680 </w:t>
            </w:r>
          </w:p>
        </w:tc>
      </w:tr>
      <w:tr>
        <w:trPr>
          <w:trHeight w:hRule="exact" w:val="220"/>
        </w:trPr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loans outstanding</w:t>
            </w:r>
          </w:p>
        </w:tc>
        <w:tc>
          <w:tcPr>
            <w:tcW w:type="dxa" w:w="1573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268,961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253,126 </w:t>
            </w:r>
          </w:p>
        </w:tc>
        <w:tc>
          <w:tcPr>
            <w:tcW w:type="dxa" w:w="1573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260,236 </w:t>
            </w:r>
          </w:p>
        </w:tc>
      </w:tr>
      <w:tr>
        <w:trPr>
          <w:trHeight w:hRule="exact" w:val="260"/>
        </w:trPr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Borrowing portfolio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1573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304,056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1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272,302 </w:t>
            </w:r>
          </w:p>
        </w:tc>
        <w:tc>
          <w:tcPr>
            <w:tcW w:type="dxa" w:w="1573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287,117 </w:t>
            </w:r>
          </w:p>
        </w:tc>
      </w:tr>
      <w:tr>
        <w:trPr>
          <w:trHeight w:hRule="exact" w:val="270"/>
        </w:trPr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equity</w:t>
            </w:r>
          </w:p>
        </w:tc>
        <w:tc>
          <w:tcPr>
            <w:tcW w:type="dxa" w:w="1573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64,718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62,447 </w:t>
            </w:r>
          </w:p>
        </w:tc>
        <w:tc>
          <w:tcPr>
            <w:tcW w:type="dxa" w:w="1573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63,484 </w:t>
            </w:r>
          </w:p>
        </w:tc>
      </w:tr>
    </w:tbl>
    <w:p>
      <w:pPr>
        <w:autoSpaceDN w:val="0"/>
        <w:autoSpaceDE w:val="0"/>
        <w:widowControl/>
        <w:spacing w:line="178" w:lineRule="exact" w:before="226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Non-GAAP Measures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36"/>
        </w:trPr>
        <w:tc>
          <w:tcPr>
            <w:tcW w:type="dxa" w:w="4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Allocable Income (Section III)</w:t>
            </w:r>
          </w:p>
        </w:tc>
        <w:tc>
          <w:tcPr>
            <w:tcW w:type="dxa" w:w="1780"/>
            <w:vMerge w:val="restart"/>
            <w:tcBorders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885 </w:t>
            </w:r>
          </w:p>
        </w:tc>
        <w:tc>
          <w:tcPr>
            <w:tcW w:type="dxa" w:w="300"/>
            <w:vMerge w:val="restart"/>
            <w:tcBorders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965 </w:t>
            </w:r>
          </w:p>
        </w:tc>
        <w:tc>
          <w:tcPr>
            <w:tcW w:type="dxa" w:w="420"/>
            <w:vMerge w:val="restart"/>
            <w:tcBorders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1,849 </w:t>
            </w:r>
          </w:p>
        </w:tc>
      </w:tr>
      <w:tr>
        <w:trPr>
          <w:trHeight w:hRule="exact" w:val="240"/>
        </w:trPr>
        <w:tc>
          <w:tcPr>
            <w:tcW w:type="dxa" w:w="4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Usable Equity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(Section IV)</w:t>
            </w:r>
          </w:p>
        </w:tc>
        <w:tc>
          <w:tcPr>
            <w:tcW w:type="dxa" w:w="1349"/>
            <w:vMerge/>
            <w:tcBorders>
              <w:bottom w:sz="4.0" w:val="single" w:color="#929292"/>
            </w:tcBorders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54,849 </w:t>
            </w:r>
          </w:p>
        </w:tc>
        <w:tc>
          <w:tcPr>
            <w:tcW w:type="dxa" w:w="1349"/>
            <w:vMerge/>
            <w:tcBorders>
              <w:bottom w:sz="4.0" w:val="single" w:color="#929292"/>
            </w:tcBorders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53,892 </w:t>
            </w:r>
          </w:p>
        </w:tc>
        <w:tc>
          <w:tcPr>
            <w:tcW w:type="dxa" w:w="1349"/>
            <w:vMerge/>
            <w:tcBorders>
              <w:bottom w:sz="4.0" w:val="single" w:color="#929292"/>
            </w:tcBorders>
          </w:tcPr>
          <w:p/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54,655 </w:t>
            </w:r>
          </w:p>
        </w:tc>
      </w:tr>
      <w:tr>
        <w:trPr>
          <w:trHeight w:hRule="exact" w:val="488"/>
        </w:trPr>
        <w:tc>
          <w:tcPr>
            <w:tcW w:type="dxa" w:w="4164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Equity-to-Loans Ratio (Section IV)</w:t>
            </w:r>
          </w:p>
        </w:tc>
        <w:tc>
          <w:tcPr>
            <w:tcW w:type="dxa" w:w="1349"/>
            <w:vMerge/>
            <w:tcBorders>
              <w:bottom w:sz="4.0" w:val="single" w:color="#929292"/>
            </w:tcBorders>
          </w:tcPr>
          <w:p/>
        </w:tc>
        <w:tc>
          <w:tcPr>
            <w:tcW w:type="dxa" w:w="86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21.1 %</w:t>
            </w:r>
          </w:p>
        </w:tc>
        <w:tc>
          <w:tcPr>
            <w:tcW w:type="dxa" w:w="1349"/>
            <w:vMerge/>
            <w:tcBorders>
              <w:bottom w:sz="4.0" w:val="single" w:color="#929292"/>
            </w:tcBorders>
          </w:tcPr>
          <w:p/>
        </w:tc>
        <w:tc>
          <w:tcPr>
            <w:tcW w:type="dxa" w:w="86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21.8 %</w:t>
            </w:r>
          </w:p>
        </w:tc>
        <w:tc>
          <w:tcPr>
            <w:tcW w:type="dxa" w:w="1349"/>
            <w:vMerge/>
            <w:tcBorders>
              <w:bottom w:sz="4.0" w:val="single" w:color="#929292"/>
            </w:tcBorders>
          </w:tcPr>
          <w:p/>
        </w:tc>
        <w:tc>
          <w:tcPr>
            <w:tcW w:type="dxa" w:w="97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21.5 % </w:t>
            </w:r>
          </w:p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16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Amounts include guarantee commitments that have been approved by the Executive Directors (referred to as “the Board” in this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document) and are net of full terminations and cancellations relating to commitments approved in the same fiscal year. 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5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b. For the composition of the net investment portfolio, see Notes to the Condensed Quarterly Financial Statements, Note C -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Investments - Table C3.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c. Includes associated derivatives.</w:t>
      </w:r>
    </w:p>
    <w:p>
      <w:pPr>
        <w:autoSpaceDN w:val="0"/>
        <w:autoSpaceDE w:val="0"/>
        <w:widowControl/>
        <w:spacing w:line="224" w:lineRule="exact" w:before="4522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2     IBRD Management's Discussion and Analysis: December 31, 2024</w:t>
      </w:r>
    </w:p>
    <w:p>
      <w:pPr>
        <w:sectPr>
          <w:pgSz w:w="12240" w:h="15840"/>
          <w:pgMar w:top="316" w:right="1370" w:bottom="1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6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1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I: Executive Summary</w:t>
            </w:r>
          </w:p>
        </w:tc>
      </w:tr>
    </w:tbl>
    <w:p>
      <w:pPr>
        <w:autoSpaceDN w:val="0"/>
        <w:autoSpaceDE w:val="0"/>
        <w:widowControl/>
        <w:spacing w:line="240" w:lineRule="exact" w:before="106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IBRD's mission is to end extreme poverty and boost shared prosperity on a livable planet by providing countries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with loans, guarantees, advisory services, analytical support and other products.</w:t>
      </w:r>
    </w:p>
    <w:p>
      <w:pPr>
        <w:autoSpaceDN w:val="0"/>
        <w:autoSpaceDE w:val="0"/>
        <w:widowControl/>
        <w:spacing w:line="230" w:lineRule="exact" w:before="13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and its affiliated institutions seek to help countries in reducing poverty and inequality, achieve improvements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economic growth, job creation, governance, the environment, climate adaptation, mitigation and resilience,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human capital, infrastructure and debt transparency, among others. To meet its development goals, the World Bank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Group (WBG</w:t>
      </w:r>
      <w:r>
        <w:rPr>
          <w:rFonts w:ascii="TimesNewRoman" w:hAnsi="TimesNewRoman" w:eastAsia="TimesNewRoman"/>
          <w:b w:val="0"/>
          <w:i w:val="0"/>
          <w:color w:val="000000"/>
          <w:sz w:val="13"/>
        </w:rPr>
        <w:t>1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) supports client countries' efforts to implement programs to improve growth and development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outcomes with a vision to create a world free of poverty on a livable planet. Further, new and ongoing challenges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continue to influence the global outlook, including: climate change adaptation and mitigation; fragility and conflict;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pandemic prevention and preparedness; energy access; food and nutrition security; water security and access;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enabling digitalization; and protecting biodiversity and nature. IBRD continues to work with partners at global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country levels to support its borrowing countries in addressing the impact of these multiple challenges, to enhance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resilience, and lay the groundwork for rebuilding better. To further support these efforts, the Board and Management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have been evolving the WBG to better address the scale of development challenges. This process includes initiatives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to increase impact, expand financing capacity, support projects that address global challenges with cross border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externalities, and modernize the approach to delivery.</w:t>
      </w:r>
    </w:p>
    <w:p>
      <w:pPr>
        <w:autoSpaceDN w:val="0"/>
        <w:autoSpaceDE w:val="0"/>
        <w:widowControl/>
        <w:spacing w:line="192" w:lineRule="exact" w:before="9520" w:after="0"/>
        <w:ind w:left="100" w:right="22" w:hanging="90"/>
        <w:jc w:val="both"/>
      </w:pPr>
      <w:r>
        <w:rPr>
          <w:w w:val="103.99999618530273"/>
          <w:rFonts w:ascii="Arial" w:hAnsi="Arial" w:eastAsia="Arial"/>
          <w:b w:val="0"/>
          <w:i/>
          <w:color w:val="000000"/>
          <w:sz w:val="10"/>
        </w:rPr>
        <w:t>1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 The other WBG institutions are the International Development Association (IDA), the International Finance Corporation (IFC), the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Multilateral Investment Guarantee Agency (MIGA), and the International Centre for Settlement of Investment Disputes (ICSID). The </w:t>
      </w:r>
      <w:r>
        <w:rPr>
          <w:rFonts w:ascii="Arial" w:hAnsi="Arial" w:eastAsia="Arial"/>
          <w:b w:val="0"/>
          <w:i/>
          <w:color w:val="000000"/>
          <w:sz w:val="16"/>
        </w:rPr>
        <w:t>World Bank consists of IBRD and IDA.</w:t>
      </w:r>
    </w:p>
    <w:p>
      <w:pPr>
        <w:autoSpaceDN w:val="0"/>
        <w:autoSpaceDE w:val="0"/>
        <w:widowControl/>
        <w:spacing w:line="224" w:lineRule="exact" w:before="628" w:after="0"/>
        <w:ind w:left="0" w:right="7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December 31, 2024     3</w:t>
      </w:r>
    </w:p>
    <w:p>
      <w:pPr>
        <w:sectPr>
          <w:pgSz w:w="12240" w:h="15840"/>
          <w:pgMar w:top="316" w:right="1370" w:bottom="1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7"/>
        <w:gridCol w:w="4717"/>
      </w:tblGrid>
      <w:tr>
        <w:trPr>
          <w:trHeight w:hRule="exact" w:val="286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1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I: Executive Summary</w:t>
            </w:r>
          </w:p>
        </w:tc>
      </w:tr>
    </w:tbl>
    <w:p>
      <w:pPr>
        <w:autoSpaceDN w:val="0"/>
        <w:autoSpaceDE w:val="0"/>
        <w:widowControl/>
        <w:spacing w:line="268" w:lineRule="exact" w:before="122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Summary Financial Results</w:t>
      </w:r>
    </w:p>
    <w:p>
      <w:pPr>
        <w:autoSpaceDN w:val="0"/>
        <w:autoSpaceDE w:val="0"/>
        <w:widowControl/>
        <w:spacing w:line="244" w:lineRule="exact" w:before="134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 xml:space="preserve">Net (Loss) Income </w:t>
      </w:r>
    </w:p>
    <w:p>
      <w:pPr>
        <w:autoSpaceDN w:val="0"/>
        <w:autoSpaceDE w:val="0"/>
        <w:widowControl/>
        <w:spacing w:line="240" w:lineRule="exact" w:before="7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IBRD's net loss was $41 million for the first six months of FY25, compared with net income of $357 million during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same period in FY24. The $398 million decrease was primarily due to higher Board of Governors-approved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transfers by $444 million and a provision expense for losses on loans and other exposures in FY25 YTD, compared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to a release of provision for the six months ended December 31, 2023 (FY24 YTD). This was partially offset by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lower unrealized mark-to-market losses on IBRD’s non-trading portfolios and an increase in net revenue on interest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earning assets. The $815 million of Board of Governors-approved transfers were expensed as grants upon approval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 the Board of Governors in FY25 YTD and were funded from IBRD's prior years' allocable income.</w:t>
      </w:r>
    </w:p>
    <w:p>
      <w:pPr>
        <w:autoSpaceDN w:val="0"/>
        <w:autoSpaceDE w:val="0"/>
        <w:widowControl/>
        <w:spacing w:line="244" w:lineRule="exact" w:before="130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 xml:space="preserve">Allocable Income </w:t>
      </w:r>
    </w:p>
    <w:p>
      <w:pPr>
        <w:autoSpaceDN w:val="0"/>
        <w:autoSpaceDE w:val="0"/>
        <w:widowControl/>
        <w:spacing w:line="240" w:lineRule="exact" w:before="70" w:after="0"/>
        <w:ind w:left="4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Allocable income is the measure IBRD uses for making net income allocation decisions. Given IBRD’s intention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maintain its non-trading portfolio positions to maturity, unrealized mark-to-market gains and losses for these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portfolios are not included in IBRD’s allocable income. In addition, Board of Governors-approved and other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transfers are also excluded from IBRD's allocable income since these amounts relate to allocations out of prior year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allocable income, surplus, or restricted retained earnings. </w:t>
      </w:r>
    </w:p>
    <w:p>
      <w:pPr>
        <w:autoSpaceDN w:val="0"/>
        <w:autoSpaceDE w:val="0"/>
        <w:widowControl/>
        <w:spacing w:line="240" w:lineRule="exact" w:before="12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FY25 YTD, allocable income was $885 million, a decrease of $80 million from the same period in FY24.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decrease was primarily due to the provision expense for losses on loans and other exposures in FY25 YTD,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compared to a release of provision in FY24 YTD (Section III and Section IV). This was partially offset by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increase in net revenue on interest earning assets. </w:t>
      </w:r>
    </w:p>
    <w:p>
      <w:pPr>
        <w:autoSpaceDN w:val="0"/>
        <w:autoSpaceDE w:val="0"/>
        <w:widowControl/>
        <w:spacing w:line="178" w:lineRule="exact" w:before="150" w:after="0"/>
        <w:ind w:left="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 - YTD</w:t>
      </w:r>
    </w:p>
    <w:p>
      <w:pPr>
        <w:autoSpaceDN w:val="0"/>
        <w:autoSpaceDE w:val="0"/>
        <w:widowControl/>
        <w:spacing w:line="164" w:lineRule="exact" w:before="116" w:after="0"/>
        <w:ind w:left="904" w:right="5328" w:firstLine="0"/>
        <w:jc w:val="left"/>
      </w:pPr>
      <w:r>
        <w:rPr>
          <w:rFonts w:ascii="ArialMT" w:hAnsi="ArialMT" w:eastAsia="ArialMT"/>
          <w:b w:val="0"/>
          <w:i w:val="0"/>
          <w:color w:val="595959"/>
          <w:sz w:val="14"/>
        </w:rPr>
        <w:t xml:space="preserve">Allocable Income </w:t>
      </w:r>
      <w:r>
        <w:br/>
      </w:r>
      <w:r>
        <w:rPr>
          <w:rFonts w:ascii="ArialMT" w:hAnsi="ArialMT" w:eastAsia="ArialMT"/>
          <w:b w:val="0"/>
          <w:i w:val="0"/>
          <w:color w:val="595959"/>
          <w:sz w:val="14"/>
        </w:rPr>
        <w:t xml:space="preserve">Net (Loss) Income </w:t>
      </w:r>
      <w:r>
        <w:br/>
      </w:r>
      <w:r>
        <w:rPr>
          <w:rFonts w:ascii="ArialMT" w:hAnsi="ArialMT" w:eastAsia="ArialMT"/>
          <w:b w:val="0"/>
          <w:i w:val="0"/>
          <w:color w:val="595959"/>
          <w:sz w:val="14"/>
        </w:rPr>
        <w:t>Unrealized (Losses) Gains on non-trading portfolios</w:t>
      </w:r>
    </w:p>
    <w:p>
      <w:pPr>
        <w:autoSpaceDN w:val="0"/>
        <w:autoSpaceDE w:val="0"/>
        <w:widowControl/>
        <w:spacing w:line="178" w:lineRule="exact" w:before="66" w:after="60"/>
        <w:ind w:left="84" w:right="0" w:firstLine="0"/>
        <w:jc w:val="left"/>
      </w:pPr>
      <w:r>
        <w:rPr>
          <w:rFonts w:ascii="ArialMT" w:hAnsi="ArialMT" w:eastAsia="ArialMT"/>
          <w:b w:val="0"/>
          <w:i w:val="0"/>
          <w:color w:val="595959"/>
          <w:sz w:val="16"/>
        </w:rPr>
        <w:t>1,600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1572"/>
        <w:gridCol w:w="1572"/>
        <w:gridCol w:w="1572"/>
        <w:gridCol w:w="1572"/>
        <w:gridCol w:w="1572"/>
        <w:gridCol w:w="1572"/>
      </w:tblGrid>
      <w:tr>
        <w:trPr>
          <w:trHeight w:hRule="exact" w:val="1820"/>
        </w:trPr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 xml:space="preserve">1,200 </w:t>
            </w: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 xml:space="preserve">800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 xml:space="preserve">400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-400</w:t>
            </w:r>
          </w:p>
        </w:tc>
        <w:tc>
          <w:tcPr>
            <w:tcW w:type="dxa" w:w="64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451100" cy="1079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100" cy="1079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2"/>
        </w:trPr>
        <w:tc>
          <w:tcPr>
            <w:tcW w:type="dxa" w:w="1572"/>
            <w:vMerge/>
            <w:tcBorders/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1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FY21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FY22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FY23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FY24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FY25</w:t>
            </w:r>
          </w:p>
        </w:tc>
      </w:tr>
    </w:tbl>
    <w:p>
      <w:pPr>
        <w:autoSpaceDN w:val="0"/>
        <w:autoSpaceDE w:val="0"/>
        <w:widowControl/>
        <w:spacing w:line="244" w:lineRule="exact" w:before="82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Lending Operations</w:t>
      </w:r>
    </w:p>
    <w:p>
      <w:pPr>
        <w:autoSpaceDN w:val="0"/>
        <w:autoSpaceDE w:val="0"/>
        <w:widowControl/>
        <w:spacing w:line="240" w:lineRule="exact" w:before="13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lending operations during the first six months of FY25 provided $17.7 billion of net commitments, $17.7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billion of gross loan disbursements, and $10.6 billion of net loan disbursements. Net loans outstanding were $269.0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billion as of December 31, 2024.</w:t>
      </w:r>
    </w:p>
    <w:p>
      <w:pPr>
        <w:autoSpaceDN w:val="0"/>
        <w:autoSpaceDE w:val="0"/>
        <w:widowControl/>
        <w:spacing w:line="178" w:lineRule="exact" w:before="150" w:after="162"/>
        <w:ind w:left="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billions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rHeight w:hRule="exact" w:val="302"/>
        </w:trPr>
        <w:tc>
          <w:tcPr>
            <w:tcW w:type="dxa" w:w="528"/>
            <w:tcBorders>
              <w:bottom w:sz="6.0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74"/>
            <w:tcBorders>
              <w:bottom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595959"/>
                <w:sz w:val="16"/>
              </w:rPr>
              <w:t>Net Commitments YTD</w:t>
            </w:r>
          </w:p>
        </w:tc>
        <w:tc>
          <w:tcPr>
            <w:tcW w:type="dxa" w:w="1066"/>
            <w:tcBorders>
              <w:bottom w:sz="6.0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74"/>
            <w:gridSpan w:val="2"/>
            <w:tcBorders>
              <w:bottom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494949"/>
                <w:sz w:val="16"/>
              </w:rPr>
              <w:t>Disbursements YTD</w:t>
            </w:r>
          </w:p>
        </w:tc>
        <w:tc>
          <w:tcPr>
            <w:tcW w:type="dxa" w:w="838"/>
            <w:tcBorders>
              <w:bottom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</w:p>
        </w:tc>
        <w:tc>
          <w:tcPr>
            <w:tcW w:type="dxa" w:w="2460"/>
            <w:tcBorders>
              <w:bottom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1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595959"/>
                <w:sz w:val="16"/>
              </w:rPr>
              <w:t>Net Loans outstanding</w:t>
            </w:r>
          </w:p>
        </w:tc>
      </w:tr>
      <w:tr>
        <w:trPr>
          <w:trHeight w:hRule="exact" w:val="90"/>
        </w:trPr>
        <w:tc>
          <w:tcPr>
            <w:tcW w:type="dxa" w:w="528"/>
            <w:vMerge w:val="restart"/>
            <w:tcBorders>
              <w:top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20</w:t>
            </w:r>
          </w:p>
        </w:tc>
        <w:tc>
          <w:tcPr>
            <w:tcW w:type="dxa" w:w="2174"/>
            <w:vMerge w:val="restart"/>
            <w:tcBorders>
              <w:top w:sz="6.0" w:val="single" w:color="#E5E6E5"/>
              <w:bottom w:sz="6.00893640518188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84300" cy="4572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3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6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20</w:t>
            </w:r>
          </w:p>
        </w:tc>
        <w:tc>
          <w:tcPr>
            <w:tcW w:type="dxa" w:w="2174"/>
            <w:gridSpan w:val="2"/>
            <w:vMerge w:val="restart"/>
            <w:tcBorders>
              <w:top w:sz="6.0" w:val="single" w:color="#E5E6E5"/>
              <w:bottom w:sz="6.00893640518188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84300" cy="2667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300" cy="266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8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</w:p>
        </w:tc>
        <w:tc>
          <w:tcPr>
            <w:tcW w:type="dxa" w:w="2460"/>
            <w:vMerge w:val="restart"/>
            <w:tcBorders>
              <w:top w:sz="6.0" w:val="single" w:color="#E5E6E5"/>
              <w:bottom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22400" cy="228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4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04"/>
        </w:trPr>
        <w:tc>
          <w:tcPr>
            <w:tcW w:type="dxa" w:w="1348"/>
            <w:vMerge/>
            <w:tcBorders>
              <w:top w:sz="6.0" w:val="single" w:color="#E5E6E5"/>
            </w:tcBorders>
          </w:tcPr>
          <w:p/>
        </w:tc>
        <w:tc>
          <w:tcPr>
            <w:tcW w:type="dxa" w:w="1348"/>
            <w:vMerge/>
            <w:tcBorders>
              <w:top w:sz="6.0" w:val="single" w:color="#E5E6E5"/>
              <w:bottom w:sz="6.008936405181885" w:val="single" w:color="#E5E6E5"/>
            </w:tcBorders>
          </w:tcPr>
          <w:p/>
        </w:tc>
        <w:tc>
          <w:tcPr>
            <w:tcW w:type="dxa" w:w="10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2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16</w:t>
            </w:r>
          </w:p>
        </w:tc>
        <w:tc>
          <w:tcPr>
            <w:tcW w:type="dxa" w:w="2696"/>
            <w:gridSpan w:val="2"/>
            <w:vMerge/>
            <w:tcBorders>
              <w:top w:sz="6.0" w:val="single" w:color="#E5E6E5"/>
              <w:bottom w:sz="6.008936405181885" w:val="single" w:color="#E5E6E5"/>
            </w:tcBorders>
          </w:tcPr>
          <w:p/>
        </w:tc>
        <w:tc>
          <w:tcPr>
            <w:tcW w:type="dxa" w:w="8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0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240</w:t>
            </w:r>
          </w:p>
        </w:tc>
        <w:tc>
          <w:tcPr>
            <w:tcW w:type="dxa" w:w="1348"/>
            <w:vMerge/>
            <w:tcBorders>
              <w:top w:sz="6.0" w:val="single" w:color="#E5E6E5"/>
              <w:bottom w:sz="6.0" w:val="single" w:color="#E5E6E5"/>
            </w:tcBorders>
          </w:tcPr>
          <w:p/>
        </w:tc>
      </w:tr>
      <w:tr>
        <w:trPr>
          <w:trHeight w:hRule="exact" w:val="236"/>
        </w:trPr>
        <w:tc>
          <w:tcPr>
            <w:tcW w:type="dxa" w:w="5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16</w:t>
            </w:r>
          </w:p>
        </w:tc>
        <w:tc>
          <w:tcPr>
            <w:tcW w:type="dxa" w:w="1348"/>
            <w:vMerge/>
            <w:tcBorders>
              <w:top w:sz="6.0" w:val="single" w:color="#E5E6E5"/>
              <w:bottom w:sz="6.008936405181885" w:val="single" w:color="#E5E6E5"/>
            </w:tcBorders>
          </w:tcPr>
          <w:p/>
        </w:tc>
        <w:tc>
          <w:tcPr>
            <w:tcW w:type="dxa" w:w="1348"/>
            <w:vMerge/>
            <w:tcBorders/>
          </w:tcPr>
          <w:p/>
        </w:tc>
        <w:tc>
          <w:tcPr>
            <w:tcW w:type="dxa" w:w="2696"/>
            <w:gridSpan w:val="2"/>
            <w:vMerge/>
            <w:tcBorders>
              <w:top w:sz="6.0" w:val="single" w:color="#E5E6E5"/>
              <w:bottom w:sz="6.008936405181885" w:val="single" w:color="#E5E6E5"/>
            </w:tcBorders>
          </w:tcPr>
          <w:p/>
        </w:tc>
        <w:tc>
          <w:tcPr>
            <w:tcW w:type="dxa" w:w="1348"/>
            <w:vMerge/>
            <w:tcBorders/>
          </w:tcPr>
          <w:p/>
        </w:tc>
        <w:tc>
          <w:tcPr>
            <w:tcW w:type="dxa" w:w="1348"/>
            <w:vMerge/>
            <w:tcBorders>
              <w:top w:sz="6.0" w:val="single" w:color="#E5E6E5"/>
              <w:bottom w:sz="6.0" w:val="single" w:color="#E5E6E5"/>
            </w:tcBorders>
          </w:tcPr>
          <w:p/>
        </w:tc>
      </w:tr>
      <w:tr>
        <w:trPr>
          <w:trHeight w:hRule="exact" w:val="110"/>
        </w:trPr>
        <w:tc>
          <w:tcPr>
            <w:tcW w:type="dxa" w:w="1348"/>
            <w:vMerge/>
            <w:tcBorders/>
          </w:tcPr>
          <w:p/>
        </w:tc>
        <w:tc>
          <w:tcPr>
            <w:tcW w:type="dxa" w:w="1348"/>
            <w:vMerge/>
            <w:tcBorders>
              <w:top w:sz="6.0" w:val="single" w:color="#E5E6E5"/>
              <w:bottom w:sz="6.008936405181885" w:val="single" w:color="#E5E6E5"/>
            </w:tcBorders>
          </w:tcPr>
          <w:p/>
        </w:tc>
        <w:tc>
          <w:tcPr>
            <w:tcW w:type="dxa" w:w="1066"/>
            <w:vMerge w:val="restart"/>
            <w:tcBorders>
              <w:bottom w:sz="6.00893640518188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696"/>
            <w:gridSpan w:val="2"/>
            <w:vMerge/>
            <w:tcBorders>
              <w:top w:sz="6.0" w:val="single" w:color="#E5E6E5"/>
              <w:bottom w:sz="6.008936405181885" w:val="single" w:color="#E5E6E5"/>
            </w:tcBorders>
          </w:tcPr>
          <w:p/>
        </w:tc>
        <w:tc>
          <w:tcPr>
            <w:tcW w:type="dxa" w:w="838"/>
            <w:vMerge w:val="restart"/>
            <w:tcBorders>
              <w:bottom w:sz="6.00893640518188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48"/>
            <w:vMerge/>
            <w:tcBorders>
              <w:top w:sz="6.0" w:val="single" w:color="#E5E6E5"/>
              <w:bottom w:sz="6.0" w:val="single" w:color="#E5E6E5"/>
            </w:tcBorders>
          </w:tcPr>
          <w:p/>
        </w:tc>
      </w:tr>
      <w:tr>
        <w:trPr>
          <w:trHeight w:hRule="exact" w:val="144"/>
        </w:trPr>
        <w:tc>
          <w:tcPr>
            <w:tcW w:type="dxa" w:w="528"/>
            <w:tcBorders>
              <w:bottom w:sz="6.008936405181885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48"/>
            <w:vMerge/>
            <w:tcBorders>
              <w:top w:sz="6.0" w:val="single" w:color="#E5E6E5"/>
              <w:bottom w:sz="6.008936405181885" w:val="single" w:color="#E5E6E5"/>
            </w:tcBorders>
          </w:tcPr>
          <w:p/>
        </w:tc>
        <w:tc>
          <w:tcPr>
            <w:tcW w:type="dxa" w:w="1348"/>
            <w:vMerge/>
            <w:tcBorders>
              <w:bottom w:sz="6.008936405181885" w:val="single" w:color="#E5E6E5"/>
            </w:tcBorders>
          </w:tcPr>
          <w:p/>
        </w:tc>
        <w:tc>
          <w:tcPr>
            <w:tcW w:type="dxa" w:w="2696"/>
            <w:gridSpan w:val="2"/>
            <w:vMerge/>
            <w:tcBorders>
              <w:top w:sz="6.0" w:val="single" w:color="#E5E6E5"/>
              <w:bottom w:sz="6.008936405181885" w:val="single" w:color="#E5E6E5"/>
            </w:tcBorders>
          </w:tcPr>
          <w:p/>
        </w:tc>
        <w:tc>
          <w:tcPr>
            <w:tcW w:type="dxa" w:w="1348"/>
            <w:vMerge/>
            <w:tcBorders>
              <w:bottom w:sz="6.008936405181885" w:val="single" w:color="#E5E6E5"/>
            </w:tcBorders>
          </w:tcPr>
          <w:p/>
        </w:tc>
        <w:tc>
          <w:tcPr>
            <w:tcW w:type="dxa" w:w="1348"/>
            <w:vMerge/>
            <w:tcBorders>
              <w:top w:sz="6.0" w:val="single" w:color="#E5E6E5"/>
              <w:bottom w:sz="6.0" w:val="single" w:color="#E5E6E5"/>
            </w:tcBorders>
          </w:tcPr>
          <w:p/>
        </w:tc>
      </w:tr>
      <w:tr>
        <w:trPr>
          <w:trHeight w:hRule="exact" w:val="86"/>
        </w:trPr>
        <w:tc>
          <w:tcPr>
            <w:tcW w:type="dxa" w:w="528"/>
            <w:vMerge w:val="restart"/>
            <w:tcBorders>
              <w:top w:sz="6.00893640518188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12</w:t>
            </w:r>
          </w:p>
        </w:tc>
        <w:tc>
          <w:tcPr>
            <w:tcW w:type="dxa" w:w="2174"/>
            <w:vMerge w:val="restart"/>
            <w:tcBorders>
              <w:top w:sz="6.008936405181885" w:val="single" w:color="#E5E6E5"/>
              <w:bottom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top w:sz="6.008936405181885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74"/>
            <w:gridSpan w:val="2"/>
            <w:vMerge w:val="restart"/>
            <w:tcBorders>
              <w:top w:sz="6.008936405181885" w:val="single" w:color="#E5E6E5"/>
              <w:bottom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84300" cy="2667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300" cy="266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8"/>
            <w:tcBorders>
              <w:top w:sz="6.008936405181885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48"/>
            <w:vMerge/>
            <w:tcBorders>
              <w:top w:sz="6.0" w:val="single" w:color="#E5E6E5"/>
              <w:bottom w:sz="6.0" w:val="single" w:color="#E5E6E5"/>
            </w:tcBorders>
          </w:tcPr>
          <w:p/>
        </w:tc>
      </w:tr>
      <w:tr>
        <w:trPr>
          <w:trHeight w:hRule="exact" w:val="108"/>
        </w:trPr>
        <w:tc>
          <w:tcPr>
            <w:tcW w:type="dxa" w:w="1348"/>
            <w:vMerge/>
            <w:tcBorders>
              <w:top w:sz="6.008936405181885" w:val="single" w:color="#E5E6E5"/>
            </w:tcBorders>
          </w:tcPr>
          <w:p/>
        </w:tc>
        <w:tc>
          <w:tcPr>
            <w:tcW w:type="dxa" w:w="1348"/>
            <w:vMerge/>
            <w:tcBorders>
              <w:top w:sz="6.008936405181885" w:val="single" w:color="#E5E6E5"/>
              <w:bottom w:sz="6.0" w:val="single" w:color="#E5E6E5"/>
            </w:tcBorders>
          </w:tcPr>
          <w:p/>
        </w:tc>
        <w:tc>
          <w:tcPr>
            <w:tcW w:type="dxa" w:w="1066"/>
            <w:vMerge w:val="restart"/>
            <w:tcBorders>
              <w:bottom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696"/>
            <w:gridSpan w:val="2"/>
            <w:vMerge/>
            <w:tcBorders>
              <w:top w:sz="6.008936405181885" w:val="single" w:color="#E5E6E5"/>
              <w:bottom w:sz="6.0" w:val="single" w:color="#E5E6E5"/>
            </w:tcBorders>
          </w:tcPr>
          <w:p/>
        </w:tc>
        <w:tc>
          <w:tcPr>
            <w:tcW w:type="dxa" w:w="838"/>
            <w:vMerge w:val="restart"/>
            <w:tcBorders>
              <w:bottom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48"/>
            <w:vMerge/>
            <w:tcBorders>
              <w:top w:sz="6.0" w:val="single" w:color="#E5E6E5"/>
              <w:bottom w:sz="6.0" w:val="single" w:color="#E5E6E5"/>
            </w:tcBorders>
          </w:tcPr>
          <w:p/>
        </w:tc>
      </w:tr>
      <w:tr>
        <w:trPr>
          <w:trHeight w:hRule="exact" w:val="156"/>
        </w:trPr>
        <w:tc>
          <w:tcPr>
            <w:tcW w:type="dxa" w:w="528"/>
            <w:tcBorders>
              <w:bottom w:sz="6.0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48"/>
            <w:vMerge/>
            <w:tcBorders>
              <w:top w:sz="6.008936405181885" w:val="single" w:color="#E5E6E5"/>
              <w:bottom w:sz="6.0" w:val="single" w:color="#E5E6E5"/>
            </w:tcBorders>
          </w:tcPr>
          <w:p/>
        </w:tc>
        <w:tc>
          <w:tcPr>
            <w:tcW w:type="dxa" w:w="1348"/>
            <w:vMerge/>
            <w:tcBorders>
              <w:bottom w:sz="6.0" w:val="single" w:color="#E5E6E5"/>
            </w:tcBorders>
          </w:tcPr>
          <w:p/>
        </w:tc>
        <w:tc>
          <w:tcPr>
            <w:tcW w:type="dxa" w:w="2696"/>
            <w:gridSpan w:val="2"/>
            <w:vMerge/>
            <w:tcBorders>
              <w:top w:sz="6.008936405181885" w:val="single" w:color="#E5E6E5"/>
              <w:bottom w:sz="6.0" w:val="single" w:color="#E5E6E5"/>
            </w:tcBorders>
          </w:tcPr>
          <w:p/>
        </w:tc>
        <w:tc>
          <w:tcPr>
            <w:tcW w:type="dxa" w:w="1348"/>
            <w:vMerge/>
            <w:tcBorders>
              <w:bottom w:sz="6.0" w:val="single" w:color="#E5E6E5"/>
            </w:tcBorders>
          </w:tcPr>
          <w:p/>
        </w:tc>
        <w:tc>
          <w:tcPr>
            <w:tcW w:type="dxa" w:w="1348"/>
            <w:vMerge/>
            <w:tcBorders>
              <w:top w:sz="6.0" w:val="single" w:color="#E5E6E5"/>
              <w:bottom w:sz="6.0" w:val="single" w:color="#E5E6E5"/>
            </w:tcBorders>
          </w:tcPr>
          <w:p/>
        </w:tc>
      </w:tr>
      <w:tr>
        <w:trPr>
          <w:trHeight w:hRule="exact" w:val="96"/>
        </w:trPr>
        <w:tc>
          <w:tcPr>
            <w:tcW w:type="dxa" w:w="528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8</w:t>
            </w:r>
          </w:p>
        </w:tc>
        <w:tc>
          <w:tcPr>
            <w:tcW w:type="dxa" w:w="2174"/>
            <w:vMerge w:val="restart"/>
            <w:tcBorders>
              <w:top w:sz="6.0" w:val="single" w:color="#E5E6E5"/>
              <w:bottom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8</w:t>
            </w:r>
          </w:p>
        </w:tc>
        <w:tc>
          <w:tcPr>
            <w:tcW w:type="dxa" w:w="2696"/>
            <w:gridSpan w:val="2"/>
            <w:vMerge/>
            <w:tcBorders>
              <w:top w:sz="6.008936405181885" w:val="single" w:color="#E5E6E5"/>
              <w:bottom w:sz="6.0" w:val="single" w:color="#E5E6E5"/>
            </w:tcBorders>
          </w:tcPr>
          <w:p/>
        </w:tc>
        <w:tc>
          <w:tcPr>
            <w:tcW w:type="dxa" w:w="838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120</w:t>
            </w:r>
          </w:p>
        </w:tc>
        <w:tc>
          <w:tcPr>
            <w:tcW w:type="dxa" w:w="2460"/>
            <w:vMerge w:val="restart"/>
            <w:tcBorders>
              <w:top w:sz="6.0" w:val="single" w:color="#E5E6E5"/>
              <w:bottom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0"/>
        </w:trPr>
        <w:tc>
          <w:tcPr>
            <w:tcW w:type="dxa" w:w="528"/>
            <w:tcBorders>
              <w:bottom w:sz="6.0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48"/>
            <w:vMerge/>
            <w:tcBorders>
              <w:top w:sz="6.0" w:val="single" w:color="#E5E6E5"/>
              <w:bottom w:sz="6.0" w:val="single" w:color="#E5E6E5"/>
            </w:tcBorders>
          </w:tcPr>
          <w:p/>
        </w:tc>
        <w:tc>
          <w:tcPr>
            <w:tcW w:type="dxa" w:w="1066"/>
            <w:tcBorders>
              <w:bottom w:sz="6.0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96"/>
            <w:gridSpan w:val="2"/>
            <w:vMerge/>
            <w:tcBorders>
              <w:top w:sz="6.008936405181885" w:val="single" w:color="#E5E6E5"/>
              <w:bottom w:sz="6.0" w:val="single" w:color="#E5E6E5"/>
            </w:tcBorders>
          </w:tcPr>
          <w:p/>
        </w:tc>
        <w:tc>
          <w:tcPr>
            <w:tcW w:type="dxa" w:w="838"/>
            <w:tcBorders>
              <w:bottom w:sz="6.0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48"/>
            <w:vMerge/>
            <w:tcBorders>
              <w:top w:sz="6.0" w:val="single" w:color="#E5E6E5"/>
              <w:bottom w:sz="6.0" w:val="single" w:color="#E5E6E5"/>
            </w:tcBorders>
          </w:tcPr>
          <w:p/>
        </w:tc>
      </w:tr>
      <w:tr>
        <w:trPr>
          <w:trHeight w:hRule="exact" w:val="90"/>
        </w:trPr>
        <w:tc>
          <w:tcPr>
            <w:tcW w:type="dxa" w:w="528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4</w:t>
            </w:r>
          </w:p>
        </w:tc>
        <w:tc>
          <w:tcPr>
            <w:tcW w:type="dxa" w:w="2174"/>
            <w:vMerge w:val="restart"/>
            <w:tcBorders>
              <w:top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7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FY21 FY22</w:t>
            </w: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FY23</w:t>
            </w: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FY24</w:t>
            </w: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FY25</w:t>
            </w:r>
          </w:p>
        </w:tc>
        <w:tc>
          <w:tcPr>
            <w:tcW w:type="dxa" w:w="1066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4</w:t>
            </w:r>
          </w:p>
        </w:tc>
        <w:tc>
          <w:tcPr>
            <w:tcW w:type="dxa" w:w="2174"/>
            <w:gridSpan w:val="2"/>
            <w:vMerge w:val="restart"/>
            <w:tcBorders>
              <w:top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7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 xml:space="preserve">FY21 FY22 FY23 FY24 FY25 </w:t>
            </w:r>
          </w:p>
        </w:tc>
        <w:tc>
          <w:tcPr>
            <w:tcW w:type="dxa" w:w="838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6</w:t>
            </w:r>
          </w:p>
        </w:tc>
        <w:tc>
          <w:tcPr>
            <w:tcW w:type="dxa" w:w="2460"/>
            <w:vMerge w:val="restart"/>
            <w:tcBorders>
              <w:top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6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 21 Jun 22 Jun 23 Jun 24 Dec 24</w:t>
            </w:r>
          </w:p>
        </w:tc>
      </w:tr>
      <w:tr>
        <w:trPr>
          <w:trHeight w:hRule="exact" w:val="620"/>
        </w:trPr>
        <w:tc>
          <w:tcPr>
            <w:tcW w:type="dxa" w:w="5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7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</w:p>
        </w:tc>
        <w:tc>
          <w:tcPr>
            <w:tcW w:type="dxa" w:w="1348"/>
            <w:vMerge/>
            <w:tcBorders>
              <w:top w:sz="6.0" w:val="single" w:color="#E5E6E5"/>
            </w:tcBorders>
          </w:tcPr>
          <w:p/>
        </w:tc>
        <w:tc>
          <w:tcPr>
            <w:tcW w:type="dxa" w:w="10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74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</w:p>
        </w:tc>
        <w:tc>
          <w:tcPr>
            <w:tcW w:type="dxa" w:w="2696"/>
            <w:gridSpan w:val="2"/>
            <w:vMerge/>
            <w:tcBorders>
              <w:top w:sz="6.0" w:val="single" w:color="#E5E6E5"/>
            </w:tcBorders>
          </w:tcPr>
          <w:p/>
        </w:tc>
        <w:tc>
          <w:tcPr>
            <w:tcW w:type="dxa" w:w="8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0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</w:p>
        </w:tc>
        <w:tc>
          <w:tcPr>
            <w:tcW w:type="dxa" w:w="1348"/>
            <w:vMerge/>
            <w:tcBorders>
              <w:top w:sz="6.0" w:val="single" w:color="#E5E6E5"/>
            </w:tcBorders>
          </w:tcPr>
          <w:p/>
        </w:tc>
      </w:tr>
      <w:tr>
        <w:trPr>
          <w:trHeight w:hRule="exact" w:val="294"/>
        </w:trPr>
        <w:tc>
          <w:tcPr>
            <w:tcW w:type="dxa" w:w="1348"/>
            <w:vMerge/>
            <w:tcBorders/>
          </w:tcPr>
          <w:p/>
        </w:tc>
        <w:tc>
          <w:tcPr>
            <w:tcW w:type="dxa" w:w="1348"/>
            <w:vMerge/>
            <w:tcBorders>
              <w:top w:sz="6.0" w:val="single" w:color="#E5E6E5"/>
            </w:tcBorders>
          </w:tcPr>
          <w:p/>
        </w:tc>
        <w:tc>
          <w:tcPr>
            <w:tcW w:type="dxa" w:w="1348"/>
            <w:vMerge/>
            <w:tcBorders/>
          </w:tcPr>
          <w:p/>
        </w:tc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0" w:after="0"/>
              <w:ind w:left="0" w:right="16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595959"/>
                <w:sz w:val="12"/>
              </w:rPr>
              <w:t>Gross</w:t>
            </w:r>
          </w:p>
        </w:tc>
        <w:tc>
          <w:tcPr>
            <w:tcW w:type="dxa" w:w="1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0" w:after="0"/>
              <w:ind w:left="2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595959"/>
                <w:sz w:val="12"/>
              </w:rPr>
              <w:t>Net</w:t>
            </w:r>
          </w:p>
        </w:tc>
        <w:tc>
          <w:tcPr>
            <w:tcW w:type="dxa" w:w="1348"/>
            <w:vMerge/>
            <w:tcBorders/>
          </w:tcPr>
          <w:p/>
        </w:tc>
        <w:tc>
          <w:tcPr>
            <w:tcW w:type="dxa" w:w="1348"/>
            <w:vMerge/>
            <w:tcBorders>
              <w:top w:sz="6.0" w:val="single" w:color="#E5E6E5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262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Net commitments were higher by $2.7 billion compared with the same period in FY24 (Table 5). The regions with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largest share of commitments in the first six months of FY25 were Europe and Central Asia with 41%, and Latin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America and the Caribbean with 24%.</w:t>
      </w:r>
    </w:p>
    <w:p>
      <w:pPr>
        <w:autoSpaceDN w:val="0"/>
        <w:autoSpaceDE w:val="0"/>
        <w:widowControl/>
        <w:spacing w:line="224" w:lineRule="exact" w:before="490" w:after="0"/>
        <w:ind w:left="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4     IBRD Management's Discussion and Analysis: December 31, 2024</w:t>
      </w:r>
    </w:p>
    <w:p>
      <w:pPr>
        <w:sectPr>
          <w:pgSz w:w="12240" w:h="15840"/>
          <w:pgMar w:top="316" w:right="1370" w:bottom="13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86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1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I: Executive Summary</w:t>
            </w:r>
          </w:p>
        </w:tc>
      </w:tr>
      <w:tr>
        <w:trPr>
          <w:trHeight w:hRule="exact" w:val="486"/>
        </w:trPr>
        <w:tc>
          <w:tcPr>
            <w:tcW w:type="dxa" w:w="3960"/>
            <w:tcBorders>
              <w:top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12" w:after="0"/>
              <w:ind w:left="4" w:right="0" w:firstLine="0"/>
              <w:jc w:val="left"/>
            </w:pPr>
            <w:r>
              <w:rPr>
                <w:rFonts w:ascii="TimesNewRoman" w:hAnsi="TimesNewRoman" w:eastAsia="TimesNewRoman"/>
                <w:b/>
                <w:i w:val="0"/>
                <w:color w:val="000000"/>
                <w:sz w:val="22"/>
              </w:rPr>
              <w:t>Net Investment Portfolio</w:t>
            </w:r>
          </w:p>
        </w:tc>
        <w:tc>
          <w:tcPr>
            <w:tcW w:type="dxa" w:w="5408"/>
            <w:tcBorders>
              <w:top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4" w:after="0"/>
              <w:ind w:left="126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billions of U.S. dollars</w:t>
            </w:r>
          </w:p>
        </w:tc>
      </w:tr>
    </w:tbl>
    <w:p>
      <w:pPr>
        <w:autoSpaceDN w:val="0"/>
        <w:autoSpaceDE w:val="0"/>
        <w:widowControl/>
        <w:spacing w:line="14" w:lineRule="exact" w:before="0" w:after="2"/>
        <w:ind w:left="0" w:right="0"/>
      </w:pPr>
    </w:p>
    <w:p>
      <w:pPr>
        <w:sectPr>
          <w:pgSz w:w="12240" w:h="15840"/>
          <w:pgMar w:top="316" w:right="1416" w:bottom="13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4" w:right="28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net investment portfolio increased by $9.1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billion, from $82.7 billion as of June 30, 2024 to </w:t>
      </w:r>
    </w:p>
    <w:p>
      <w:pPr>
        <w:sectPr>
          <w:type w:val="continuous"/>
          <w:pgSz w:w="12240" w:h="15840"/>
          <w:pgMar w:top="316" w:right="1416" w:bottom="136" w:left="1436" w:header="720" w:footer="720" w:gutter="0"/>
          <w:cols w:num="2" w:equalWidth="0">
            <w:col w:w="4800" w:space="0"/>
            <w:col w:w="4588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150"/>
        <w:ind w:left="42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Net Investment Portfolio</w:t>
      </w:r>
    </w:p>
    <w:p>
      <w:pPr>
        <w:sectPr>
          <w:type w:val="nextColumn"/>
          <w:pgSz w:w="12240" w:h="15840"/>
          <w:pgMar w:top="316" w:right="1416" w:bottom="136" w:left="1436" w:header="720" w:footer="720" w:gutter="0"/>
          <w:cols w:num="2" w:equalWidth="0">
            <w:col w:w="4800" w:space="0"/>
            <w:col w:w="458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722"/>
        <w:gridCol w:w="722"/>
        <w:gridCol w:w="722"/>
        <w:gridCol w:w="722"/>
        <w:gridCol w:w="722"/>
        <w:gridCol w:w="722"/>
        <w:gridCol w:w="722"/>
        <w:gridCol w:w="722"/>
        <w:gridCol w:w="722"/>
        <w:gridCol w:w="722"/>
        <w:gridCol w:w="722"/>
        <w:gridCol w:w="722"/>
        <w:gridCol w:w="722"/>
      </w:tblGrid>
      <w:tr>
        <w:trPr>
          <w:trHeight w:hRule="exact" w:val="316"/>
        </w:trPr>
        <w:tc>
          <w:tcPr>
            <w:tcW w:type="dxa" w:w="4800"/>
            <w:gridSpan w:val="7"/>
            <w:vMerge w:val="restart"/>
            <w:tcBorders>
              <w:bottom w:sz="6.000939846038818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20" w:right="410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$91.8 billion as of December 31, 2024. The increase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was primarily due to net new debt issuances that were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higher than net loan disbursements during the period,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and is consistent with the higher target liquidity level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in FY25, compared to FY24. 73% of the investments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are rated AA or above as of December 31, 2024 (77%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as of June 30, 2024) (Table 12), reflecting IBRD’s </w:t>
            </w:r>
          </w:p>
        </w:tc>
        <w:tc>
          <w:tcPr>
            <w:tcW w:type="dxa" w:w="42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4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120</w:t>
            </w:r>
          </w:p>
        </w:tc>
      </w:tr>
      <w:tr>
        <w:trPr>
          <w:trHeight w:hRule="exact" w:val="420"/>
        </w:trPr>
        <w:tc>
          <w:tcPr>
            <w:tcW w:type="dxa" w:w="5054"/>
            <w:gridSpan w:val="7"/>
            <w:vMerge/>
            <w:tcBorders>
              <w:bottom w:sz="6.000939846038818" w:val="single" w:color="#E5E6E5"/>
            </w:tcBorders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6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90</w:t>
            </w:r>
          </w:p>
        </w:tc>
        <w:tc>
          <w:tcPr>
            <w:tcW w:type="dxa" w:w="34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1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917700" cy="1397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906"/>
        </w:trPr>
        <w:tc>
          <w:tcPr>
            <w:tcW w:type="dxa" w:w="5054"/>
            <w:gridSpan w:val="7"/>
            <w:vMerge/>
            <w:tcBorders>
              <w:bottom w:sz="6.000939846038818" w:val="single" w:color="#E5E6E5"/>
            </w:tcBorders>
          </w:tcPr>
          <w:p/>
        </w:tc>
        <w:tc>
          <w:tcPr>
            <w:tcW w:type="dxa" w:w="428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432" w:right="35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 xml:space="preserve">60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 xml:space="preserve">30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</w:p>
        </w:tc>
      </w:tr>
      <w:tr>
        <w:trPr>
          <w:trHeight w:hRule="exact" w:val="114"/>
        </w:trPr>
        <w:tc>
          <w:tcPr>
            <w:tcW w:type="dxa" w:w="4800"/>
            <w:gridSpan w:val="7"/>
            <w:vMerge w:val="restart"/>
            <w:tcBorders>
              <w:top w:sz="6.000939846038818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20" w:right="288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objective of principal protection and its preference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for high-quality investments.</w:t>
            </w:r>
          </w:p>
          <w:p>
            <w:pPr>
              <w:autoSpaceDN w:val="0"/>
              <w:autoSpaceDE w:val="0"/>
              <w:widowControl/>
              <w:spacing w:line="244" w:lineRule="exact" w:before="850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/>
                <w:i w:val="0"/>
                <w:color w:val="000000"/>
                <w:sz w:val="22"/>
              </w:rPr>
              <w:t>Borrowing Portfolio</w:t>
            </w:r>
          </w:p>
        </w:tc>
        <w:tc>
          <w:tcPr>
            <w:tcW w:type="dxa" w:w="4332"/>
            <w:gridSpan w:val="6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5054"/>
            <w:gridSpan w:val="7"/>
            <w:vMerge/>
            <w:tcBorders>
              <w:top w:sz="6.000939846038818" w:val="single" w:color="#E5E6E5"/>
            </w:tcBorders>
          </w:tcPr>
          <w:p/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 21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 22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 23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 24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Dec 24</w:t>
            </w:r>
          </w:p>
        </w:tc>
      </w:tr>
      <w:tr>
        <w:trPr>
          <w:trHeight w:hRule="exact" w:val="840"/>
        </w:trPr>
        <w:tc>
          <w:tcPr>
            <w:tcW w:type="dxa" w:w="5054"/>
            <w:gridSpan w:val="7"/>
            <w:vMerge/>
            <w:tcBorders>
              <w:top w:sz="6.000939846038818" w:val="single" w:color="#E5E6E5"/>
            </w:tcBorders>
          </w:tcPr>
          <w:p/>
        </w:tc>
        <w:tc>
          <w:tcPr>
            <w:tcW w:type="dxa" w:w="428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402" w:after="0"/>
              <w:ind w:left="432" w:right="2016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In billions of U.S. dollars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Borrowing Portfolio</w:t>
            </w:r>
          </w:p>
          <w:p>
            <w:pPr>
              <w:autoSpaceDN w:val="0"/>
              <w:autoSpaceDE w:val="0"/>
              <w:widowControl/>
              <w:spacing w:line="178" w:lineRule="exact" w:before="198" w:after="0"/>
              <w:ind w:left="4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350</w:t>
            </w:r>
          </w:p>
        </w:tc>
      </w:tr>
      <w:tr>
        <w:trPr>
          <w:trHeight w:hRule="exact" w:val="300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Borrowings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reported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at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fair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value: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9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4332"/>
            <w:gridSpan w:val="6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480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20" w:right="410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December 31, 2024, the borrowings reported at fair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value and the related derivatives were $303.9 billion,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$16.8 billion higher than June 30, 2024. The increase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was mainly due to net new debt issuances that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financed the growing development and lending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operations, and satisfied liquidity requirements.</w:t>
            </w:r>
          </w:p>
          <w:p>
            <w:pPr>
              <w:autoSpaceDN w:val="0"/>
              <w:autoSpaceDE w:val="0"/>
              <w:widowControl/>
              <w:spacing w:line="240" w:lineRule="exact" w:before="120" w:after="0"/>
              <w:ind w:left="20" w:right="288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Borrowings reported at amortized cost: As of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December 31, 2024, the borrowings reported at </w:t>
            </w:r>
          </w:p>
        </w:tc>
        <w:tc>
          <w:tcPr>
            <w:tcW w:type="dxa" w:w="4332"/>
            <w:gridSpan w:val="6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5054"/>
            <w:gridSpan w:val="7"/>
            <w:vMerge/>
            <w:tcBorders/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4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280</w:t>
            </w:r>
          </w:p>
        </w:tc>
        <w:tc>
          <w:tcPr>
            <w:tcW w:type="dxa" w:w="34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1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917700" cy="1778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700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140"/>
        </w:trPr>
        <w:tc>
          <w:tcPr>
            <w:tcW w:type="dxa" w:w="5054"/>
            <w:gridSpan w:val="7"/>
            <w:vMerge/>
            <w:tcBorders/>
          </w:tcPr>
          <w:p/>
        </w:tc>
        <w:tc>
          <w:tcPr>
            <w:tcW w:type="dxa" w:w="42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432" w:right="35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 xml:space="preserve">210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 xml:space="preserve">140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 xml:space="preserve">70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</w:p>
        </w:tc>
      </w:tr>
      <w:tr>
        <w:trPr>
          <w:trHeight w:hRule="exact" w:val="238"/>
        </w:trPr>
        <w:tc>
          <w:tcPr>
            <w:tcW w:type="dxa" w:w="5054"/>
            <w:gridSpan w:val="7"/>
            <w:vMerge/>
            <w:tcBorders/>
          </w:tcPr>
          <w:p/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 21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 22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 23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 24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2" w:after="0"/>
              <w:ind w:left="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Dec 24</w:t>
            </w:r>
          </w:p>
        </w:tc>
      </w:tr>
    </w:tbl>
    <w:p>
      <w:pPr>
        <w:autoSpaceDN w:val="0"/>
        <w:autoSpaceDE w:val="0"/>
        <w:widowControl/>
        <w:spacing w:line="238" w:lineRule="exact" w:before="0" w:after="0"/>
        <w:ind w:left="4" w:right="5014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amortized cost were $187 million, all related to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IBRD's first issuances of hybrid capital (Section III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Section IV). </w:t>
      </w:r>
    </w:p>
    <w:p>
      <w:pPr>
        <w:autoSpaceDN w:val="0"/>
        <w:autoSpaceDE w:val="0"/>
        <w:widowControl/>
        <w:spacing w:line="244" w:lineRule="exact" w:before="682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Equity-to-Loans Ratio</w:t>
      </w:r>
    </w:p>
    <w:p>
      <w:pPr>
        <w:autoSpaceDN w:val="0"/>
        <w:tabs>
          <w:tab w:pos="5224" w:val="left"/>
        </w:tabs>
        <w:autoSpaceDE w:val="0"/>
        <w:widowControl/>
        <w:spacing w:line="234" w:lineRule="exact" w:before="124" w:after="18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Equity-to-Loans ratio decreased from 21.5% as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Ratio in percentages</w:t>
      </w:r>
    </w:p>
    <w:p>
      <w:pPr>
        <w:sectPr>
          <w:type w:val="continuous"/>
          <w:pgSz w:w="12240" w:h="15840"/>
          <w:pgMar w:top="316" w:right="1416" w:bottom="13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4" w:right="28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June 30, 2024 to 21.1% as of December 31, 2024,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primarily due to the increase in loan exposures </w:t>
      </w:r>
    </w:p>
    <w:p>
      <w:pPr>
        <w:sectPr>
          <w:type w:val="continuous"/>
          <w:pgSz w:w="12240" w:h="15840"/>
          <w:pgMar w:top="316" w:right="1416" w:bottom="136" w:left="1436" w:header="720" w:footer="720" w:gutter="0"/>
          <w:cols w:num="2" w:equalWidth="0">
            <w:col w:w="4800" w:space="0"/>
            <w:col w:w="4588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216"/>
        <w:ind w:left="42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Equity-to-Loans Ratio</w:t>
      </w:r>
    </w:p>
    <w:p>
      <w:pPr>
        <w:sectPr>
          <w:type w:val="nextColumn"/>
          <w:pgSz w:w="12240" w:h="15840"/>
          <w:pgMar w:top="316" w:right="1416" w:bottom="136" w:left="1436" w:header="720" w:footer="720" w:gutter="0"/>
          <w:cols w:num="2" w:equalWidth="0">
            <w:col w:w="4800" w:space="0"/>
            <w:col w:w="458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</w:tblGrid>
      <w:tr>
        <w:trPr>
          <w:trHeight w:hRule="exact" w:val="222"/>
        </w:trPr>
        <w:tc>
          <w:tcPr>
            <w:tcW w:type="dxa" w:w="48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(Section IV), and remained above the policy </w:t>
            </w:r>
          </w:p>
        </w:tc>
        <w:tc>
          <w:tcPr>
            <w:tcW w:type="dxa" w:w="9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30%</w:t>
            </w:r>
          </w:p>
        </w:tc>
        <w:tc>
          <w:tcPr>
            <w:tcW w:type="dxa" w:w="2970"/>
            <w:gridSpan w:val="5"/>
            <w:vMerge w:val="restart"/>
            <w:tcBorders>
              <w:bottom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9600" cy="2032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6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56"/>
        </w:trPr>
        <w:tc>
          <w:tcPr>
            <w:tcW w:type="dxa" w:w="48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minimum of 18%. In line with IBRD's currency </w:t>
            </w:r>
          </w:p>
        </w:tc>
        <w:tc>
          <w:tcPr>
            <w:tcW w:type="dxa" w:w="9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4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20%</w:t>
            </w:r>
          </w:p>
        </w:tc>
        <w:tc>
          <w:tcPr>
            <w:tcW w:type="dxa" w:w="3910"/>
            <w:gridSpan w:val="5"/>
            <w:vMerge/>
            <w:tcBorders>
              <w:bottom w:sz="6.0" w:val="single" w:color="#E5E6E5"/>
            </w:tcBorders>
          </w:tcPr>
          <w:p/>
        </w:tc>
      </w:tr>
      <w:tr>
        <w:trPr>
          <w:trHeight w:hRule="exact" w:val="244"/>
        </w:trPr>
        <w:tc>
          <w:tcPr>
            <w:tcW w:type="dxa" w:w="48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management approach, exchange rate movements </w:t>
            </w:r>
          </w:p>
        </w:tc>
        <w:tc>
          <w:tcPr>
            <w:tcW w:type="dxa" w:w="782"/>
            <w:vMerge/>
            <w:tcBorders/>
          </w:tcPr>
          <w:p/>
        </w:tc>
        <w:tc>
          <w:tcPr>
            <w:tcW w:type="dxa" w:w="3910"/>
            <w:gridSpan w:val="5"/>
            <w:vMerge/>
            <w:tcBorders>
              <w:bottom w:sz="6.0" w:val="single" w:color="#E5E6E5"/>
            </w:tcBorders>
          </w:tcPr>
          <w:p/>
        </w:tc>
      </w:tr>
      <w:tr>
        <w:trPr>
          <w:trHeight w:hRule="exact" w:val="236"/>
        </w:trPr>
        <w:tc>
          <w:tcPr>
            <w:tcW w:type="dxa" w:w="48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during the period did not have an impact on IBRD's </w:t>
            </w:r>
          </w:p>
        </w:tc>
        <w:tc>
          <w:tcPr>
            <w:tcW w:type="dxa" w:w="952"/>
            <w:vMerge w:val="restart"/>
            <w:tcBorders>
              <w:bottom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910"/>
            <w:gridSpan w:val="5"/>
            <w:vMerge/>
            <w:tcBorders>
              <w:bottom w:sz="6.0" w:val="single" w:color="#E5E6E5"/>
            </w:tcBorders>
          </w:tcPr>
          <w:p/>
        </w:tc>
      </w:tr>
      <w:tr>
        <w:trPr>
          <w:trHeight w:hRule="exact" w:val="274"/>
        </w:trPr>
        <w:tc>
          <w:tcPr>
            <w:tcW w:type="dxa" w:w="4820"/>
            <w:gridSpan w:val="6"/>
            <w:tcBorders>
              <w:bottom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Equity-to-Loans ratio.</w:t>
            </w:r>
          </w:p>
        </w:tc>
        <w:tc>
          <w:tcPr>
            <w:tcW w:type="dxa" w:w="782"/>
            <w:vMerge/>
            <w:tcBorders>
              <w:bottom w:sz="6.0" w:val="single" w:color="#E5E6E5"/>
            </w:tcBorders>
          </w:tcPr>
          <w:p/>
        </w:tc>
        <w:tc>
          <w:tcPr>
            <w:tcW w:type="dxa" w:w="3910"/>
            <w:gridSpan w:val="5"/>
            <w:vMerge/>
            <w:tcBorders>
              <w:bottom w:sz="6.0" w:val="single" w:color="#E5E6E5"/>
            </w:tcBorders>
          </w:tcPr>
          <w:p/>
        </w:tc>
      </w:tr>
      <w:tr>
        <w:trPr>
          <w:trHeight w:hRule="exact" w:val="310"/>
        </w:trPr>
        <w:tc>
          <w:tcPr>
            <w:tcW w:type="dxa" w:w="4820"/>
            <w:gridSpan w:val="6"/>
            <w:tcBorders>
              <w:top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0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During the first six months of FY25, IBRD received </w:t>
            </w:r>
          </w:p>
        </w:tc>
        <w:tc>
          <w:tcPr>
            <w:tcW w:type="dxa" w:w="952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10%</w:t>
            </w:r>
          </w:p>
        </w:tc>
        <w:tc>
          <w:tcPr>
            <w:tcW w:type="dxa" w:w="488"/>
            <w:vMerge w:val="restart"/>
            <w:tcBorders>
              <w:top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706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 xml:space="preserve">Jun </w:t>
            </w:r>
          </w:p>
        </w:tc>
        <w:tc>
          <w:tcPr>
            <w:tcW w:type="dxa" w:w="840"/>
            <w:vMerge w:val="restart"/>
            <w:tcBorders>
              <w:top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706" w:after="0"/>
              <w:ind w:left="2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 xml:space="preserve">Jun </w:t>
            </w:r>
          </w:p>
        </w:tc>
        <w:tc>
          <w:tcPr>
            <w:tcW w:type="dxa" w:w="560"/>
            <w:vMerge w:val="restart"/>
            <w:tcBorders>
              <w:top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706" w:after="0"/>
              <w:ind w:left="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 xml:space="preserve">Jun </w:t>
            </w:r>
          </w:p>
        </w:tc>
        <w:tc>
          <w:tcPr>
            <w:tcW w:type="dxa" w:w="580"/>
            <w:vMerge w:val="restart"/>
            <w:tcBorders>
              <w:top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70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 xml:space="preserve">Jun </w:t>
            </w:r>
          </w:p>
        </w:tc>
        <w:tc>
          <w:tcPr>
            <w:tcW w:type="dxa" w:w="502"/>
            <w:vMerge w:val="restart"/>
            <w:tcBorders>
              <w:top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706" w:after="0"/>
              <w:ind w:left="0" w:right="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 xml:space="preserve">Dec </w:t>
            </w:r>
          </w:p>
        </w:tc>
      </w:tr>
      <w:tr>
        <w:trPr>
          <w:trHeight w:hRule="exact" w:val="276"/>
        </w:trPr>
        <w:tc>
          <w:tcPr>
            <w:tcW w:type="dxa" w:w="4820"/>
            <w:gridSpan w:val="6"/>
            <w:tcBorders>
              <w:bottom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$310 million of paid-in capital subscribed under the </w:t>
            </w:r>
          </w:p>
        </w:tc>
        <w:tc>
          <w:tcPr>
            <w:tcW w:type="dxa" w:w="952"/>
            <w:tcBorders>
              <w:bottom w:sz="6.0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2"/>
            <w:vMerge/>
            <w:tcBorders>
              <w:top w:sz="6.0" w:val="single" w:color="#E5E6E5"/>
            </w:tcBorders>
          </w:tcPr>
          <w:p/>
        </w:tc>
        <w:tc>
          <w:tcPr>
            <w:tcW w:type="dxa" w:w="782"/>
            <w:vMerge/>
            <w:tcBorders>
              <w:top w:sz="6.0" w:val="single" w:color="#E5E6E5"/>
            </w:tcBorders>
          </w:tcPr>
          <w:p/>
        </w:tc>
        <w:tc>
          <w:tcPr>
            <w:tcW w:type="dxa" w:w="782"/>
            <w:vMerge/>
            <w:tcBorders>
              <w:top w:sz="6.0" w:val="single" w:color="#E5E6E5"/>
            </w:tcBorders>
          </w:tcPr>
          <w:p/>
        </w:tc>
        <w:tc>
          <w:tcPr>
            <w:tcW w:type="dxa" w:w="782"/>
            <w:vMerge/>
            <w:tcBorders>
              <w:top w:sz="6.0" w:val="single" w:color="#E5E6E5"/>
            </w:tcBorders>
          </w:tcPr>
          <w:p/>
        </w:tc>
        <w:tc>
          <w:tcPr>
            <w:tcW w:type="dxa" w:w="782"/>
            <w:vMerge/>
            <w:tcBorders>
              <w:top w:sz="6.0" w:val="single" w:color="#E5E6E5"/>
            </w:tcBorders>
          </w:tcPr>
          <w:p/>
        </w:tc>
      </w:tr>
      <w:tr>
        <w:trPr>
          <w:trHeight w:hRule="exact" w:val="204"/>
        </w:trPr>
        <w:tc>
          <w:tcPr>
            <w:tcW w:type="dxa" w:w="4820"/>
            <w:gridSpan w:val="6"/>
            <w:tcBorders>
              <w:top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2018 General and Selective Capital Increases (GCI </w:t>
            </w:r>
          </w:p>
        </w:tc>
        <w:tc>
          <w:tcPr>
            <w:tcW w:type="dxa" w:w="952"/>
            <w:vMerge w:val="restart"/>
            <w:tcBorders>
              <w:top w:sz="6.0" w:val="single" w:color="#E5E6E5"/>
              <w:bottom w:sz="18.0" w:val="single" w:color="#6D6D6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0%</w:t>
            </w:r>
          </w:p>
        </w:tc>
        <w:tc>
          <w:tcPr>
            <w:tcW w:type="dxa" w:w="782"/>
            <w:vMerge/>
            <w:tcBorders>
              <w:top w:sz="6.0" w:val="single" w:color="#E5E6E5"/>
            </w:tcBorders>
          </w:tcPr>
          <w:p/>
        </w:tc>
        <w:tc>
          <w:tcPr>
            <w:tcW w:type="dxa" w:w="782"/>
            <w:vMerge/>
            <w:tcBorders>
              <w:top w:sz="6.0" w:val="single" w:color="#E5E6E5"/>
            </w:tcBorders>
          </w:tcPr>
          <w:p/>
        </w:tc>
        <w:tc>
          <w:tcPr>
            <w:tcW w:type="dxa" w:w="782"/>
            <w:vMerge/>
            <w:tcBorders>
              <w:top w:sz="6.0" w:val="single" w:color="#E5E6E5"/>
            </w:tcBorders>
          </w:tcPr>
          <w:p/>
        </w:tc>
        <w:tc>
          <w:tcPr>
            <w:tcW w:type="dxa" w:w="782"/>
            <w:vMerge/>
            <w:tcBorders>
              <w:top w:sz="6.0" w:val="single" w:color="#E5E6E5"/>
            </w:tcBorders>
          </w:tcPr>
          <w:p/>
        </w:tc>
        <w:tc>
          <w:tcPr>
            <w:tcW w:type="dxa" w:w="782"/>
            <w:vMerge/>
            <w:tcBorders>
              <w:top w:sz="6.0" w:val="single" w:color="#E5E6E5"/>
            </w:tcBorders>
          </w:tcPr>
          <w:p/>
        </w:tc>
      </w:tr>
      <w:tr>
        <w:trPr>
          <w:trHeight w:hRule="exact" w:val="80"/>
        </w:trPr>
        <w:tc>
          <w:tcPr>
            <w:tcW w:type="dxa" w:w="48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and SCI), bringing the cumulative amounts received </w:t>
            </w:r>
          </w:p>
        </w:tc>
        <w:tc>
          <w:tcPr>
            <w:tcW w:type="dxa" w:w="782"/>
            <w:vMerge/>
            <w:tcBorders>
              <w:top w:sz="6.0" w:val="single" w:color="#E5E6E5"/>
              <w:bottom w:sz="18.0" w:val="single" w:color="#6D6D6D"/>
            </w:tcBorders>
          </w:tcPr>
          <w:p/>
        </w:tc>
        <w:tc>
          <w:tcPr>
            <w:tcW w:type="dxa" w:w="782"/>
            <w:vMerge/>
            <w:tcBorders>
              <w:top w:sz="6.0" w:val="single" w:color="#E5E6E5"/>
            </w:tcBorders>
          </w:tcPr>
          <w:p/>
        </w:tc>
        <w:tc>
          <w:tcPr>
            <w:tcW w:type="dxa" w:w="782"/>
            <w:vMerge/>
            <w:tcBorders>
              <w:top w:sz="6.0" w:val="single" w:color="#E5E6E5"/>
            </w:tcBorders>
          </w:tcPr>
          <w:p/>
        </w:tc>
        <w:tc>
          <w:tcPr>
            <w:tcW w:type="dxa" w:w="782"/>
            <w:vMerge/>
            <w:tcBorders>
              <w:top w:sz="6.0" w:val="single" w:color="#E5E6E5"/>
            </w:tcBorders>
          </w:tcPr>
          <w:p/>
        </w:tc>
        <w:tc>
          <w:tcPr>
            <w:tcW w:type="dxa" w:w="782"/>
            <w:vMerge/>
            <w:tcBorders>
              <w:top w:sz="6.0" w:val="single" w:color="#E5E6E5"/>
            </w:tcBorders>
          </w:tcPr>
          <w:p/>
        </w:tc>
        <w:tc>
          <w:tcPr>
            <w:tcW w:type="dxa" w:w="782"/>
            <w:vMerge/>
            <w:tcBorders>
              <w:top w:sz="6.0" w:val="single" w:color="#E5E6E5"/>
            </w:tcBorders>
          </w:tcPr>
          <w:p/>
        </w:tc>
      </w:tr>
      <w:tr>
        <w:trPr>
          <w:trHeight w:hRule="exact" w:val="160"/>
        </w:trPr>
        <w:tc>
          <w:tcPr>
            <w:tcW w:type="dxa" w:w="4692"/>
            <w:gridSpan w:val="6"/>
            <w:vMerge/>
            <w:tcBorders/>
          </w:tcPr>
          <w:p/>
        </w:tc>
        <w:tc>
          <w:tcPr>
            <w:tcW w:type="dxa" w:w="782"/>
            <w:vMerge/>
            <w:tcBorders>
              <w:top w:sz="6.0" w:val="single" w:color="#E5E6E5"/>
              <w:bottom w:sz="18.0" w:val="single" w:color="#6D6D6D"/>
            </w:tcBorders>
          </w:tcPr>
          <w:p/>
        </w:tc>
        <w:tc>
          <w:tcPr>
            <w:tcW w:type="dxa" w:w="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" w:after="0"/>
              <w:ind w:left="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21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" w:after="0"/>
              <w:ind w:left="0" w:right="4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22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" w:after="0"/>
              <w:ind w:left="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23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" w:after="0"/>
              <w:ind w:left="0" w:right="2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24</w:t>
            </w:r>
          </w:p>
        </w:tc>
        <w:tc>
          <w:tcPr>
            <w:tcW w:type="dxa" w:w="5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24</w:t>
            </w:r>
          </w:p>
        </w:tc>
      </w:tr>
      <w:tr>
        <w:trPr>
          <w:trHeight w:hRule="exact" w:val="268"/>
        </w:trPr>
        <w:tc>
          <w:tcPr>
            <w:tcW w:type="dxa" w:w="4820"/>
            <w:gridSpan w:val="6"/>
            <w:tcBorders>
              <w:bottom w:sz="18.0" w:val="single" w:color="#6D6D6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to $6.3 billion, representing 84% of the total amount </w:t>
            </w:r>
          </w:p>
        </w:tc>
        <w:tc>
          <w:tcPr>
            <w:tcW w:type="dxa" w:w="782"/>
            <w:vMerge/>
            <w:tcBorders>
              <w:top w:sz="6.0" w:val="single" w:color="#E5E6E5"/>
              <w:bottom w:sz="18.0" w:val="single" w:color="#6D6D6D"/>
            </w:tcBorders>
          </w:tcPr>
          <w:p/>
        </w:tc>
        <w:tc>
          <w:tcPr>
            <w:tcW w:type="dxa" w:w="132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Equity-to-Loans Ratio</w:t>
            </w:r>
          </w:p>
        </w:tc>
        <w:tc>
          <w:tcPr>
            <w:tcW w:type="dxa" w:w="164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4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Policy Minimum</w:t>
            </w:r>
          </w:p>
        </w:tc>
      </w:tr>
      <w:tr>
        <w:trPr>
          <w:trHeight w:hRule="exact" w:val="228"/>
        </w:trPr>
        <w:tc>
          <w:tcPr>
            <w:tcW w:type="dxa" w:w="860"/>
            <w:tcBorders>
              <w:top w:sz="18.0" w:val="single" w:color="#6D6D6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expected </w:t>
            </w:r>
          </w:p>
        </w:tc>
        <w:tc>
          <w:tcPr>
            <w:tcW w:type="dxa" w:w="580"/>
            <w:tcBorders>
              <w:top w:sz="18.0" w:val="single" w:color="#6D6D6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over </w:t>
            </w:r>
          </w:p>
        </w:tc>
        <w:tc>
          <w:tcPr>
            <w:tcW w:type="dxa" w:w="480"/>
            <w:tcBorders>
              <w:top w:sz="18.0" w:val="single" w:color="#6D6D6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20"/>
            <w:tcBorders>
              <w:top w:sz="18.0" w:val="single" w:color="#6D6D6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subscription </w:t>
            </w:r>
          </w:p>
        </w:tc>
        <w:tc>
          <w:tcPr>
            <w:tcW w:type="dxa" w:w="780"/>
            <w:tcBorders>
              <w:top w:sz="18.0" w:val="single" w:color="#6D6D6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period. </w:t>
            </w:r>
          </w:p>
        </w:tc>
        <w:tc>
          <w:tcPr>
            <w:tcW w:type="dxa" w:w="900"/>
            <w:tcBorders>
              <w:top w:sz="18.0" w:val="single" w:color="#6D6D6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0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52"/>
            <w:tcBorders>
              <w:top w:sz="18.0" w:val="single" w:color="#6D6D6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4"/>
            <w:gridSpan w:val="2"/>
            <w:vMerge/>
            <w:tcBorders/>
          </w:tcPr>
          <w:p/>
        </w:tc>
        <w:tc>
          <w:tcPr>
            <w:tcW w:type="dxa" w:w="2346"/>
            <w:gridSpan w:val="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6" w:lineRule="exact" w:before="0" w:after="0"/>
        <w:ind w:left="4" w:right="489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subscription period for the GCI and SCI ends on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October 1, 2025.</w:t>
      </w:r>
    </w:p>
    <w:p>
      <w:pPr>
        <w:autoSpaceDN w:val="0"/>
        <w:autoSpaceDE w:val="0"/>
        <w:widowControl/>
        <w:spacing w:line="224" w:lineRule="exact" w:before="2060" w:after="0"/>
        <w:ind w:left="0" w:right="24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December 31, 2024     5</w:t>
      </w:r>
    </w:p>
    <w:p>
      <w:pPr>
        <w:sectPr>
          <w:type w:val="continuous"/>
          <w:pgSz w:w="12240" w:h="15840"/>
          <w:pgMar w:top="316" w:right="1416" w:bottom="13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0"/>
        <w:gridCol w:w="4720"/>
      </w:tblGrid>
      <w:tr>
        <w:trPr>
          <w:trHeight w:hRule="exact" w:val="286"/>
        </w:trPr>
        <w:tc>
          <w:tcPr>
            <w:tcW w:type="dxa" w:w="3956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II: Overview</w:t>
            </w:r>
          </w:p>
        </w:tc>
      </w:tr>
    </w:tbl>
    <w:p>
      <w:pPr>
        <w:autoSpaceDN w:val="0"/>
        <w:autoSpaceDE w:val="0"/>
        <w:widowControl/>
        <w:spacing w:line="312" w:lineRule="exact" w:before="18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Section II: Overview</w:t>
      </w:r>
    </w:p>
    <w:p>
      <w:pPr>
        <w:autoSpaceDN w:val="0"/>
        <w:autoSpaceDE w:val="0"/>
        <w:widowControl/>
        <w:spacing w:line="240" w:lineRule="exact" w:before="192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IBRD, an international organization owned by its 189 member countries, is one of the five institutions of the WBG.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Each institution is legally and financially independent, with separate assets and liabilities. IBRD is not liable for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obligations of the other institutions.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is a Multilateral Development Bank (MDB) that combines knowledge services and financing with a global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reach. IBRD’s value is derived from its ability to help eligible borrowing members address their development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challenges and meet their rising demand for innovative products. IBRD provides loans, guarantees, and other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financial products for development-focused projects and programs to creditworthy middle-income and low-income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countries to support sustainable development. By operating across a full range of country clients, IBRD maintains 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depth of development knowledge, uses its convening power to promote development, and coordinates responses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regional and global challenges.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Member countries use IBRD’s technical advice and analysis and convening power to develop or implement better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policies, programs, and reforms that help sustain development over the long term. The products delivered range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from development data, to reports on key social economic and social issues at the local, country, regional and global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levels. The products also include knowledge-sharing workshops focused on local issues, flagship events and fora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address the most pressing global development challenges. </w:t>
      </w:r>
    </w:p>
    <w:p>
      <w:pPr>
        <w:autoSpaceDN w:val="0"/>
        <w:autoSpaceDE w:val="0"/>
        <w:widowControl/>
        <w:spacing w:line="268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Financial Business Model</w:t>
      </w:r>
    </w:p>
    <w:p>
      <w:pPr>
        <w:autoSpaceDN w:val="0"/>
        <w:autoSpaceDE w:val="0"/>
        <w:widowControl/>
        <w:spacing w:line="240" w:lineRule="exact" w:before="124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objective is not to maximize profits, but to earn adequate income to ensure that it has the long-term financial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capacity necessary to support its development activities. IBRD seeks to generate sufficient revenue to finance its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operations as well as to be able to set aside funds in reserves to strengthen its financial position. It also seeks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provide support to IDA and trust funds through income transfers for other developmental purposes.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financial strength rests on the support it receives from its shareholders, and on its array of financial policies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practices. Shareholder support for IBRD is reflected in the capital backing it continues to receive from its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members and in the record of its borrowing member countries in meeting their debt service obligations to IBRD.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Sound financial and risk management policies and practices have enabled IBRD to maintain adequate capital,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diversify its funding sources, hold a portfolio of liquid investments to meet its financial commitments, and limit its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risks, including credit and market risks. 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offers its borrowers, in middle income and creditworthy low-income countries, long-term loans with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maturities up to 35 years. For some projects, the maximum loan maturity can be extended to up to 50 years.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Borrowers may customize their repayment terms to meet their debt management or project needs in multiple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currencies. Borrowers have generally preferred loans denominated in U.S. dollars and euros. IBRD also supports its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borrowers by providing access to risk management products such as derivative instruments, including currency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interest rate swaps and interest rate caps and collars.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To meet its development goals, IBRD intermediates funds for lending mainly from the international capital markets.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loans are </w:t>
      </w:r>
      <w:r>
        <w:rPr>
          <w:rFonts w:ascii="TimesNewRoman" w:hAnsi="TimesNewRoman" w:eastAsia="TimesNewRoman"/>
          <w:b w:val="0"/>
          <w:i w:val="0"/>
          <w:color w:val="000000"/>
          <w:sz w:val="20"/>
          <w:u w:val="single"/>
        </w:rPr>
        <w:t>largely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 financed from borrowings raised in the capital markets and through its equity. IBRD 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rated triple-A by the major rating agencies and its bonds are viewed as high-quality securities by investors. IBRD’s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funding strategy is aimed at achieving the best long-term value on a sustainable basis for its borrowing members.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This strategy has enabled IBRD to borrow at favorable market terms and pass the savings on to its borrowing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members. IBRD’s annual funding volumes vary from year to year, and funds raised are used to finance development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projects and programs in member countries. Funds not deployed for lending are maintained in IBRD’s investment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portfolio to supply liquidity for its operations.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uses derivatives to manage its exposure to various market risks from the above activities. These are used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align the interest and currency composition of its assets (loan and investment portfolios) with that of its liabilities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(borrowing portfolio), and to stabilize earnings on the portion of the loan portfolio funded by equity. See Section IV: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Risk Management for additional details on how IBRD uses derivatives. </w:t>
      </w:r>
    </w:p>
    <w:p>
      <w:pPr>
        <w:autoSpaceDN w:val="0"/>
        <w:autoSpaceDE w:val="0"/>
        <w:widowControl/>
        <w:spacing w:line="224" w:lineRule="exact" w:before="217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6     IBRD Management's Discussion and Analysis: December 31, 2024</w:t>
      </w:r>
    </w:p>
    <w:p>
      <w:pPr>
        <w:sectPr>
          <w:pgSz w:w="12240" w:h="15840"/>
          <w:pgMar w:top="316" w:right="1370" w:bottom="1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0"/>
        <w:gridCol w:w="4720"/>
      </w:tblGrid>
      <w:tr>
        <w:trPr>
          <w:trHeight w:hRule="exact" w:val="286"/>
        </w:trPr>
        <w:tc>
          <w:tcPr>
            <w:tcW w:type="dxa" w:w="3956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II: Overview</w:t>
            </w:r>
          </w:p>
        </w:tc>
      </w:tr>
    </w:tbl>
    <w:p>
      <w:pPr>
        <w:autoSpaceDN w:val="0"/>
        <w:autoSpaceDE w:val="0"/>
        <w:widowControl/>
        <w:spacing w:line="240" w:lineRule="exact" w:before="106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 believes that these risk management strategies, taken together, effectively manage market risk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operations from an economic perspective. However, these strategies entail the use of derivatives, which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introduces volatility in net income through unrealized mark-to-market gains and losses (particularly given the long-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term nature of some of IBRD’s assets and liabilities). Accordingly, Management makes decisions on income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allocation without reference to unrealized mark-to-market gains and losses on risk management instruments in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non-trading portfolios – see Basis of Reporting – Allocable Income.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 xml:space="preserve">Financial Performance 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primary sources of revenue are from loans and investments, both net of funding costs (Figure 1). This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revenue is used for administrative expenses, provision for losses on loans and other exposures</w:t>
      </w:r>
      <w:r>
        <w:rPr>
          <w:rFonts w:ascii="TimesNewRoman" w:hAnsi="TimesNewRoman" w:eastAsia="TimesNewRoman"/>
          <w:b w:val="0"/>
          <w:i w:val="0"/>
          <w:color w:val="000000"/>
          <w:sz w:val="13"/>
        </w:rPr>
        <w:t>2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 (LLP), as well 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transfers to Reserves, Surplus, and for other development purposes, including transfers to IDA.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addition, other development activities generate non-interest revenue that is classified as Revenue from externally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funded activities. These external funds include trust fund fees, reimbursable funds, and revenues from fee-based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services to member countries. Non-interest revenue from externally funded activities provides additional capacity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support the development needs of client countries.</w:t>
      </w:r>
    </w:p>
    <w:p>
      <w:pPr>
        <w:autoSpaceDN w:val="0"/>
        <w:autoSpaceDE w:val="0"/>
        <w:widowControl/>
        <w:spacing w:line="202" w:lineRule="exact" w:before="14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Figure 1: Sources and Uses of Revenue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090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8" w:lineRule="exact" w:before="53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Basis of Reporting</w:t>
      </w:r>
    </w:p>
    <w:p>
      <w:pPr>
        <w:autoSpaceDN w:val="0"/>
        <w:autoSpaceDE w:val="0"/>
        <w:widowControl/>
        <w:spacing w:line="240" w:lineRule="exact" w:before="12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financial statements conform with accounting principles generally accepted in the United States of America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(U.S. GAAP). Generally, all financial instruments in the investment and borrowing portfolios and all derivatives are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reported at fair value, with changes in fair value reported in the Statements of Income, except for changes in IBRD’s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own credit, which are reflected in Other Comprehensive Income. IBRD’s loans are reported at amortized cost.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Management uses net income as the basis for deriving allocable income, as discussed below.</w:t>
      </w:r>
    </w:p>
    <w:p>
      <w:pPr>
        <w:autoSpaceDN w:val="0"/>
        <w:tabs>
          <w:tab w:pos="100" w:val="left"/>
        </w:tabs>
        <w:autoSpaceDE w:val="0"/>
        <w:widowControl/>
        <w:spacing w:line="192" w:lineRule="exact" w:before="1518" w:after="0"/>
        <w:ind w:left="10" w:right="0" w:firstLine="0"/>
        <w:jc w:val="left"/>
      </w:pPr>
      <w:r>
        <w:rPr>
          <w:w w:val="103.99999618530273"/>
          <w:rFonts w:ascii="Arial" w:hAnsi="Arial" w:eastAsia="Arial"/>
          <w:b w:val="0"/>
          <w:i/>
          <w:color w:val="000000"/>
          <w:sz w:val="10"/>
        </w:rPr>
        <w:t>2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 Other exposures include deferred drawdown options (DDO), irrevocable commitments, exposures to member countries’ derivatives </w:t>
      </w:r>
      <w:r>
        <w:rPr>
          <w:rFonts w:ascii="Arial" w:hAnsi="Arial" w:eastAsia="Arial"/>
          <w:b w:val="0"/>
          <w:i/>
          <w:color w:val="000000"/>
          <w:sz w:val="16"/>
        </w:rPr>
        <w:t>and guarantees.</w:t>
      </w:r>
    </w:p>
    <w:p>
      <w:pPr>
        <w:autoSpaceDN w:val="0"/>
        <w:autoSpaceDE w:val="0"/>
        <w:widowControl/>
        <w:spacing w:line="224" w:lineRule="exact" w:before="628" w:after="0"/>
        <w:ind w:left="0" w:right="7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December 31, 2024     7</w:t>
      </w:r>
    </w:p>
    <w:p>
      <w:pPr>
        <w:sectPr>
          <w:pgSz w:w="12240" w:h="15840"/>
          <w:pgMar w:top="316" w:right="1370" w:bottom="1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5"/>
        <w:gridCol w:w="4715"/>
      </w:tblGrid>
      <w:tr>
        <w:trPr>
          <w:trHeight w:hRule="exact" w:val="286"/>
        </w:trPr>
        <w:tc>
          <w:tcPr>
            <w:tcW w:type="dxa" w:w="3956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II: Overview</w:t>
            </w:r>
          </w:p>
        </w:tc>
      </w:tr>
    </w:tbl>
    <w:p>
      <w:pPr>
        <w:autoSpaceDN w:val="0"/>
        <w:autoSpaceDE w:val="0"/>
        <w:widowControl/>
        <w:spacing w:line="268" w:lineRule="exact" w:before="40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Allocable Income </w:t>
      </w:r>
    </w:p>
    <w:p>
      <w:pPr>
        <w:autoSpaceDN w:val="0"/>
        <w:autoSpaceDE w:val="0"/>
        <w:widowControl/>
        <w:spacing w:line="240" w:lineRule="exact" w:before="88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Articles of Agreement (the Articles) require that the Governors determine the allocation of income at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end of every fiscal year. Allocable income, which is a non-GAAP financial measure, is an internal management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measure that reflects income available for allocation. IBRD defines allocable income as net income after certain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adjustments, that are approved by the Board at the end of every fiscal year. These adjustments primarily relate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unrealized mark-to-market gains and losses associated with the non-trading portfolios, as well as Board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Governors-approved and other transfers, which primarily relate to the allocation of the prior year’s net income. 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See Section III: Financial Results Section and Table 2, for details of the adjustments to reported net income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calculate allocable income.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volatility in IBRD’s net income is often driven by the unrealized mark-to-market gains and losses on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financial instruments in IBRD’s non-trading portfolios. IBRD’s risk management strategy entails the use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derivatives to manage market risk. These derivatives are primarily used to align the interest rate and currency bases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IBRD's assets and liabilities. IBRD has elected not to designate any hedging relationships for accounting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purposes. Rather, all derivative instruments are reported at fair value on the Balance Sheets, with changes in fair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values reflected in the Statements of Income.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line with its financial risk management policies, for the non-trading portfolios, unrealized mark-to-market gains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losses from instruments reported at fair value (borrowing portfolio, and derivatives in the loans and other Asset/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Liability Management (ALM) portfolios) are excluded from allocable income.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For the trading portfolio (investment portfolio), allocable income includes both realized and unrealized mark-to-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market gains and losses. In some cases, the unrealized mark-to-market gains and losses on certain trades are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excluded from allocable income when the underlying item is an asset held at amortized cost.</w:t>
      </w:r>
    </w:p>
    <w:p>
      <w:pPr>
        <w:autoSpaceDN w:val="0"/>
        <w:autoSpaceDE w:val="0"/>
        <w:widowControl/>
        <w:spacing w:line="224" w:lineRule="exact" w:before="839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8     IBRD Management's Discussion and Analysis: December 31, 2024</w:t>
      </w:r>
    </w:p>
    <w:p>
      <w:pPr>
        <w:sectPr>
          <w:pgSz w:w="12240" w:h="15840"/>
          <w:pgMar w:top="316" w:right="1370" w:bottom="1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55"/>
        <w:gridCol w:w="4755"/>
      </w:tblGrid>
      <w:tr>
        <w:trPr>
          <w:trHeight w:hRule="exact" w:val="286"/>
        </w:trPr>
        <w:tc>
          <w:tcPr>
            <w:tcW w:type="dxa" w:w="3956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III: Financial Results</w:t>
            </w:r>
          </w:p>
        </w:tc>
      </w:tr>
    </w:tbl>
    <w:p>
      <w:pPr>
        <w:autoSpaceDN w:val="0"/>
        <w:autoSpaceDE w:val="0"/>
        <w:widowControl/>
        <w:spacing w:line="312" w:lineRule="exact" w:before="30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Section III: Financial Results</w:t>
      </w:r>
    </w:p>
    <w:p>
      <w:pPr>
        <w:autoSpaceDN w:val="0"/>
        <w:autoSpaceDE w:val="0"/>
        <w:widowControl/>
        <w:spacing w:line="268" w:lineRule="exact" w:before="32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Financial Results and Portfolio Performance</w:t>
      </w:r>
    </w:p>
    <w:p>
      <w:pPr>
        <w:autoSpaceDN w:val="0"/>
        <w:autoSpaceDE w:val="0"/>
        <w:widowControl/>
        <w:spacing w:line="240" w:lineRule="exact" w:before="124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is a discussion of the key drivers of IBRD’s financial performance, including a reconciliation between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IBRD’s net income and allocable income.</w:t>
      </w:r>
    </w:p>
    <w:p>
      <w:pPr>
        <w:autoSpaceDN w:val="0"/>
        <w:tabs>
          <w:tab w:pos="7450" w:val="left"/>
        </w:tabs>
        <w:autoSpaceDE w:val="0"/>
        <w:widowControl/>
        <w:spacing w:line="234" w:lineRule="exact" w:before="166" w:after="30"/>
        <w:ind w:left="62" w:right="72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Table 2: Condensed Statements of Income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 xml:space="preserve">In millions of U.S. dollars </w:t>
      </w:r>
      <w:r>
        <w:br/>
      </w:r>
      <w:r>
        <w:tab/>
      </w:r>
      <w:r>
        <w:rPr>
          <w:rFonts w:ascii="Arial" w:hAnsi="Arial" w:eastAsia="Arial"/>
          <w:b w:val="0"/>
          <w:i/>
          <w:color w:val="929292"/>
          <w:sz w:val="16"/>
        </w:rPr>
        <w:t>Impact on income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902"/>
        <w:gridCol w:w="1902"/>
        <w:gridCol w:w="1902"/>
        <w:gridCol w:w="1902"/>
        <w:gridCol w:w="1902"/>
      </w:tblGrid>
      <w:tr>
        <w:trPr>
          <w:trHeight w:hRule="exact" w:val="240"/>
        </w:trPr>
        <w:tc>
          <w:tcPr>
            <w:tcW w:type="dxa" w:w="4204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For the six months ended December 31,</w:t>
            </w:r>
          </w:p>
        </w:tc>
        <w:tc>
          <w:tcPr>
            <w:tcW w:type="dxa" w:w="190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24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2024</w:t>
            </w:r>
          </w:p>
        </w:tc>
        <w:tc>
          <w:tcPr>
            <w:tcW w:type="dxa" w:w="86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2023</w:t>
            </w:r>
          </w:p>
        </w:tc>
        <w:tc>
          <w:tcPr>
            <w:tcW w:type="dxa" w:w="112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6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Decrease</w:t>
            </w:r>
          </w:p>
        </w:tc>
        <w:tc>
          <w:tcPr>
            <w:tcW w:type="dxa" w:w="1284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7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Increase</w:t>
            </w:r>
          </w:p>
        </w:tc>
      </w:tr>
    </w:tbl>
    <w:p>
      <w:pPr>
        <w:autoSpaceDN w:val="0"/>
        <w:autoSpaceDE w:val="0"/>
        <w:widowControl/>
        <w:spacing w:line="180" w:lineRule="exact" w:before="136" w:after="5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Revenue on interest earning assets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trHeight w:hRule="exact" w:val="198"/>
        </w:trPr>
        <w:tc>
          <w:tcPr>
            <w:tcW w:type="dxa" w:w="5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 interest revenue, net of funding costs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5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$ 2,482 $ 2,358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124</w:t>
            </w:r>
          </w:p>
        </w:tc>
      </w:tr>
      <w:tr>
        <w:trPr>
          <w:trHeight w:hRule="exact" w:val="240"/>
        </w:trPr>
        <w:tc>
          <w:tcPr>
            <w:tcW w:type="dxa" w:w="5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ALM derivatives, net</w:t>
            </w:r>
          </w:p>
        </w:tc>
        <w:tc>
          <w:tcPr>
            <w:tcW w:type="dxa" w:w="10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(761) </w:t>
            </w:r>
          </w:p>
        </w:tc>
        <w:tc>
          <w:tcPr>
            <w:tcW w:type="dxa" w:w="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(868)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107</w:t>
            </w:r>
          </w:p>
        </w:tc>
      </w:tr>
      <w:tr>
        <w:trPr>
          <w:trHeight w:hRule="exact" w:val="260"/>
        </w:trPr>
        <w:tc>
          <w:tcPr>
            <w:tcW w:type="dxa" w:w="52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Investment revenue, net of funding costs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a,b</w:t>
            </w:r>
          </w:p>
        </w:tc>
        <w:tc>
          <w:tcPr>
            <w:tcW w:type="dxa" w:w="101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 </w:t>
            </w:r>
          </w:p>
        </w:tc>
        <w:tc>
          <w:tcPr>
            <w:tcW w:type="dxa" w:w="4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56 </w:t>
            </w:r>
          </w:p>
        </w:tc>
        <w:tc>
          <w:tcPr>
            <w:tcW w:type="dxa" w:w="9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(38)</w:t>
            </w:r>
          </w:p>
        </w:tc>
        <w:tc>
          <w:tcPr>
            <w:tcW w:type="dxa" w:w="7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2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Total revenue on interest earning assets, net </w:t>
            </w:r>
          </w:p>
        </w:tc>
        <w:tc>
          <w:tcPr>
            <w:tcW w:type="dxa" w:w="1506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$ 1,739 $ 1,546 </w:t>
            </w:r>
          </w:p>
        </w:tc>
        <w:tc>
          <w:tcPr>
            <w:tcW w:type="dxa" w:w="9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193</w:t>
            </w:r>
          </w:p>
        </w:tc>
      </w:tr>
      <w:tr>
        <w:trPr>
          <w:trHeight w:hRule="exact" w:val="218"/>
        </w:trPr>
        <w:tc>
          <w:tcPr>
            <w:tcW w:type="dxa" w:w="52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Provision for losses on loans and other exposures, (charge) release</w:t>
            </w:r>
          </w:p>
        </w:tc>
        <w:tc>
          <w:tcPr>
            <w:tcW w:type="dxa" w:w="101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(193) </w:t>
            </w:r>
          </w:p>
        </w:tc>
        <w:tc>
          <w:tcPr>
            <w:tcW w:type="dxa" w:w="4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</w:t>
            </w:r>
          </w:p>
        </w:tc>
        <w:tc>
          <w:tcPr>
            <w:tcW w:type="dxa" w:w="9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(224)</w:t>
            </w:r>
          </w:p>
        </w:tc>
        <w:tc>
          <w:tcPr>
            <w:tcW w:type="dxa" w:w="7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8"/>
        </w:trPr>
        <w:tc>
          <w:tcPr>
            <w:tcW w:type="dxa" w:w="5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non-interest expenses (Table 7)</w:t>
            </w:r>
          </w:p>
        </w:tc>
        <w:tc>
          <w:tcPr>
            <w:tcW w:type="dxa" w:w="10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(751) </w:t>
            </w:r>
          </w:p>
        </w:tc>
        <w:tc>
          <w:tcPr>
            <w:tcW w:type="dxa" w:w="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(695)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(56)</w:t>
            </w:r>
          </w:p>
        </w:tc>
        <w:tc>
          <w:tcPr>
            <w:tcW w:type="dxa" w:w="7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52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pension cost, other than service cost (Table 7)</w:t>
            </w:r>
          </w:p>
        </w:tc>
        <w:tc>
          <w:tcPr>
            <w:tcW w:type="dxa" w:w="101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86 </w:t>
            </w:r>
          </w:p>
        </w:tc>
        <w:tc>
          <w:tcPr>
            <w:tcW w:type="dxa" w:w="4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94 </w:t>
            </w:r>
          </w:p>
        </w:tc>
        <w:tc>
          <w:tcPr>
            <w:tcW w:type="dxa" w:w="1359"/>
            <w:vMerge/>
            <w:tcBorders/>
          </w:tcPr>
          <w:p/>
        </w:tc>
        <w:tc>
          <w:tcPr>
            <w:tcW w:type="dxa" w:w="1359"/>
            <w:vMerge/>
            <w:tcBorders/>
          </w:tcPr>
          <w:p/>
        </w:tc>
        <w:tc>
          <w:tcPr>
            <w:tcW w:type="dxa" w:w="1359"/>
            <w:vMerge/>
            <w:tcBorders/>
          </w:tcPr>
          <w:p/>
        </w:tc>
      </w:tr>
      <w:tr>
        <w:trPr>
          <w:trHeight w:hRule="exact" w:val="184"/>
        </w:trPr>
        <w:tc>
          <w:tcPr>
            <w:tcW w:type="dxa" w:w="1359"/>
            <w:vMerge/>
            <w:tcBorders/>
          </w:tcPr>
          <w:p/>
        </w:tc>
        <w:tc>
          <w:tcPr>
            <w:tcW w:type="dxa" w:w="2718"/>
            <w:gridSpan w:val="2"/>
            <w:vMerge/>
            <w:tcBorders/>
          </w:tcPr>
          <w:p/>
        </w:tc>
        <w:tc>
          <w:tcPr>
            <w:tcW w:type="dxa" w:w="1359"/>
            <w:vMerge/>
            <w:tcBorders/>
          </w:tcPr>
          <w:p/>
        </w:tc>
        <w:tc>
          <w:tcPr>
            <w:tcW w:type="dxa" w:w="1359"/>
            <w:vMerge/>
            <w:tcBorders/>
          </w:tcPr>
          <w:p/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(8)</w:t>
            </w:r>
          </w:p>
        </w:tc>
        <w:tc>
          <w:tcPr>
            <w:tcW w:type="dxa" w:w="1359"/>
            <w:vMerge/>
            <w:tcBorders/>
          </w:tcPr>
          <w:p/>
        </w:tc>
      </w:tr>
      <w:tr>
        <w:trPr>
          <w:trHeight w:hRule="exact" w:val="56"/>
        </w:trPr>
        <w:tc>
          <w:tcPr>
            <w:tcW w:type="dxa" w:w="52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other revenue (Table 6)</w:t>
            </w:r>
          </w:p>
        </w:tc>
        <w:tc>
          <w:tcPr>
            <w:tcW w:type="dxa" w:w="101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 </w:t>
            </w:r>
          </w:p>
        </w:tc>
        <w:tc>
          <w:tcPr>
            <w:tcW w:type="dxa" w:w="4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114 </w:t>
            </w:r>
          </w:p>
        </w:tc>
        <w:tc>
          <w:tcPr>
            <w:tcW w:type="dxa" w:w="1359"/>
            <w:vMerge/>
            <w:tcBorders/>
          </w:tcPr>
          <w:p/>
        </w:tc>
        <w:tc>
          <w:tcPr>
            <w:tcW w:type="dxa" w:w="1359"/>
            <w:vMerge/>
            <w:tcBorders/>
          </w:tcPr>
          <w:p/>
        </w:tc>
        <w:tc>
          <w:tcPr>
            <w:tcW w:type="dxa" w:w="1359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1359"/>
            <w:vMerge/>
            <w:tcBorders/>
          </w:tcPr>
          <w:p/>
        </w:tc>
        <w:tc>
          <w:tcPr>
            <w:tcW w:type="dxa" w:w="2718"/>
            <w:gridSpan w:val="2"/>
            <w:vMerge/>
            <w:tcBorders/>
          </w:tcPr>
          <w:p/>
        </w:tc>
        <w:tc>
          <w:tcPr>
            <w:tcW w:type="dxa" w:w="1359"/>
            <w:vMerge/>
            <w:tcBorders/>
          </w:tcPr>
          <w:p/>
        </w:tc>
        <w:tc>
          <w:tcPr>
            <w:tcW w:type="dxa" w:w="1359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(51)</w:t>
            </w:r>
          </w:p>
        </w:tc>
        <w:tc>
          <w:tcPr>
            <w:tcW w:type="dxa" w:w="1359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5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Board of Governors-approved and other transfers</w:t>
            </w:r>
          </w:p>
        </w:tc>
        <w:tc>
          <w:tcPr>
            <w:tcW w:type="dxa" w:w="10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(815) </w:t>
            </w:r>
          </w:p>
        </w:tc>
        <w:tc>
          <w:tcPr>
            <w:tcW w:type="dxa" w:w="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(371)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(444)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5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Non-functional currency translation adjustment (losses), net</w:t>
            </w:r>
          </w:p>
        </w:tc>
        <w:tc>
          <w:tcPr>
            <w:tcW w:type="dxa" w:w="10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(37) </w:t>
            </w:r>
          </w:p>
        </w:tc>
        <w:tc>
          <w:tcPr>
            <w:tcW w:type="dxa" w:w="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(8)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(29)</w:t>
            </w:r>
          </w:p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8"/>
        </w:trPr>
        <w:tc>
          <w:tcPr>
            <w:tcW w:type="dxa" w:w="52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Unrealized mark-to-market (losses) on non-trading portfolios, net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101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(133) </w:t>
            </w:r>
          </w:p>
        </w:tc>
        <w:tc>
          <w:tcPr>
            <w:tcW w:type="dxa" w:w="4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(354) </w:t>
            </w:r>
          </w:p>
        </w:tc>
        <w:tc>
          <w:tcPr>
            <w:tcW w:type="dxa" w:w="9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221</w:t>
            </w:r>
          </w:p>
        </w:tc>
      </w:tr>
      <w:tr>
        <w:trPr>
          <w:trHeight w:hRule="exact" w:val="242"/>
        </w:trPr>
        <w:tc>
          <w:tcPr>
            <w:tcW w:type="dxa" w:w="52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(loss) income</w:t>
            </w:r>
          </w:p>
        </w:tc>
        <w:tc>
          <w:tcPr>
            <w:tcW w:type="dxa" w:w="3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14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(41) $ </w:t>
            </w:r>
          </w:p>
        </w:tc>
        <w:tc>
          <w:tcPr>
            <w:tcW w:type="dxa" w:w="4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357 </w:t>
            </w:r>
          </w:p>
        </w:tc>
        <w:tc>
          <w:tcPr>
            <w:tcW w:type="dxa" w:w="9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(398)</w:t>
            </w:r>
          </w:p>
        </w:tc>
        <w:tc>
          <w:tcPr>
            <w:tcW w:type="dxa" w:w="7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0" w:lineRule="exact" w:before="26" w:after="5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Adjustments to reconcile net income to allocable income: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189"/>
        <w:gridCol w:w="1189"/>
        <w:gridCol w:w="1189"/>
        <w:gridCol w:w="1189"/>
        <w:gridCol w:w="1189"/>
        <w:gridCol w:w="1189"/>
        <w:gridCol w:w="1189"/>
        <w:gridCol w:w="1189"/>
      </w:tblGrid>
      <w:tr>
        <w:trPr>
          <w:trHeight w:hRule="exact" w:val="194"/>
        </w:trPr>
        <w:tc>
          <w:tcPr>
            <w:tcW w:type="dxa" w:w="5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Pension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d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and other adjustments</w:t>
            </w:r>
          </w:p>
        </w:tc>
        <w:tc>
          <w:tcPr>
            <w:tcW w:type="dxa" w:w="31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(59) </w:t>
            </w:r>
          </w:p>
        </w:tc>
        <w:tc>
          <w:tcPr>
            <w:tcW w:type="dxa" w:w="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(125) </w:t>
            </w:r>
          </w:p>
        </w:tc>
        <w:tc>
          <w:tcPr>
            <w:tcW w:type="dxa" w:w="91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66</w:t>
            </w:r>
          </w:p>
        </w:tc>
        <w:tc>
          <w:tcPr>
            <w:tcW w:type="dxa" w:w="328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1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Board of Governors-approved and other transfers </w:t>
            </w:r>
          </w:p>
        </w:tc>
        <w:tc>
          <w:tcPr>
            <w:tcW w:type="dxa" w:w="31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1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815 </w:t>
            </w:r>
          </w:p>
        </w:tc>
        <w:tc>
          <w:tcPr>
            <w:tcW w:type="dxa" w:w="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371 </w:t>
            </w:r>
          </w:p>
        </w:tc>
        <w:tc>
          <w:tcPr>
            <w:tcW w:type="dxa" w:w="91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8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444</w:t>
            </w:r>
          </w:p>
        </w:tc>
      </w:tr>
      <w:tr>
        <w:trPr>
          <w:trHeight w:hRule="exact" w:val="284"/>
        </w:trPr>
        <w:tc>
          <w:tcPr>
            <w:tcW w:type="dxa" w:w="5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1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Non-functional currency translation adjustment losses, net</w:t>
            </w:r>
          </w:p>
        </w:tc>
        <w:tc>
          <w:tcPr>
            <w:tcW w:type="dxa" w:w="31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 </w:t>
            </w:r>
          </w:p>
        </w:tc>
        <w:tc>
          <w:tcPr>
            <w:tcW w:type="dxa" w:w="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 </w:t>
            </w:r>
          </w:p>
        </w:tc>
        <w:tc>
          <w:tcPr>
            <w:tcW w:type="dxa" w:w="91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29</w:t>
            </w:r>
          </w:p>
        </w:tc>
        <w:tc>
          <w:tcPr>
            <w:tcW w:type="dxa" w:w="328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2"/>
        </w:trPr>
        <w:tc>
          <w:tcPr>
            <w:tcW w:type="dxa" w:w="528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Unrealized mark-to-market losses on non-trading portfolios, net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3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1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133 </w:t>
            </w:r>
          </w:p>
        </w:tc>
        <w:tc>
          <w:tcPr>
            <w:tcW w:type="dxa" w:w="4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354 </w:t>
            </w:r>
          </w:p>
        </w:tc>
        <w:tc>
          <w:tcPr>
            <w:tcW w:type="dxa" w:w="9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(221)</w:t>
            </w:r>
          </w:p>
        </w:tc>
        <w:tc>
          <w:tcPr>
            <w:tcW w:type="dxa" w:w="6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2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0"/>
        </w:trPr>
        <w:tc>
          <w:tcPr>
            <w:tcW w:type="dxa" w:w="528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Allocable income</w:t>
            </w:r>
          </w:p>
        </w:tc>
        <w:tc>
          <w:tcPr>
            <w:tcW w:type="dxa" w:w="3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885 $ </w:t>
            </w:r>
          </w:p>
        </w:tc>
        <w:tc>
          <w:tcPr>
            <w:tcW w:type="dxa" w:w="4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965 </w:t>
            </w:r>
          </w:p>
        </w:tc>
        <w:tc>
          <w:tcPr>
            <w:tcW w:type="dxa" w:w="9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(80)</w:t>
            </w:r>
          </w:p>
        </w:tc>
        <w:tc>
          <w:tcPr>
            <w:tcW w:type="dxa" w:w="78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0"/>
        </w:trPr>
        <w:tc>
          <w:tcPr>
            <w:tcW w:type="dxa" w:w="5288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6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2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8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78" w:lineRule="exact" w:before="10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Includes related derivatives. </w:t>
      </w:r>
    </w:p>
    <w:p>
      <w:pPr>
        <w:autoSpaceDN w:val="0"/>
        <w:tabs>
          <w:tab w:pos="242" w:val="left"/>
        </w:tabs>
        <w:autoSpaceDE w:val="0"/>
        <w:widowControl/>
        <w:spacing w:line="206" w:lineRule="exact" w:before="0" w:after="0"/>
        <w:ind w:left="62" w:right="144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b. Includes unrealized mark-to-market losses on the Investments-trading portfolio, except forward contracts related to assets held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at amortized cost, and Post Employment Benefit Plan (PEBP) and Post-Retirement Contribution Reserve Fund (PCRF) assets. </w:t>
      </w:r>
      <w:r>
        <w:rPr>
          <w:rFonts w:ascii="Arial" w:hAnsi="Arial" w:eastAsia="Arial"/>
          <w:b w:val="0"/>
          <w:i/>
          <w:color w:val="000000"/>
          <w:sz w:val="16"/>
        </w:rPr>
        <w:t>c. Adjusted to exclude amounts reclassified to realized gains (losses).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52" w:after="0"/>
        <w:ind w:left="62" w:right="144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d. Adjustment to pension accounting expense to arrive at pension plan contributions. Pension plan and PCRF contributions were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$138 million in FY25 YTD and $137 million in FY24 YTD.</w:t>
      </w:r>
    </w:p>
    <w:p>
      <w:pPr>
        <w:autoSpaceDN w:val="0"/>
        <w:autoSpaceDE w:val="0"/>
        <w:widowControl/>
        <w:spacing w:line="240" w:lineRule="exact" w:before="234" w:after="32"/>
        <w:ind w:left="62" w:right="6336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Table 3: Condensed Balance Sheets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trHeight w:hRule="exact" w:val="240"/>
        </w:trPr>
        <w:tc>
          <w:tcPr>
            <w:tcW w:type="dxa" w:w="3188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As of</w:t>
            </w:r>
          </w:p>
        </w:tc>
        <w:tc>
          <w:tcPr>
            <w:tcW w:type="dxa" w:w="1556"/>
            <w:gridSpan w:val="2"/>
            <w:tcBorders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December 31, 2024</w:t>
            </w:r>
          </w:p>
        </w:tc>
        <w:tc>
          <w:tcPr>
            <w:tcW w:type="dxa" w:w="1210"/>
            <w:gridSpan w:val="2"/>
            <w:tcBorders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June 30, 2024</w:t>
            </w:r>
          </w:p>
        </w:tc>
        <w:tc>
          <w:tcPr>
            <w:tcW w:type="dxa" w:w="2536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40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Decrease</w:t>
            </w: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Increase</w:t>
            </w:r>
          </w:p>
        </w:tc>
        <w:tc>
          <w:tcPr>
            <w:tcW w:type="dxa" w:w="878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1"/>
        </w:trPr>
        <w:tc>
          <w:tcPr>
            <w:tcW w:type="dxa" w:w="3188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8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 and due from banks</w:t>
            </w:r>
          </w:p>
        </w:tc>
        <w:tc>
          <w:tcPr>
            <w:tcW w:type="dxa" w:w="576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8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80"/>
            <w:gridSpan w:val="2"/>
            <w:tcBorders>
              <w:top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8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89,561 $ </w:t>
            </w:r>
          </w:p>
        </w:tc>
        <w:tc>
          <w:tcPr>
            <w:tcW w:type="dxa" w:w="81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83,297 </w:t>
            </w:r>
          </w:p>
        </w:tc>
        <w:tc>
          <w:tcPr>
            <w:tcW w:type="dxa" w:w="2536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4" w:after="0"/>
              <w:ind w:left="0" w:right="3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6,264</w:t>
            </w:r>
          </w:p>
        </w:tc>
        <w:tc>
          <w:tcPr>
            <w:tcW w:type="dxa" w:w="878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3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loans outstanding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95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3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268,961 </w:t>
            </w:r>
          </w:p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1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260,236 </w:t>
            </w:r>
          </w:p>
        </w:tc>
        <w:tc>
          <w:tcPr>
            <w:tcW w:type="dxa" w:w="2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8,725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9"/>
        </w:trPr>
        <w:tc>
          <w:tcPr>
            <w:tcW w:type="dxa" w:w="3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assets, net</w:t>
            </w:r>
          </w:p>
        </w:tc>
        <w:tc>
          <w:tcPr>
            <w:tcW w:type="dxa" w:w="195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3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390 </w:t>
            </w:r>
          </w:p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456 </w:t>
            </w:r>
          </w:p>
        </w:tc>
        <w:tc>
          <w:tcPr>
            <w:tcW w:type="dxa" w:w="2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14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(66)</w:t>
            </w:r>
          </w:p>
        </w:tc>
        <w:tc>
          <w:tcPr>
            <w:tcW w:type="dxa" w:w="878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4"/>
        </w:trPr>
        <w:tc>
          <w:tcPr>
            <w:tcW w:type="dxa" w:w="318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assets</w:t>
            </w:r>
          </w:p>
        </w:tc>
        <w:tc>
          <w:tcPr>
            <w:tcW w:type="dxa" w:w="1956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3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13,411 </w:t>
            </w:r>
          </w:p>
        </w:tc>
        <w:tc>
          <w:tcPr>
            <w:tcW w:type="dxa" w:w="8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12,623 </w:t>
            </w:r>
          </w:p>
        </w:tc>
        <w:tc>
          <w:tcPr>
            <w:tcW w:type="dxa" w:w="25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0" w:right="9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788</w:t>
            </w:r>
          </w:p>
        </w:tc>
        <w:tc>
          <w:tcPr>
            <w:tcW w:type="dxa" w:w="1359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318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Assets</w:t>
            </w:r>
          </w:p>
        </w:tc>
        <w:tc>
          <w:tcPr>
            <w:tcW w:type="dxa" w:w="5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8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4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372,323 $ </w:t>
            </w:r>
          </w:p>
        </w:tc>
        <w:tc>
          <w:tcPr>
            <w:tcW w:type="dxa" w:w="8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5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356,612 </w:t>
            </w:r>
          </w:p>
        </w:tc>
        <w:tc>
          <w:tcPr>
            <w:tcW w:type="dxa" w:w="25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15,711</w:t>
            </w:r>
          </w:p>
        </w:tc>
      </w:tr>
      <w:tr>
        <w:trPr>
          <w:trHeight w:hRule="exact" w:val="234"/>
        </w:trPr>
        <w:tc>
          <w:tcPr>
            <w:tcW w:type="dxa" w:w="318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</w:t>
            </w:r>
          </w:p>
        </w:tc>
        <w:tc>
          <w:tcPr>
            <w:tcW w:type="dxa" w:w="1956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280,035 </w:t>
            </w:r>
          </w:p>
        </w:tc>
        <w:tc>
          <w:tcPr>
            <w:tcW w:type="dxa" w:w="8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1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261,790 </w:t>
            </w:r>
          </w:p>
        </w:tc>
        <w:tc>
          <w:tcPr>
            <w:tcW w:type="dxa" w:w="25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18,245</w:t>
            </w:r>
          </w:p>
        </w:tc>
      </w:tr>
      <w:tr>
        <w:trPr>
          <w:trHeight w:hRule="exact" w:val="247"/>
        </w:trPr>
        <w:tc>
          <w:tcPr>
            <w:tcW w:type="dxa" w:w="3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liabilities, net</w:t>
            </w:r>
          </w:p>
        </w:tc>
        <w:tc>
          <w:tcPr>
            <w:tcW w:type="dxa" w:w="195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3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19,388 </w:t>
            </w:r>
          </w:p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22,728 </w:t>
            </w:r>
          </w:p>
        </w:tc>
        <w:tc>
          <w:tcPr>
            <w:tcW w:type="dxa" w:w="2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2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(3,340)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5"/>
        </w:trPr>
        <w:tc>
          <w:tcPr>
            <w:tcW w:type="dxa" w:w="3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liabilities</w:t>
            </w:r>
          </w:p>
        </w:tc>
        <w:tc>
          <w:tcPr>
            <w:tcW w:type="dxa" w:w="195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8,182 </w:t>
            </w:r>
          </w:p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8,610 </w:t>
            </w:r>
          </w:p>
        </w:tc>
        <w:tc>
          <w:tcPr>
            <w:tcW w:type="dxa" w:w="2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15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(428)</w:t>
            </w:r>
          </w:p>
        </w:tc>
        <w:tc>
          <w:tcPr>
            <w:tcW w:type="dxa" w:w="878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4"/>
        </w:trPr>
        <w:tc>
          <w:tcPr>
            <w:tcW w:type="dxa" w:w="318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Equity</w:t>
            </w:r>
          </w:p>
        </w:tc>
        <w:tc>
          <w:tcPr>
            <w:tcW w:type="dxa" w:w="1956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3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64,718 </w:t>
            </w:r>
          </w:p>
        </w:tc>
        <w:tc>
          <w:tcPr>
            <w:tcW w:type="dxa" w:w="8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63,484 </w:t>
            </w:r>
          </w:p>
        </w:tc>
        <w:tc>
          <w:tcPr>
            <w:tcW w:type="dxa" w:w="25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0" w:right="8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1,234</w:t>
            </w:r>
          </w:p>
        </w:tc>
        <w:tc>
          <w:tcPr>
            <w:tcW w:type="dxa" w:w="1359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318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Liabilities and Equity</w:t>
            </w:r>
          </w:p>
        </w:tc>
        <w:tc>
          <w:tcPr>
            <w:tcW w:type="dxa" w:w="576"/>
            <w:vMerge w:val="restart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80"/>
            <w:gridSpan w:val="2"/>
            <w:vMerge w:val="restart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4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372,323 $ </w:t>
            </w:r>
          </w:p>
        </w:tc>
        <w:tc>
          <w:tcPr>
            <w:tcW w:type="dxa" w:w="810"/>
            <w:vMerge w:val="restart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5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356,612 </w:t>
            </w:r>
          </w:p>
        </w:tc>
        <w:tc>
          <w:tcPr>
            <w:tcW w:type="dxa" w:w="25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15,711</w:t>
            </w:r>
          </w:p>
        </w:tc>
      </w:tr>
      <w:tr>
        <w:trPr>
          <w:trHeight w:hRule="exact" w:val="238"/>
        </w:trPr>
        <w:tc>
          <w:tcPr>
            <w:tcW w:type="dxa" w:w="3188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59"/>
            <w:vMerge/>
            <w:tcBorders>
              <w:top w:sz="8.0" w:val="single" w:color="#000000"/>
              <w:bottom w:sz="4.0" w:val="single" w:color="#929292"/>
            </w:tcBorders>
          </w:tcPr>
          <w:p/>
        </w:tc>
        <w:tc>
          <w:tcPr>
            <w:tcW w:type="dxa" w:w="2718"/>
            <w:gridSpan w:val="2"/>
            <w:vMerge/>
            <w:tcBorders>
              <w:top w:sz="8.0" w:val="single" w:color="#000000"/>
              <w:bottom w:sz="4.0" w:val="single" w:color="#929292"/>
            </w:tcBorders>
          </w:tcPr>
          <w:p/>
        </w:tc>
        <w:tc>
          <w:tcPr>
            <w:tcW w:type="dxa" w:w="1359"/>
            <w:vMerge/>
            <w:tcBorders>
              <w:top w:sz="8.0" w:val="single" w:color="#000000"/>
              <w:bottom w:sz="4.0" w:val="single" w:color="#929292"/>
            </w:tcBorders>
          </w:tcPr>
          <w:p/>
        </w:tc>
        <w:tc>
          <w:tcPr>
            <w:tcW w:type="dxa" w:w="2536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8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0" w:lineRule="exact" w:before="3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The fair value of IBRD’s loans was $265,135 million as of December 31, 2024 ($257,415 million – June 30, 2024).</w:t>
      </w:r>
    </w:p>
    <w:p>
      <w:pPr>
        <w:autoSpaceDN w:val="0"/>
        <w:autoSpaceDE w:val="0"/>
        <w:widowControl/>
        <w:spacing w:line="224" w:lineRule="exact" w:before="1562" w:after="0"/>
        <w:ind w:left="0" w:right="14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December 31, 2024     9</w:t>
      </w:r>
    </w:p>
    <w:p>
      <w:pPr>
        <w:sectPr>
          <w:pgSz w:w="12240" w:h="15840"/>
          <w:pgMar w:top="256" w:right="1300" w:bottom="1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5"/>
        <w:gridCol w:w="4715"/>
      </w:tblGrid>
      <w:tr>
        <w:trPr>
          <w:trHeight w:hRule="exact" w:val="286"/>
        </w:trPr>
        <w:tc>
          <w:tcPr>
            <w:tcW w:type="dxa" w:w="3956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III: Financial Results</w:t>
            </w:r>
          </w:p>
        </w:tc>
      </w:tr>
    </w:tbl>
    <w:p>
      <w:pPr>
        <w:autoSpaceDN w:val="0"/>
        <w:autoSpaceDE w:val="0"/>
        <w:widowControl/>
        <w:spacing w:line="222" w:lineRule="exact" w:before="244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main drivers of the change in the Balance Sheet items are below:</w:t>
      </w:r>
    </w:p>
    <w:p>
      <w:pPr>
        <w:autoSpaceDN w:val="0"/>
        <w:tabs>
          <w:tab w:pos="720" w:val="left"/>
        </w:tabs>
        <w:autoSpaceDE w:val="0"/>
        <w:widowControl/>
        <w:spacing w:line="240" w:lineRule="exact" w:before="120" w:after="0"/>
        <w:ind w:left="36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Increase in investments and due from banks primarily due to net new debt issuances exceeding net loan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disbursements;</w:t>
      </w:r>
    </w:p>
    <w:p>
      <w:pPr>
        <w:autoSpaceDN w:val="0"/>
        <w:tabs>
          <w:tab w:pos="720" w:val="left"/>
        </w:tabs>
        <w:autoSpaceDE w:val="0"/>
        <w:widowControl/>
        <w:spacing w:line="224" w:lineRule="exact" w:before="82" w:after="0"/>
        <w:ind w:left="36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Increase in net loans outstanding primarily from net loan disbursements;</w:t>
      </w:r>
    </w:p>
    <w:p>
      <w:pPr>
        <w:autoSpaceDN w:val="0"/>
        <w:tabs>
          <w:tab w:pos="720" w:val="left"/>
        </w:tabs>
        <w:autoSpaceDE w:val="0"/>
        <w:widowControl/>
        <w:spacing w:line="240" w:lineRule="exact" w:before="54" w:after="0"/>
        <w:ind w:left="36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Increase in other assets mainly due to the purchase of assets at amortized cost associated with forward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contracts;</w:t>
      </w:r>
    </w:p>
    <w:p>
      <w:pPr>
        <w:autoSpaceDN w:val="0"/>
        <w:tabs>
          <w:tab w:pos="720" w:val="left"/>
        </w:tabs>
        <w:autoSpaceDE w:val="0"/>
        <w:widowControl/>
        <w:spacing w:line="240" w:lineRule="exact" w:before="66" w:after="0"/>
        <w:ind w:left="36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Increase in borrowings primarily due to net new issuances and unrealized mark-to-market losses as a result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the decrease in relevant interest rates, with offsetting gains on borrowing-related derivatives that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decreased derivative liabilities; and</w:t>
      </w:r>
    </w:p>
    <w:p>
      <w:pPr>
        <w:autoSpaceDN w:val="0"/>
        <w:tabs>
          <w:tab w:pos="720" w:val="left"/>
        </w:tabs>
        <w:autoSpaceDE w:val="0"/>
        <w:widowControl/>
        <w:spacing w:line="240" w:lineRule="exact" w:before="54" w:after="0"/>
        <w:ind w:left="36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Increase in equity, primarily due to the increase in accumulated other comprehensive income and the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increase in paid-in capital during FY25 YTD.</w:t>
      </w:r>
    </w:p>
    <w:p>
      <w:pPr>
        <w:autoSpaceDN w:val="0"/>
        <w:autoSpaceDE w:val="0"/>
        <w:widowControl/>
        <w:spacing w:line="268" w:lineRule="exact" w:before="31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Net (Loss) Income </w:t>
      </w:r>
    </w:p>
    <w:p>
      <w:pPr>
        <w:autoSpaceDN w:val="0"/>
        <w:autoSpaceDE w:val="0"/>
        <w:widowControl/>
        <w:spacing w:line="240" w:lineRule="exact" w:before="124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IBRD's net loss was $41 million for the first six months of FY25, compared with net income of $357 million during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same period in FY24. The $398 million decrease was primarily due to higher Board of Governors-approved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transfers by $444 million and a provision expense for losses on loans and other exposures in FY25 YTD, compared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to a release of provision in FY24 YTD. This was partially offset by lower unrealized mark-to market losses 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non-trading portfolios and an increase in net revenue on interest earning assets in FY25 YTD compared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FY24 YTD (Table 2). The $815 million of Board of Governors-approved transfers were expensed as grants upon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approval by the Board of Governors in FY25 YTD and were funded from IBRD's prior years' allocable income.</w:t>
      </w:r>
    </w:p>
    <w:p>
      <w:pPr>
        <w:autoSpaceDN w:val="0"/>
        <w:autoSpaceDE w:val="0"/>
        <w:widowControl/>
        <w:spacing w:line="244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Results from Lending activities</w:t>
      </w:r>
    </w:p>
    <w:p>
      <w:pPr>
        <w:autoSpaceDN w:val="0"/>
        <w:autoSpaceDE w:val="0"/>
        <w:widowControl/>
        <w:spacing w:line="244" w:lineRule="exact" w:before="144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>Loan Interest Revenue</w:t>
      </w:r>
    </w:p>
    <w:p>
      <w:pPr>
        <w:autoSpaceDN w:val="0"/>
        <w:autoSpaceDE w:val="0"/>
        <w:widowControl/>
        <w:spacing w:line="240" w:lineRule="exact" w:before="126" w:after="146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Under IBRD’s pricing policy, the lending rates for loans are based on the underlying cost of the borrowings funding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these loans. After the effect of related derivatives, the loan and borrowing portfolios are based on variable interest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rates. The portion of the loan portfolio funded by equity is sensitive to changes in short-term interest rates.</w:t>
      </w:r>
    </w:p>
    <w:p>
      <w:pPr>
        <w:sectPr>
          <w:pgSz w:w="12240" w:h="15840"/>
          <w:pgMar w:top="256" w:right="1370" w:bottom="1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0" w:after="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Figure 2: Loans interest revenue and funding cost 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(including related derivatives)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>In millions of U.S. dollars, YTD</w:t>
      </w:r>
    </w:p>
    <w:p>
      <w:pPr>
        <w:sectPr>
          <w:type w:val="continuous"/>
          <w:pgSz w:w="12240" w:h="15840"/>
          <w:pgMar w:top="256" w:right="1370" w:bottom="136" w:left="1440" w:header="720" w:footer="720" w:gutter="0"/>
          <w:cols w:num="2" w:equalWidth="0">
            <w:col w:w="4662" w:space="0"/>
            <w:col w:w="4768" w:space="0"/>
          </w:cols>
          <w:docGrid w:linePitch="360"/>
        </w:sectPr>
      </w:pPr>
    </w:p>
    <w:p>
      <w:pPr>
        <w:autoSpaceDN w:val="0"/>
        <w:autoSpaceDE w:val="0"/>
        <w:widowControl/>
        <w:spacing w:line="204" w:lineRule="exact" w:before="0" w:after="122"/>
        <w:ind w:left="334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Figure 3: Loan interest revenue, net of funding </w:t>
      </w:r>
      <w:r>
        <w:rPr>
          <w:rFonts w:ascii="Arial" w:hAnsi="Arial" w:eastAsia="Arial"/>
          <w:b/>
          <w:i w:val="0"/>
          <w:color w:val="000000"/>
          <w:sz w:val="18"/>
        </w:rPr>
        <w:t>costs ᵃ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>In millions of U.S. dollars, YTD</w:t>
      </w:r>
    </w:p>
    <w:p>
      <w:pPr>
        <w:sectPr>
          <w:type w:val="nextColumn"/>
          <w:pgSz w:w="12240" w:h="15840"/>
          <w:pgMar w:top="256" w:right="1370" w:bottom="136" w:left="1440" w:header="720" w:footer="720" w:gutter="0"/>
          <w:cols w:num="2" w:equalWidth="0">
            <w:col w:w="4662" w:space="0"/>
            <w:col w:w="476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rPr>
          <w:trHeight w:hRule="exact" w:val="160"/>
        </w:trPr>
        <w:tc>
          <w:tcPr>
            <w:tcW w:type="dxa" w:w="640"/>
            <w:vMerge w:val="restart"/>
            <w:tcBorders>
              <w:bottom w:sz="18.0" w:val="single" w:color="#6D6D6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542"/>
            <w:gridSpan w:val="5"/>
            <w:vMerge w:val="restart"/>
            <w:tcBorders>
              <w:bottom w:sz="18.0" w:val="single" w:color="#6D6D6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72" w:after="0"/>
              <w:ind w:left="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Loan interest revenue (including related derivatives)</w:t>
            </w:r>
          </w:p>
        </w:tc>
        <w:tc>
          <w:tcPr>
            <w:tcW w:type="dxa" w:w="1198"/>
            <w:vMerge w:val="restart"/>
            <w:tcBorders>
              <w:bottom w:sz="18.0" w:val="single" w:color="#6D6D6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7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Loan interest revenue, net of funding costs ᵃ</w:t>
            </w:r>
          </w:p>
        </w:tc>
      </w:tr>
      <w:tr>
        <w:trPr>
          <w:trHeight w:hRule="exact" w:val="90"/>
        </w:trPr>
        <w:tc>
          <w:tcPr>
            <w:tcW w:type="dxa" w:w="786"/>
            <w:vMerge/>
            <w:tcBorders>
              <w:bottom w:sz="18.0" w:val="single" w:color="#6D6D6D"/>
            </w:tcBorders>
          </w:tcPr>
          <w:p/>
        </w:tc>
        <w:tc>
          <w:tcPr>
            <w:tcW w:type="dxa" w:w="3930"/>
            <w:gridSpan w:val="5"/>
            <w:vMerge/>
            <w:tcBorders>
              <w:bottom w:sz="18.0" w:val="single" w:color="#6D6D6D"/>
            </w:tcBorders>
          </w:tcPr>
          <w:p/>
        </w:tc>
        <w:tc>
          <w:tcPr>
            <w:tcW w:type="dxa" w:w="786"/>
            <w:vMerge/>
            <w:tcBorders>
              <w:bottom w:sz="18.0" w:val="single" w:color="#6D6D6D"/>
            </w:tcBorders>
          </w:tcPr>
          <w:p/>
        </w:tc>
        <w:tc>
          <w:tcPr>
            <w:tcW w:type="dxa" w:w="3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 xml:space="preserve">Loan interest revenue, net of funding costs ᵃ and </w:t>
            </w:r>
          </w:p>
        </w:tc>
      </w:tr>
      <w:tr>
        <w:trPr>
          <w:trHeight w:hRule="exact" w:val="70"/>
        </w:trPr>
        <w:tc>
          <w:tcPr>
            <w:tcW w:type="dxa" w:w="640"/>
            <w:vMerge w:val="restart"/>
            <w:tcBorders>
              <w:top w:sz="18.0" w:val="single" w:color="#6D6D6D"/>
              <w:bottom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542"/>
            <w:gridSpan w:val="5"/>
            <w:vMerge w:val="restart"/>
            <w:tcBorders>
              <w:top w:sz="18.0" w:val="single" w:color="#6D6D6D"/>
              <w:bottom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Loan funding cost (including related derivatives)</w:t>
            </w:r>
          </w:p>
        </w:tc>
        <w:tc>
          <w:tcPr>
            <w:tcW w:type="dxa" w:w="1198"/>
            <w:vMerge w:val="restart"/>
            <w:tcBorders>
              <w:top w:sz="18.0" w:val="single" w:color="#6D6D6D"/>
              <w:bottom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930"/>
            <w:gridSpan w:val="5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786"/>
            <w:vMerge/>
            <w:tcBorders>
              <w:top w:sz="18.0" w:val="single" w:color="#6D6D6D"/>
              <w:bottom w:sz="6.0" w:val="single" w:color="#E5E6E5"/>
            </w:tcBorders>
          </w:tcPr>
          <w:p/>
        </w:tc>
        <w:tc>
          <w:tcPr>
            <w:tcW w:type="dxa" w:w="3930"/>
            <w:gridSpan w:val="5"/>
            <w:vMerge/>
            <w:tcBorders>
              <w:top w:sz="18.0" w:val="single" w:color="#6D6D6D"/>
              <w:bottom w:sz="6.0" w:val="single" w:color="#E5E6E5"/>
            </w:tcBorders>
          </w:tcPr>
          <w:p/>
        </w:tc>
        <w:tc>
          <w:tcPr>
            <w:tcW w:type="dxa" w:w="786"/>
            <w:vMerge/>
            <w:tcBorders>
              <w:top w:sz="18.0" w:val="single" w:color="#6D6D6D"/>
              <w:bottom w:sz="6.0" w:val="single" w:color="#E5E6E5"/>
            </w:tcBorders>
          </w:tcPr>
          <w:p/>
        </w:tc>
        <w:tc>
          <w:tcPr>
            <w:tcW w:type="dxa" w:w="3780"/>
            <w:gridSpan w:val="5"/>
            <w:tcBorders>
              <w:bottom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4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Other ALM derivatives, combined</w:t>
            </w:r>
          </w:p>
        </w:tc>
      </w:tr>
      <w:tr>
        <w:trPr>
          <w:trHeight w:hRule="exact" w:val="220"/>
        </w:trPr>
        <w:tc>
          <w:tcPr>
            <w:tcW w:type="dxa" w:w="640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10,000</w:t>
            </w:r>
          </w:p>
        </w:tc>
        <w:tc>
          <w:tcPr>
            <w:tcW w:type="dxa" w:w="3542"/>
            <w:gridSpan w:val="5"/>
            <w:vMerge w:val="restart"/>
            <w:tcBorders>
              <w:top w:sz="6.0" w:val="single" w:color="#E5E6E5"/>
              <w:bottom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1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133600" cy="9525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95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98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3,000</w:t>
            </w:r>
          </w:p>
        </w:tc>
        <w:tc>
          <w:tcPr>
            <w:tcW w:type="dxa" w:w="3780"/>
            <w:gridSpan w:val="5"/>
            <w:vMerge w:val="restart"/>
            <w:tcBorders>
              <w:top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7100" cy="6096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0" cy="60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6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8,000</w:t>
            </w:r>
          </w:p>
        </w:tc>
        <w:tc>
          <w:tcPr>
            <w:tcW w:type="dxa" w:w="3930"/>
            <w:gridSpan w:val="5"/>
            <w:vMerge/>
            <w:tcBorders>
              <w:top w:sz="6.0" w:val="single" w:color="#E5E6E5"/>
              <w:bottom w:sz="6.0" w:val="single" w:color="#E5E6E5"/>
            </w:tcBorders>
          </w:tcPr>
          <w:p/>
        </w:tc>
        <w:tc>
          <w:tcPr>
            <w:tcW w:type="dxa" w:w="11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1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2,000</w:t>
            </w:r>
          </w:p>
        </w:tc>
        <w:tc>
          <w:tcPr>
            <w:tcW w:type="dxa" w:w="3930"/>
            <w:gridSpan w:val="5"/>
            <w:vMerge/>
            <w:tcBorders>
              <w:top w:sz="6.0" w:val="single" w:color="#E5E6E5"/>
            </w:tcBorders>
          </w:tcPr>
          <w:p/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6,000</w:t>
            </w:r>
          </w:p>
        </w:tc>
        <w:tc>
          <w:tcPr>
            <w:tcW w:type="dxa" w:w="3930"/>
            <w:gridSpan w:val="5"/>
            <w:vMerge/>
            <w:tcBorders>
              <w:top w:sz="6.0" w:val="single" w:color="#E5E6E5"/>
              <w:bottom w:sz="6.0" w:val="single" w:color="#E5E6E5"/>
            </w:tcBorders>
          </w:tcPr>
          <w:p/>
        </w:tc>
        <w:tc>
          <w:tcPr>
            <w:tcW w:type="dxa" w:w="786"/>
            <w:vMerge/>
            <w:tcBorders/>
          </w:tcPr>
          <w:p/>
        </w:tc>
        <w:tc>
          <w:tcPr>
            <w:tcW w:type="dxa" w:w="3930"/>
            <w:gridSpan w:val="5"/>
            <w:vMerge/>
            <w:tcBorders>
              <w:top w:sz="6.0" w:val="single" w:color="#E5E6E5"/>
            </w:tcBorders>
          </w:tcPr>
          <w:p/>
        </w:tc>
      </w:tr>
      <w:tr>
        <w:trPr>
          <w:trHeight w:hRule="exact" w:val="3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2" w:after="0"/>
              <w:ind w:left="0" w:right="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4,000</w:t>
            </w:r>
          </w:p>
        </w:tc>
        <w:tc>
          <w:tcPr>
            <w:tcW w:type="dxa" w:w="3930"/>
            <w:gridSpan w:val="5"/>
            <w:vMerge/>
            <w:tcBorders>
              <w:top w:sz="6.0" w:val="single" w:color="#E5E6E5"/>
              <w:bottom w:sz="6.0" w:val="single" w:color="#E5E6E5"/>
            </w:tcBorders>
          </w:tcPr>
          <w:p/>
        </w:tc>
        <w:tc>
          <w:tcPr>
            <w:tcW w:type="dxa" w:w="11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1,000</w:t>
            </w:r>
          </w:p>
        </w:tc>
        <w:tc>
          <w:tcPr>
            <w:tcW w:type="dxa" w:w="3930"/>
            <w:gridSpan w:val="5"/>
            <w:vMerge/>
            <w:tcBorders>
              <w:top w:sz="6.0" w:val="single" w:color="#E5E6E5"/>
            </w:tcBorders>
          </w:tcPr>
          <w:p/>
        </w:tc>
      </w:tr>
      <w:tr>
        <w:trPr>
          <w:trHeight w:hRule="exact" w:val="462"/>
        </w:trPr>
        <w:tc>
          <w:tcPr>
            <w:tcW w:type="dxa" w:w="640"/>
            <w:tcBorders>
              <w:bottom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0" w:right="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2,000</w:t>
            </w:r>
          </w:p>
        </w:tc>
        <w:tc>
          <w:tcPr>
            <w:tcW w:type="dxa" w:w="3930"/>
            <w:gridSpan w:val="5"/>
            <w:vMerge/>
            <w:tcBorders>
              <w:top w:sz="6.0" w:val="single" w:color="#E5E6E5"/>
              <w:bottom w:sz="6.0" w:val="single" w:color="#E5E6E5"/>
            </w:tcBorders>
          </w:tcPr>
          <w:p/>
        </w:tc>
        <w:tc>
          <w:tcPr>
            <w:tcW w:type="dxa" w:w="1198"/>
            <w:tcBorders>
              <w:bottom w:sz="6.0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92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FY21</w:t>
            </w:r>
          </w:p>
        </w:tc>
        <w:tc>
          <w:tcPr>
            <w:tcW w:type="dxa" w:w="700"/>
            <w:tcBorders>
              <w:bottom w:sz="6.0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>
              <w:bottom w:sz="6.0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bottom w:sz="6.0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92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FY25</w:t>
            </w:r>
          </w:p>
        </w:tc>
      </w:tr>
      <w:tr>
        <w:trPr>
          <w:trHeight w:hRule="exact" w:val="158"/>
        </w:trPr>
        <w:tc>
          <w:tcPr>
            <w:tcW w:type="dxa" w:w="640"/>
            <w:vMerge w:val="restart"/>
            <w:tcBorders>
              <w:top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</w:p>
        </w:tc>
        <w:tc>
          <w:tcPr>
            <w:tcW w:type="dxa" w:w="3542"/>
            <w:gridSpan w:val="5"/>
            <w:tcBorders>
              <w:top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98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</w:p>
        </w:tc>
        <w:tc>
          <w:tcPr>
            <w:tcW w:type="dxa" w:w="786"/>
            <w:vMerge/>
            <w:tcBorders/>
          </w:tcPr>
          <w:p/>
        </w:tc>
        <w:tc>
          <w:tcPr>
            <w:tcW w:type="dxa" w:w="700"/>
            <w:vMerge w:val="restart"/>
            <w:tcBorders>
              <w:top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FY22</w:t>
            </w:r>
          </w:p>
        </w:tc>
        <w:tc>
          <w:tcPr>
            <w:tcW w:type="dxa" w:w="680"/>
            <w:vMerge w:val="restart"/>
            <w:tcBorders>
              <w:top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FY23</w:t>
            </w:r>
          </w:p>
        </w:tc>
        <w:tc>
          <w:tcPr>
            <w:tcW w:type="dxa" w:w="700"/>
            <w:vMerge w:val="restart"/>
            <w:tcBorders>
              <w:top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FY24</w:t>
            </w:r>
          </w:p>
        </w:tc>
        <w:tc>
          <w:tcPr>
            <w:tcW w:type="dxa" w:w="786"/>
            <w:vMerge/>
            <w:tcBorders/>
          </w:tcPr>
          <w:p/>
        </w:tc>
      </w:tr>
      <w:tr>
        <w:trPr>
          <w:trHeight w:hRule="exact" w:val="174"/>
        </w:trPr>
        <w:tc>
          <w:tcPr>
            <w:tcW w:type="dxa" w:w="786"/>
            <w:vMerge/>
            <w:tcBorders>
              <w:top w:sz="6.0" w:val="single" w:color="#E5E6E5"/>
            </w:tcBorders>
          </w:tcPr>
          <w:p/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1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FY21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FY22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FY23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FY24</w:t>
            </w:r>
          </w:p>
        </w:tc>
        <w:tc>
          <w:tcPr>
            <w:tcW w:type="dxa" w:w="7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FY25</w:t>
            </w:r>
          </w:p>
        </w:tc>
        <w:tc>
          <w:tcPr>
            <w:tcW w:type="dxa" w:w="11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8" w:after="0"/>
              <w:ind w:left="0" w:right="1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a.</w:t>
            </w:r>
          </w:p>
        </w:tc>
        <w:tc>
          <w:tcPr>
            <w:tcW w:type="dxa" w:w="786"/>
            <w:vMerge/>
            <w:tcBorders/>
          </w:tcPr>
          <w:p/>
        </w:tc>
        <w:tc>
          <w:tcPr>
            <w:tcW w:type="dxa" w:w="786"/>
            <w:vMerge/>
            <w:tcBorders>
              <w:top w:sz="6.0" w:val="single" w:color="#E5E6E5"/>
            </w:tcBorders>
          </w:tcPr>
          <w:p/>
        </w:tc>
        <w:tc>
          <w:tcPr>
            <w:tcW w:type="dxa" w:w="786"/>
            <w:vMerge/>
            <w:tcBorders>
              <w:top w:sz="6.0" w:val="single" w:color="#E5E6E5"/>
            </w:tcBorders>
          </w:tcPr>
          <w:p/>
        </w:tc>
        <w:tc>
          <w:tcPr>
            <w:tcW w:type="dxa" w:w="786"/>
            <w:vMerge/>
            <w:tcBorders>
              <w:top w:sz="6.0" w:val="single" w:color="#E5E6E5"/>
            </w:tcBorders>
          </w:tcPr>
          <w:p/>
        </w:tc>
        <w:tc>
          <w:tcPr>
            <w:tcW w:type="dxa" w:w="786"/>
            <w:vMerge/>
            <w:tcBorders/>
          </w:tcPr>
          <w:p/>
        </w:tc>
      </w:tr>
      <w:tr>
        <w:trPr>
          <w:trHeight w:hRule="exact" w:val="262"/>
        </w:trPr>
        <w:tc>
          <w:tcPr>
            <w:tcW w:type="dxa" w:w="786"/>
            <w:vMerge/>
            <w:tcBorders>
              <w:top w:sz="6.0" w:val="single" w:color="#E5E6E5"/>
            </w:tcBorders>
          </w:tcPr>
          <w:p/>
        </w:tc>
        <w:tc>
          <w:tcPr>
            <w:tcW w:type="dxa" w:w="786"/>
            <w:vMerge/>
            <w:tcBorders/>
          </w:tcPr>
          <w:p/>
        </w:tc>
        <w:tc>
          <w:tcPr>
            <w:tcW w:type="dxa" w:w="786"/>
            <w:vMerge/>
            <w:tcBorders/>
          </w:tcPr>
          <w:p/>
        </w:tc>
        <w:tc>
          <w:tcPr>
            <w:tcW w:type="dxa" w:w="786"/>
            <w:vMerge/>
            <w:tcBorders/>
          </w:tcPr>
          <w:p/>
        </w:tc>
        <w:tc>
          <w:tcPr>
            <w:tcW w:type="dxa" w:w="786"/>
            <w:vMerge/>
            <w:tcBorders/>
          </w:tcPr>
          <w:p/>
        </w:tc>
        <w:tc>
          <w:tcPr>
            <w:tcW w:type="dxa" w:w="786"/>
            <w:vMerge/>
            <w:tcBorders/>
          </w:tcPr>
          <w:p/>
        </w:tc>
        <w:tc>
          <w:tcPr>
            <w:tcW w:type="dxa" w:w="786"/>
            <w:vMerge/>
            <w:tcBorders/>
          </w:tcPr>
          <w:p/>
        </w:tc>
        <w:tc>
          <w:tcPr>
            <w:tcW w:type="dxa" w:w="37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Includes related derivatives.</w:t>
            </w:r>
          </w:p>
        </w:tc>
      </w:tr>
    </w:tbl>
    <w:p>
      <w:pPr>
        <w:autoSpaceDN w:val="0"/>
        <w:autoSpaceDE w:val="0"/>
        <w:widowControl/>
        <w:spacing w:line="240" w:lineRule="exact" w:before="206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the first six months of FY25, IBRD’s loan interest revenue, net of funding costs was $2,482 million, an increase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$124 million, compared with the same period in FY24 (Figure 3), consistent with the increase in average loan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balance during the period. Other ALM derivatives moderate the impact of interest rate changes on the portion of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loan portfolio that is sensitive to interest rate movements, thereby partially stabilizing the net interest revenue earned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from these loans (as illustrated in Figure 3). Other ALM derivatives comprise interest rate swaps, which are used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convert the variable rate cash flows from these loans to fixed rate cash flows. 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October 2024, as a part of the package of measures to deliver on WBG's new vision and mission, the Board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approved adjustments to IBRD's loan pricing, which include: 1) a grace period, during which no commitment fees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are charged for the first four years for Investment Project Financing (IPFs) and Program-for-Results Financing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(PforRs); 2) removal of the prepayment premium; 3) introduction of a 7 year Short Maturity Loan (SML) with a </w:t>
      </w:r>
    </w:p>
    <w:p>
      <w:pPr>
        <w:autoSpaceDN w:val="0"/>
        <w:autoSpaceDE w:val="0"/>
        <w:widowControl/>
        <w:spacing w:line="224" w:lineRule="exact" w:before="72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10     IBRD Management's Discussion and Analysis: December 31, 2024</w:t>
      </w:r>
    </w:p>
    <w:p>
      <w:pPr>
        <w:sectPr>
          <w:type w:val="continuous"/>
          <w:pgSz w:w="12240" w:h="15840"/>
          <w:pgMar w:top="256" w:right="1370" w:bottom="1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7"/>
        <w:gridCol w:w="4717"/>
      </w:tblGrid>
      <w:tr>
        <w:trPr>
          <w:trHeight w:hRule="exact" w:val="286"/>
        </w:trPr>
        <w:tc>
          <w:tcPr>
            <w:tcW w:type="dxa" w:w="3956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III: Financial Results</w:t>
            </w:r>
          </w:p>
        </w:tc>
      </w:tr>
    </w:tbl>
    <w:p>
      <w:pPr>
        <w:autoSpaceDN w:val="0"/>
        <w:autoSpaceDE w:val="0"/>
        <w:widowControl/>
        <w:spacing w:line="240" w:lineRule="exact" w:before="226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maturity discount applied to the contractual spread; and 4) expansion of the lowest pricing group to include all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CRDC-eligible IBRD borrowers under current eligibility requirements. See below section for additional details 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CRDC.</w:t>
      </w:r>
    </w:p>
    <w:p>
      <w:pPr>
        <w:autoSpaceDN w:val="0"/>
        <w:autoSpaceDE w:val="0"/>
        <w:widowControl/>
        <w:spacing w:line="244" w:lineRule="exact" w:before="194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>Provision for losses on loans and other exposures</w:t>
      </w:r>
    </w:p>
    <w:p>
      <w:pPr>
        <w:autoSpaceDN w:val="0"/>
        <w:autoSpaceDE w:val="0"/>
        <w:widowControl/>
        <w:spacing w:line="240" w:lineRule="exact" w:before="186" w:after="86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recorded provision expense for losses on loans and other exposures of $193 million in FY25 YTD, compared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to income from the release of provision of $31 million in FY24 YTD. As the majority of IBRD’s loans carry 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variable interest rate, changes in forward interest rates impact the expected losses that are recorded through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provision for losses on loans and other exposures in the statements of income. Accordingly, the change was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primarily driven by the higher loss given default (severity) compared to FY24 YTD, due to the increase in relevant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implied forward interest rates in FY25 YTD compared to FY24 YTD. The severity reflects the expected losses from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delays in receiving interest payments since IBRD does not charge interest on overdue interest.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</w:tblGrid>
      <w:tr>
        <w:trPr>
          <w:trHeight w:hRule="exact" w:val="528"/>
        </w:trPr>
        <w:tc>
          <w:tcPr>
            <w:tcW w:type="dxa" w:w="52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6" w:after="0"/>
              <w:ind w:left="20" w:right="144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Figure 4: Change in Net Loans Outstanding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billions of U.S. dollars</w:t>
            </w:r>
          </w:p>
        </w:tc>
        <w:tc>
          <w:tcPr>
            <w:tcW w:type="dxa" w:w="41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6" w:after="0"/>
              <w:ind w:left="20" w:right="115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Figure 5: Net Loans Outstanding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billions of U.S. dollars</w:t>
            </w:r>
          </w:p>
        </w:tc>
      </w:tr>
      <w:tr>
        <w:trPr>
          <w:trHeight w:hRule="exact" w:val="678"/>
        </w:trPr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300</w:t>
            </w:r>
          </w:p>
        </w:tc>
        <w:tc>
          <w:tcPr>
            <w:tcW w:type="dxa" w:w="4820"/>
            <w:gridSpan w:val="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8.0000000000001" w:type="dxa"/>
            </w:tblPr>
            <w:tblGrid>
              <w:gridCol w:w="4820"/>
            </w:tblGrid>
            <w:tr>
              <w:trPr>
                <w:trHeight w:hRule="exact" w:val="928"/>
              </w:trPr>
              <w:tc>
                <w:tcPr>
                  <w:tcW w:type="dxa" w:w="4674"/>
                  <w:tcBorders>
                    <w:start w:sz="6.012442588806152" w:val="single" w:color="#898A89"/>
                    <w:bottom w:sz="6.012442588806152" w:val="single" w:color="#898A8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056" w:val="left"/>
                    </w:tabs>
                    <w:autoSpaceDE w:val="0"/>
                    <w:widowControl/>
                    <w:spacing w:line="422" w:lineRule="exact" w:before="548" w:after="32"/>
                    <w:ind w:left="1006" w:right="144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595959"/>
                      <w:sz w:val="16"/>
                    </w:rPr>
                    <w:t xml:space="preserve">17.7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595959"/>
                      <w:sz w:val="16"/>
                    </w:rPr>
                    <w:t>269.0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4.00000000000006" w:type="dxa"/>
                  </w:tblPr>
                  <w:tblGrid>
                    <w:gridCol w:w="1168"/>
                    <w:gridCol w:w="1168"/>
                    <w:gridCol w:w="1168"/>
                    <w:gridCol w:w="1168"/>
                  </w:tblGrid>
                  <w:tr>
                    <w:trPr>
                      <w:trHeight w:hRule="exact" w:val="414"/>
                    </w:trPr>
                    <w:tc>
                      <w:tcPr>
                        <w:tcW w:type="dxa" w:w="136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194" w:after="0"/>
                          <w:ind w:left="106" w:right="0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260.2</w:t>
                        </w:r>
                      </w:p>
                    </w:tc>
                    <w:tc>
                      <w:tcPr>
                        <w:tcW w:type="dxa" w:w="87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30" w:after="0"/>
                          <w:ind w:left="0" w:right="212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(7.1)</w:t>
                        </w:r>
                      </w:p>
                    </w:tc>
                    <w:tc>
                      <w:tcPr>
                        <w:tcW w:type="dxa" w:w="7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(0.2)</w:t>
                        </w:r>
                      </w:p>
                    </w:tc>
                    <w:tc>
                      <w:tcPr>
                        <w:tcW w:type="dxa" w:w="10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120" w:after="0"/>
                          <w:ind w:left="226" w:right="0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(1.7)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4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300</w:t>
            </w:r>
          </w:p>
        </w:tc>
        <w:tc>
          <w:tcPr>
            <w:tcW w:type="dxa" w:w="352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7.99999999999955" w:type="dxa"/>
            </w:tblPr>
            <w:tblGrid>
              <w:gridCol w:w="587"/>
              <w:gridCol w:w="587"/>
              <w:gridCol w:w="587"/>
              <w:gridCol w:w="587"/>
              <w:gridCol w:w="587"/>
              <w:gridCol w:w="587"/>
            </w:tblGrid>
            <w:tr>
              <w:trPr>
                <w:trHeight w:hRule="exact" w:val="522"/>
              </w:trPr>
              <w:tc>
                <w:tcPr>
                  <w:tcW w:type="dxa" w:w="3260"/>
                  <w:tcBorders>
                    <w:start w:sz="6.012297630310059" w:val="single" w:color="#898A89"/>
                    <w:bottom w:sz="6.012297630310059" w:val="single" w:color="#58595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3.99999999999977" w:type="dxa"/>
                  </w:tblPr>
                  <w:tblGrid>
                    <w:gridCol w:w="652"/>
                    <w:gridCol w:w="652"/>
                    <w:gridCol w:w="652"/>
                    <w:gridCol w:w="652"/>
                    <w:gridCol w:w="652"/>
                  </w:tblGrid>
                  <w:tr>
                    <w:trPr>
                      <w:trHeight w:hRule="exact" w:val="684"/>
                    </w:trPr>
                    <w:tc>
                      <w:tcPr>
                        <w:tcW w:type="dxa" w:w="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46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218.8</w:t>
                        </w:r>
                      </w:p>
                    </w:tc>
                    <w:tc>
                      <w:tcPr>
                        <w:tcW w:type="dxa" w:w="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40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227.1</w:t>
                        </w:r>
                      </w:p>
                    </w:tc>
                    <w:tc>
                      <w:tcPr>
                        <w:tcW w:type="dxa" w:w="6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26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241.0</w:t>
                        </w:r>
                      </w:p>
                    </w:tc>
                    <w:tc>
                      <w:tcPr>
                        <w:tcW w:type="dxa" w:w="6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10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260.2</w:t>
                        </w:r>
                      </w:p>
                    </w:tc>
                    <w:tc>
                      <w:tcPr>
                        <w:tcW w:type="dxa" w:w="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269.0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587"/>
                  <w:tcBorders>
                    <w:start w:sz="6.012297630310059" w:val="single" w:color="#898A89"/>
                    <w:bottom w:sz="6.012297630310059" w:val="single" w:color="#58595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7"/>
                  <w:tcBorders>
                    <w:start w:sz="6.012297630310059" w:val="single" w:color="#898A89"/>
                    <w:bottom w:sz="6.012297630310059" w:val="single" w:color="#58595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7"/>
                  <w:tcBorders>
                    <w:start w:sz="6.012297630310059" w:val="single" w:color="#898A89"/>
                    <w:bottom w:sz="6.012297630310059" w:val="single" w:color="#58595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7"/>
                  <w:tcBorders>
                    <w:start w:sz="6.012297630310059" w:val="single" w:color="#898A89"/>
                    <w:bottom w:sz="6.012297630310059" w:val="single" w:color="#58595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7"/>
                  <w:tcBorders>
                    <w:start w:sz="6.012297630310059" w:val="single" w:color="#898A89"/>
                    <w:bottom w:sz="6.012297630310059" w:val="single" w:color="#58595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02"/>
        </w:trPr>
        <w:tc>
          <w:tcPr>
            <w:tcW w:type="dxa" w:w="555"/>
            <w:vMerge/>
            <w:tcBorders/>
          </w:tcPr>
          <w:p/>
        </w:tc>
        <w:tc>
          <w:tcPr>
            <w:tcW w:type="dxa" w:w="5550"/>
            <w:gridSpan w:val="10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2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240</w:t>
            </w:r>
          </w:p>
        </w:tc>
        <w:tc>
          <w:tcPr>
            <w:tcW w:type="dxa" w:w="2775"/>
            <w:gridSpan w:val="5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280</w:t>
            </w:r>
          </w:p>
        </w:tc>
        <w:tc>
          <w:tcPr>
            <w:tcW w:type="dxa" w:w="5550"/>
            <w:gridSpan w:val="10"/>
            <w:vMerge/>
            <w:tcBorders/>
          </w:tcPr>
          <w:p/>
        </w:tc>
        <w:tc>
          <w:tcPr>
            <w:tcW w:type="dxa" w:w="555"/>
            <w:vMerge/>
            <w:tcBorders/>
          </w:tcPr>
          <w:p/>
        </w:tc>
        <w:tc>
          <w:tcPr>
            <w:tcW w:type="dxa" w:w="2775"/>
            <w:gridSpan w:val="5"/>
            <w:vMerge/>
            <w:tcBorders/>
          </w:tcPr>
          <w:p/>
        </w:tc>
      </w:tr>
      <w:tr>
        <w:trPr>
          <w:trHeight w:hRule="exact" w:val="556"/>
        </w:trPr>
        <w:tc>
          <w:tcPr>
            <w:tcW w:type="dxa" w:w="555"/>
            <w:vMerge/>
            <w:tcBorders/>
          </w:tcPr>
          <w:p/>
        </w:tc>
        <w:tc>
          <w:tcPr>
            <w:tcW w:type="dxa" w:w="5550"/>
            <w:gridSpan w:val="10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56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180</w:t>
            </w:r>
          </w:p>
        </w:tc>
        <w:tc>
          <w:tcPr>
            <w:tcW w:type="dxa" w:w="2775"/>
            <w:gridSpan w:val="5"/>
            <w:vMerge/>
            <w:tcBorders/>
          </w:tcPr>
          <w:p/>
        </w:tc>
      </w:tr>
      <w:tr>
        <w:trPr>
          <w:trHeight w:hRule="exact" w:val="406"/>
        </w:trPr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260</w:t>
            </w:r>
          </w:p>
          <w:p>
            <w:pPr>
              <w:autoSpaceDN w:val="0"/>
              <w:autoSpaceDE w:val="0"/>
              <w:widowControl/>
              <w:spacing w:line="178" w:lineRule="exact" w:before="7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240</w:t>
            </w:r>
          </w:p>
        </w:tc>
        <w:tc>
          <w:tcPr>
            <w:tcW w:type="dxa" w:w="5550"/>
            <w:gridSpan w:val="10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8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120</w:t>
            </w:r>
          </w:p>
        </w:tc>
        <w:tc>
          <w:tcPr>
            <w:tcW w:type="dxa" w:w="2775"/>
            <w:gridSpan w:val="5"/>
            <w:vMerge/>
            <w:tcBorders/>
          </w:tcPr>
          <w:p/>
        </w:tc>
      </w:tr>
      <w:tr>
        <w:trPr>
          <w:trHeight w:hRule="exact" w:val="1038"/>
        </w:trPr>
        <w:tc>
          <w:tcPr>
            <w:tcW w:type="dxa" w:w="555"/>
            <w:vMerge/>
            <w:tcBorders/>
          </w:tcPr>
          <w:p/>
        </w:tc>
        <w:tc>
          <w:tcPr>
            <w:tcW w:type="dxa" w:w="5550"/>
            <w:gridSpan w:val="10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8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60</w:t>
            </w:r>
          </w:p>
          <w:p>
            <w:pPr>
              <w:autoSpaceDN w:val="0"/>
              <w:autoSpaceDE w:val="0"/>
              <w:widowControl/>
              <w:spacing w:line="180" w:lineRule="exact" w:before="332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2775"/>
            <w:gridSpan w:val="5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12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4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 xml:space="preserve">Net Loans </w:t>
            </w:r>
          </w:p>
        </w:tc>
        <w:tc>
          <w:tcPr>
            <w:tcW w:type="dxa" w:w="8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44" w:after="0"/>
              <w:ind w:left="1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 xml:space="preserve">Gross loan </w:t>
            </w:r>
          </w:p>
        </w:tc>
        <w:tc>
          <w:tcPr>
            <w:tcW w:type="dxa" w:w="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 xml:space="preserve">Repayments </w:t>
            </w:r>
          </w:p>
        </w:tc>
        <w:tc>
          <w:tcPr>
            <w:tcW w:type="dxa" w:w="8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 xml:space="preserve">Accumulated </w:t>
            </w:r>
          </w:p>
        </w:tc>
        <w:tc>
          <w:tcPr>
            <w:tcW w:type="dxa" w:w="8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44" w:after="0"/>
              <w:ind w:left="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 xml:space="preserve">Translation </w:t>
            </w:r>
          </w:p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4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 xml:space="preserve">Net Loans </w:t>
            </w:r>
          </w:p>
        </w:tc>
        <w:tc>
          <w:tcPr>
            <w:tcW w:type="dxa" w:w="13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21</w:t>
            </w:r>
          </w:p>
        </w:tc>
        <w:tc>
          <w:tcPr>
            <w:tcW w:type="dxa" w:w="55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22</w:t>
            </w:r>
          </w:p>
        </w:tc>
        <w:tc>
          <w:tcPr>
            <w:tcW w:type="dxa" w:w="7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23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24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Dec 24</w:t>
            </w:r>
          </w:p>
        </w:tc>
      </w:tr>
      <w:tr>
        <w:trPr>
          <w:trHeight w:hRule="exact" w:val="140"/>
        </w:trPr>
        <w:tc>
          <w:tcPr>
            <w:tcW w:type="dxa" w:w="1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 xml:space="preserve">outstanding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>disbursements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 xml:space="preserve">and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 xml:space="preserve">provision for 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 xml:space="preserve">adjustments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 xml:space="preserve">outstanding </w:t>
            </w:r>
          </w:p>
        </w:tc>
        <w:tc>
          <w:tcPr>
            <w:tcW w:type="dxa" w:w="1110"/>
            <w:gridSpan w:val="2"/>
            <w:vMerge/>
            <w:tcBorders/>
          </w:tcPr>
          <w:p/>
        </w:tc>
        <w:tc>
          <w:tcPr>
            <w:tcW w:type="dxa" w:w="555"/>
            <w:vMerge/>
            <w:tcBorders/>
          </w:tcPr>
          <w:p/>
        </w:tc>
        <w:tc>
          <w:tcPr>
            <w:tcW w:type="dxa" w:w="555"/>
            <w:vMerge/>
            <w:tcBorders/>
          </w:tcPr>
          <w:p/>
        </w:tc>
        <w:tc>
          <w:tcPr>
            <w:tcW w:type="dxa" w:w="555"/>
            <w:vMerge/>
            <w:tcBorders/>
          </w:tcPr>
          <w:p/>
        </w:tc>
        <w:tc>
          <w:tcPr>
            <w:tcW w:type="dxa" w:w="555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12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 xml:space="preserve">as of June </w:t>
            </w:r>
          </w:p>
        </w:tc>
        <w:tc>
          <w:tcPr>
            <w:tcW w:type="dxa" w:w="161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>prepayments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>loan losses</w:t>
            </w:r>
          </w:p>
        </w:tc>
        <w:tc>
          <w:tcPr>
            <w:tcW w:type="dxa" w:w="95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1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>and others</w:t>
            </w:r>
          </w:p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1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 xml:space="preserve">as of </w:t>
            </w:r>
          </w:p>
        </w:tc>
        <w:tc>
          <w:tcPr>
            <w:tcW w:type="dxa" w:w="1110"/>
            <w:gridSpan w:val="2"/>
            <w:vMerge/>
            <w:tcBorders/>
          </w:tcPr>
          <w:p/>
        </w:tc>
        <w:tc>
          <w:tcPr>
            <w:tcW w:type="dxa" w:w="555"/>
            <w:vMerge/>
            <w:tcBorders/>
          </w:tcPr>
          <w:p/>
        </w:tc>
        <w:tc>
          <w:tcPr>
            <w:tcW w:type="dxa" w:w="555"/>
            <w:vMerge/>
            <w:tcBorders/>
          </w:tcPr>
          <w:p/>
        </w:tc>
        <w:tc>
          <w:tcPr>
            <w:tcW w:type="dxa" w:w="555"/>
            <w:vMerge/>
            <w:tcBorders/>
          </w:tcPr>
          <w:p/>
        </w:tc>
        <w:tc>
          <w:tcPr>
            <w:tcW w:type="dxa" w:w="555"/>
            <w:vMerge/>
            <w:tcBorders/>
          </w:tcPr>
          <w:p/>
        </w:tc>
      </w:tr>
      <w:tr>
        <w:trPr>
          <w:trHeight w:hRule="exact" w:val="144"/>
        </w:trPr>
        <w:tc>
          <w:tcPr>
            <w:tcW w:type="dxa" w:w="12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>30, 2024</w:t>
            </w:r>
          </w:p>
        </w:tc>
        <w:tc>
          <w:tcPr>
            <w:tcW w:type="dxa" w:w="401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 xml:space="preserve">December </w:t>
            </w:r>
          </w:p>
        </w:tc>
        <w:tc>
          <w:tcPr>
            <w:tcW w:type="dxa" w:w="1110"/>
            <w:gridSpan w:val="2"/>
            <w:vMerge/>
            <w:tcBorders/>
          </w:tcPr>
          <w:p/>
        </w:tc>
        <w:tc>
          <w:tcPr>
            <w:tcW w:type="dxa" w:w="555"/>
            <w:vMerge/>
            <w:tcBorders/>
          </w:tcPr>
          <w:p/>
        </w:tc>
        <w:tc>
          <w:tcPr>
            <w:tcW w:type="dxa" w:w="555"/>
            <w:vMerge/>
            <w:tcBorders/>
          </w:tcPr>
          <w:p/>
        </w:tc>
        <w:tc>
          <w:tcPr>
            <w:tcW w:type="dxa" w:w="555"/>
            <w:vMerge/>
            <w:tcBorders/>
          </w:tcPr>
          <w:p/>
        </w:tc>
        <w:tc>
          <w:tcPr>
            <w:tcW w:type="dxa" w:w="55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4" w:lineRule="exact" w:before="6" w:after="0"/>
        <w:ind w:left="0" w:right="4410" w:firstLine="0"/>
        <w:jc w:val="right"/>
      </w:pPr>
      <w:r>
        <w:rPr>
          <w:shd w:val="clear" w:color="auto" w:fill="6d6d6d"/>
          <w:rFonts w:ascii="ArialMT" w:hAnsi="ArialMT" w:eastAsia="ArialMT"/>
          <w:b w:val="0"/>
          <w:i w:val="0"/>
          <w:color w:val="595959"/>
          <w:sz w:val="12"/>
        </w:rPr>
        <w:t>31, 2024</w:t>
      </w:r>
    </w:p>
    <w:p>
      <w:pPr>
        <w:autoSpaceDN w:val="0"/>
        <w:autoSpaceDE w:val="0"/>
        <w:widowControl/>
        <w:spacing w:line="240" w:lineRule="exact" w:before="194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As of D</w:t>
      </w:r>
      <w:r>
        <w:rPr>
          <w:shd w:val="clear" w:color="auto" w:fill="6d6d6d"/>
          <w:rFonts w:ascii="TimesNewRoman" w:hAnsi="TimesNewRoman" w:eastAsia="TimesNewRoman"/>
          <w:b w:val="0"/>
          <w:i w:val="0"/>
          <w:color w:val="000000"/>
          <w:sz w:val="20"/>
        </w:rPr>
        <w:t>ecemb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er 31, 2024, 81% of IBRD’s total loans outstanding after derivatives, were denominated in U.S.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dollars, </w:t>
      </w:r>
      <w:r>
        <w:rPr>
          <w:shd w:val="clear" w:color="auto" w:fill="6d6d6d"/>
          <w:rFonts w:ascii="TimesNewRoman" w:hAnsi="TimesNewRoman" w:eastAsia="TimesNewRoman"/>
          <w:b w:val="0"/>
          <w:i w:val="0"/>
          <w:color w:val="000000"/>
          <w:sz w:val="20"/>
        </w:rPr>
        <w:t>and 1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8% were denominated in euro. For the regional presentation of loans outstanding, see Notes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Conden</w:t>
      </w:r>
      <w:r>
        <w:rPr>
          <w:shd w:val="clear" w:color="auto" w:fill="6d6d6d"/>
          <w:rFonts w:ascii="TimesNewRoman" w:hAnsi="TimesNewRoman" w:eastAsia="TimesNewRoman"/>
          <w:b w:val="0"/>
          <w:i w:val="0"/>
          <w:color w:val="000000"/>
          <w:sz w:val="20"/>
        </w:rPr>
        <w:t>sed Qu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arterly Financial Statements, Note D - Loans and other exposures, Table D6.</w:t>
      </w:r>
    </w:p>
    <w:p>
      <w:pPr>
        <w:autoSpaceDN w:val="0"/>
        <w:autoSpaceDE w:val="0"/>
        <w:widowControl/>
        <w:spacing w:line="240" w:lineRule="exact" w:before="120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Gross disbursements were $17.7 billion in FY25 YTD, a $0.4 billion decrease compared with the same period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FY24 (Table 4). </w:t>
      </w:r>
    </w:p>
    <w:p>
      <w:pPr>
        <w:autoSpaceDN w:val="0"/>
        <w:autoSpaceDE w:val="0"/>
        <w:widowControl/>
        <w:spacing w:line="202" w:lineRule="exact" w:before="200" w:after="0"/>
        <w:ind w:left="5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4: Gross Disbursements by Region</w:t>
      </w:r>
    </w:p>
    <w:p>
      <w:pPr>
        <w:autoSpaceDN w:val="0"/>
        <w:autoSpaceDE w:val="0"/>
        <w:widowControl/>
        <w:spacing w:line="180" w:lineRule="exact" w:before="66" w:after="34"/>
        <w:ind w:left="56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8"/>
        <w:gridCol w:w="1048"/>
        <w:gridCol w:w="1048"/>
        <w:gridCol w:w="1048"/>
        <w:gridCol w:w="1048"/>
        <w:gridCol w:w="1048"/>
        <w:gridCol w:w="1048"/>
        <w:gridCol w:w="1048"/>
        <w:gridCol w:w="1048"/>
      </w:tblGrid>
      <w:tr>
        <w:trPr>
          <w:trHeight w:hRule="exact" w:val="244"/>
        </w:trPr>
        <w:tc>
          <w:tcPr>
            <w:tcW w:type="dxa" w:w="4180"/>
            <w:tcBorders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For the six months ended December 31,</w:t>
            </w:r>
          </w:p>
        </w:tc>
        <w:tc>
          <w:tcPr>
            <w:tcW w:type="dxa" w:w="354"/>
            <w:tcBorders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14"/>
            <w:tcBorders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 xml:space="preserve">2024 </w:t>
            </w:r>
          </w:p>
        </w:tc>
        <w:tc>
          <w:tcPr>
            <w:tcW w:type="dxa" w:w="846"/>
            <w:tcBorders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% of total</w:t>
            </w:r>
          </w:p>
        </w:tc>
        <w:tc>
          <w:tcPr>
            <w:tcW w:type="dxa" w:w="430"/>
            <w:tcBorders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24"/>
            <w:tcBorders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 xml:space="preserve">2023 </w:t>
            </w:r>
          </w:p>
        </w:tc>
        <w:tc>
          <w:tcPr>
            <w:tcW w:type="dxa" w:w="846"/>
            <w:tcBorders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% of total</w:t>
            </w:r>
          </w:p>
        </w:tc>
        <w:tc>
          <w:tcPr>
            <w:tcW w:type="dxa" w:w="1110"/>
            <w:gridSpan w:val="2"/>
            <w:tcBorders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6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Variance</w:t>
            </w:r>
          </w:p>
        </w:tc>
      </w:tr>
      <w:tr>
        <w:trPr>
          <w:trHeight w:hRule="exact" w:val="236"/>
        </w:trPr>
        <w:tc>
          <w:tcPr>
            <w:tcW w:type="dxa" w:w="4180"/>
            <w:tcBorders>
              <w:top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Eastern and Southern Africa</w:t>
            </w:r>
          </w:p>
        </w:tc>
        <w:tc>
          <w:tcPr>
            <w:tcW w:type="dxa" w:w="354"/>
            <w:vMerge w:val="restart"/>
            <w:tcBorders>
              <w:top w:sz="4.0" w:val="single" w:color="#929292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4"/>
            <w:tcBorders>
              <w:top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609 </w:t>
            </w:r>
          </w:p>
        </w:tc>
        <w:tc>
          <w:tcPr>
            <w:tcW w:type="dxa" w:w="846"/>
            <w:tcBorders>
              <w:top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430"/>
            <w:vMerge w:val="restart"/>
            <w:tcBorders>
              <w:top w:sz="4.0" w:val="single" w:color="#929292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$ </w:t>
            </w:r>
          </w:p>
        </w:tc>
        <w:tc>
          <w:tcPr>
            <w:tcW w:type="dxa" w:w="824"/>
            <w:tcBorders>
              <w:top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637 </w:t>
            </w:r>
          </w:p>
        </w:tc>
        <w:tc>
          <w:tcPr>
            <w:tcW w:type="dxa" w:w="846"/>
            <w:tcBorders>
              <w:top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4 %</w:t>
            </w:r>
          </w:p>
        </w:tc>
        <w:tc>
          <w:tcPr>
            <w:tcW w:type="dxa" w:w="510"/>
            <w:tcBorders>
              <w:top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$ </w:t>
            </w:r>
          </w:p>
        </w:tc>
        <w:tc>
          <w:tcPr>
            <w:tcW w:type="dxa" w:w="600"/>
            <w:tcBorders>
              <w:top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(28) </w:t>
            </w:r>
          </w:p>
        </w:tc>
      </w:tr>
      <w:tr>
        <w:trPr>
          <w:trHeight w:hRule="exact" w:val="240"/>
        </w:trPr>
        <w:tc>
          <w:tcPr>
            <w:tcW w:type="dxa" w:w="4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Western and Central Africa</w:t>
            </w:r>
          </w:p>
        </w:tc>
        <w:tc>
          <w:tcPr>
            <w:tcW w:type="dxa" w:w="104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8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829 </w:t>
            </w:r>
          </w:p>
        </w:tc>
        <w:tc>
          <w:tcPr>
            <w:tcW w:type="dxa" w:w="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04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8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70 </w:t>
            </w:r>
          </w:p>
        </w:tc>
        <w:tc>
          <w:tcPr>
            <w:tcW w:type="dxa" w:w="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11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759 </w:t>
            </w:r>
          </w:p>
        </w:tc>
      </w:tr>
      <w:tr>
        <w:trPr>
          <w:trHeight w:hRule="exact" w:val="240"/>
        </w:trPr>
        <w:tc>
          <w:tcPr>
            <w:tcW w:type="dxa" w:w="4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East Asia and Pacific</w:t>
            </w:r>
          </w:p>
        </w:tc>
        <w:tc>
          <w:tcPr>
            <w:tcW w:type="dxa" w:w="104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8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2,700 </w:t>
            </w:r>
          </w:p>
        </w:tc>
        <w:tc>
          <w:tcPr>
            <w:tcW w:type="dxa" w:w="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15 </w:t>
            </w:r>
          </w:p>
        </w:tc>
        <w:tc>
          <w:tcPr>
            <w:tcW w:type="dxa" w:w="104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8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3,843 </w:t>
            </w:r>
          </w:p>
        </w:tc>
        <w:tc>
          <w:tcPr>
            <w:tcW w:type="dxa" w:w="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21 </w:t>
            </w:r>
          </w:p>
        </w:tc>
        <w:tc>
          <w:tcPr>
            <w:tcW w:type="dxa" w:w="11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(1,143) </w:t>
            </w:r>
          </w:p>
        </w:tc>
      </w:tr>
      <w:tr>
        <w:trPr>
          <w:trHeight w:hRule="exact" w:val="240"/>
        </w:trPr>
        <w:tc>
          <w:tcPr>
            <w:tcW w:type="dxa" w:w="4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Europe and Central Asia</w:t>
            </w:r>
          </w:p>
        </w:tc>
        <w:tc>
          <w:tcPr>
            <w:tcW w:type="dxa" w:w="104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8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6,170 </w:t>
            </w:r>
          </w:p>
        </w:tc>
        <w:tc>
          <w:tcPr>
            <w:tcW w:type="dxa" w:w="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35 </w:t>
            </w:r>
          </w:p>
        </w:tc>
        <w:tc>
          <w:tcPr>
            <w:tcW w:type="dxa" w:w="104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8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7,074 </w:t>
            </w:r>
          </w:p>
        </w:tc>
        <w:tc>
          <w:tcPr>
            <w:tcW w:type="dxa" w:w="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39 </w:t>
            </w:r>
          </w:p>
        </w:tc>
        <w:tc>
          <w:tcPr>
            <w:tcW w:type="dxa" w:w="11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(904) </w:t>
            </w:r>
          </w:p>
        </w:tc>
      </w:tr>
      <w:tr>
        <w:trPr>
          <w:trHeight w:hRule="exact" w:val="240"/>
        </w:trPr>
        <w:tc>
          <w:tcPr>
            <w:tcW w:type="dxa" w:w="4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Latin America and the Caribbean</w:t>
            </w:r>
          </w:p>
        </w:tc>
        <w:tc>
          <w:tcPr>
            <w:tcW w:type="dxa" w:w="104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8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3,182 </w:t>
            </w:r>
          </w:p>
        </w:tc>
        <w:tc>
          <w:tcPr>
            <w:tcW w:type="dxa" w:w="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18 </w:t>
            </w:r>
          </w:p>
        </w:tc>
        <w:tc>
          <w:tcPr>
            <w:tcW w:type="dxa" w:w="104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8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2,851 </w:t>
            </w:r>
          </w:p>
        </w:tc>
        <w:tc>
          <w:tcPr>
            <w:tcW w:type="dxa" w:w="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16 </w:t>
            </w:r>
          </w:p>
        </w:tc>
        <w:tc>
          <w:tcPr>
            <w:tcW w:type="dxa" w:w="11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331 </w:t>
            </w:r>
          </w:p>
        </w:tc>
      </w:tr>
      <w:tr>
        <w:trPr>
          <w:trHeight w:hRule="exact" w:val="240"/>
        </w:trPr>
        <w:tc>
          <w:tcPr>
            <w:tcW w:type="dxa" w:w="4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Middle East and North Africa</w:t>
            </w:r>
          </w:p>
        </w:tc>
        <w:tc>
          <w:tcPr>
            <w:tcW w:type="dxa" w:w="104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8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1,906 </w:t>
            </w:r>
          </w:p>
        </w:tc>
        <w:tc>
          <w:tcPr>
            <w:tcW w:type="dxa" w:w="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11 </w:t>
            </w:r>
          </w:p>
        </w:tc>
        <w:tc>
          <w:tcPr>
            <w:tcW w:type="dxa" w:w="104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8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1,133 </w:t>
            </w:r>
          </w:p>
        </w:tc>
        <w:tc>
          <w:tcPr>
            <w:tcW w:type="dxa" w:w="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6 </w:t>
            </w:r>
          </w:p>
        </w:tc>
        <w:tc>
          <w:tcPr>
            <w:tcW w:type="dxa" w:w="11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773 </w:t>
            </w:r>
          </w:p>
        </w:tc>
      </w:tr>
      <w:tr>
        <w:trPr>
          <w:trHeight w:hRule="exact" w:val="246"/>
        </w:trPr>
        <w:tc>
          <w:tcPr>
            <w:tcW w:type="dxa" w:w="418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South Asia</w:t>
            </w:r>
          </w:p>
        </w:tc>
        <w:tc>
          <w:tcPr>
            <w:tcW w:type="dxa" w:w="104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814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2,294 </w:t>
            </w:r>
          </w:p>
        </w:tc>
        <w:tc>
          <w:tcPr>
            <w:tcW w:type="dxa" w:w="84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13 </w:t>
            </w:r>
          </w:p>
        </w:tc>
        <w:tc>
          <w:tcPr>
            <w:tcW w:type="dxa" w:w="104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824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2,497 </w:t>
            </w:r>
          </w:p>
        </w:tc>
        <w:tc>
          <w:tcPr>
            <w:tcW w:type="dxa" w:w="84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14 </w:t>
            </w:r>
          </w:p>
        </w:tc>
        <w:tc>
          <w:tcPr>
            <w:tcW w:type="dxa" w:w="1110"/>
            <w:gridSpan w:val="2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(203) </w:t>
            </w:r>
          </w:p>
        </w:tc>
      </w:tr>
      <w:tr>
        <w:trPr>
          <w:trHeight w:hRule="exact" w:val="220"/>
        </w:trPr>
        <w:tc>
          <w:tcPr>
            <w:tcW w:type="dxa" w:w="418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5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7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17,690 </w:t>
            </w:r>
          </w:p>
        </w:tc>
        <w:tc>
          <w:tcPr>
            <w:tcW w:type="dxa" w:w="84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2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  <w:tc>
          <w:tcPr>
            <w:tcW w:type="dxa" w:w="43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$ </w:t>
            </w:r>
          </w:p>
        </w:tc>
        <w:tc>
          <w:tcPr>
            <w:tcW w:type="dxa" w:w="82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18,105 </w:t>
            </w:r>
          </w:p>
        </w:tc>
        <w:tc>
          <w:tcPr>
            <w:tcW w:type="dxa" w:w="84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2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  <w:tc>
          <w:tcPr>
            <w:tcW w:type="dxa" w:w="51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$ </w:t>
            </w:r>
          </w:p>
        </w:tc>
        <w:tc>
          <w:tcPr>
            <w:tcW w:type="dxa" w:w="600"/>
            <w:vMerge w:val="restart"/>
            <w:tcBorders>
              <w:top w:sz="8.0" w:val="single" w:color="#000000"/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(415) </w:t>
            </w:r>
          </w:p>
        </w:tc>
      </w:tr>
      <w:tr>
        <w:trPr>
          <w:trHeight w:hRule="exact" w:val="214"/>
        </w:trPr>
        <w:tc>
          <w:tcPr>
            <w:tcW w:type="dxa" w:w="4180"/>
            <w:tcBorders>
              <w:top w:sz="8.0" w:val="single" w:color="#000000"/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4"/>
            <w:tcBorders>
              <w:top w:sz="8.0" w:val="single" w:color="#000000"/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14"/>
            <w:tcBorders>
              <w:top w:sz="8.0" w:val="single" w:color="#000000"/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top w:sz="8.0" w:val="single" w:color="#000000"/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30"/>
            <w:tcBorders>
              <w:top w:sz="8.0" w:val="single" w:color="#000000"/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24"/>
            <w:tcBorders>
              <w:top w:sz="8.0" w:val="single" w:color="#000000"/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top w:sz="8.0" w:val="single" w:color="#000000"/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top w:sz="8.0" w:val="single" w:color="#000000"/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48"/>
            <w:vMerge/>
            <w:tcBorders>
              <w:top w:sz="8.0" w:val="single" w:color="#000000"/>
              <w:bottom w:sz="4.0" w:val="single" w:color="#929292"/>
            </w:tcBorders>
          </w:tcPr>
          <w:p/>
        </w:tc>
      </w:tr>
    </w:tbl>
    <w:p>
      <w:pPr>
        <w:autoSpaceDN w:val="0"/>
        <w:autoSpaceDE w:val="0"/>
        <w:widowControl/>
        <w:spacing w:line="180" w:lineRule="exact" w:before="72" w:after="0"/>
        <w:ind w:left="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* Indicates percentage less than 0.5%.</w:t>
      </w:r>
    </w:p>
    <w:p>
      <w:pPr>
        <w:autoSpaceDN w:val="0"/>
        <w:autoSpaceDE w:val="0"/>
        <w:widowControl/>
        <w:spacing w:line="224" w:lineRule="exact" w:before="2074" w:after="0"/>
        <w:ind w:left="0" w:right="7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December 31, 2024     11</w:t>
      </w:r>
    </w:p>
    <w:p>
      <w:pPr>
        <w:sectPr>
          <w:pgSz w:w="12240" w:h="15840"/>
          <w:pgMar w:top="256" w:right="1370" w:bottom="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0"/>
        <w:gridCol w:w="4720"/>
      </w:tblGrid>
      <w:tr>
        <w:trPr>
          <w:trHeight w:hRule="exact" w:val="286"/>
        </w:trPr>
        <w:tc>
          <w:tcPr>
            <w:tcW w:type="dxa" w:w="3956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III: Financial Results</w:t>
            </w:r>
          </w:p>
        </w:tc>
      </w:tr>
    </w:tbl>
    <w:p>
      <w:pPr>
        <w:autoSpaceDN w:val="0"/>
        <w:autoSpaceDE w:val="0"/>
        <w:widowControl/>
        <w:spacing w:line="240" w:lineRule="exact" w:before="226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Net commitments were $17.7 billion in FY25 YTD, a $2.7 billion increase compared with the same period in FY24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(Table 5).</w:t>
      </w:r>
    </w:p>
    <w:p>
      <w:pPr>
        <w:autoSpaceDN w:val="0"/>
        <w:autoSpaceDE w:val="0"/>
        <w:widowControl/>
        <w:spacing w:line="202" w:lineRule="exact" w:before="200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5: Net Commitments by Region</w:t>
      </w:r>
    </w:p>
    <w:p>
      <w:pPr>
        <w:autoSpaceDN w:val="0"/>
        <w:autoSpaceDE w:val="0"/>
        <w:widowControl/>
        <w:spacing w:line="180" w:lineRule="exact" w:before="66" w:after="34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46"/>
        </w:trPr>
        <w:tc>
          <w:tcPr>
            <w:tcW w:type="dxa" w:w="4180"/>
            <w:tcBorders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For the six months ended December 31,</w:t>
            </w:r>
          </w:p>
        </w:tc>
        <w:tc>
          <w:tcPr>
            <w:tcW w:type="dxa" w:w="304"/>
            <w:tcBorders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90"/>
            <w:tcBorders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2024</w:t>
            </w:r>
          </w:p>
        </w:tc>
        <w:tc>
          <w:tcPr>
            <w:tcW w:type="dxa" w:w="990"/>
            <w:tcBorders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23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% of total</w:t>
            </w:r>
          </w:p>
        </w:tc>
        <w:tc>
          <w:tcPr>
            <w:tcW w:type="dxa" w:w="400"/>
            <w:tcBorders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50"/>
            <w:tcBorders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2023</w:t>
            </w:r>
          </w:p>
        </w:tc>
        <w:tc>
          <w:tcPr>
            <w:tcW w:type="dxa" w:w="990"/>
            <w:tcBorders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23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% of total</w:t>
            </w:r>
          </w:p>
        </w:tc>
        <w:tc>
          <w:tcPr>
            <w:tcW w:type="dxa" w:w="340"/>
            <w:tcBorders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30"/>
            <w:tcBorders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Variance</w:t>
            </w:r>
          </w:p>
        </w:tc>
      </w:tr>
      <w:tr>
        <w:trPr>
          <w:trHeight w:hRule="exact" w:val="230"/>
        </w:trPr>
        <w:tc>
          <w:tcPr>
            <w:tcW w:type="dxa" w:w="4180"/>
            <w:tcBorders>
              <w:top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Eastern and Southern Africa</w:t>
            </w:r>
          </w:p>
        </w:tc>
        <w:tc>
          <w:tcPr>
            <w:tcW w:type="dxa" w:w="304"/>
            <w:vMerge w:val="restart"/>
            <w:tcBorders>
              <w:top w:sz="4.0" w:val="single" w:color="#929292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0"/>
            <w:tcBorders>
              <w:top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1,003 </w:t>
            </w:r>
          </w:p>
        </w:tc>
        <w:tc>
          <w:tcPr>
            <w:tcW w:type="dxa" w:w="990"/>
            <w:tcBorders>
              <w:top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6 %</w:t>
            </w:r>
          </w:p>
        </w:tc>
        <w:tc>
          <w:tcPr>
            <w:tcW w:type="dxa" w:w="400"/>
            <w:vMerge w:val="restart"/>
            <w:tcBorders>
              <w:top w:sz="4.0" w:val="single" w:color="#929292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0"/>
            <w:tcBorders>
              <w:top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1,334 </w:t>
            </w:r>
          </w:p>
        </w:tc>
        <w:tc>
          <w:tcPr>
            <w:tcW w:type="dxa" w:w="990"/>
            <w:tcBorders>
              <w:top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9 %</w:t>
            </w:r>
          </w:p>
        </w:tc>
        <w:tc>
          <w:tcPr>
            <w:tcW w:type="dxa" w:w="340"/>
            <w:vMerge w:val="restart"/>
            <w:tcBorders>
              <w:top w:sz="4.0" w:val="single" w:color="#929292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30"/>
            <w:tcBorders>
              <w:top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(331) </w:t>
            </w:r>
          </w:p>
        </w:tc>
      </w:tr>
      <w:tr>
        <w:trPr>
          <w:trHeight w:hRule="exact" w:val="240"/>
        </w:trPr>
        <w:tc>
          <w:tcPr>
            <w:tcW w:type="dxa" w:w="4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Western and Central Africa</w:t>
            </w:r>
          </w:p>
        </w:tc>
        <w:tc>
          <w:tcPr>
            <w:tcW w:type="dxa" w:w="1049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6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544 </w:t>
            </w:r>
          </w:p>
        </w:tc>
        <w:tc>
          <w:tcPr>
            <w:tcW w:type="dxa" w:w="9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3 </w:t>
            </w:r>
          </w:p>
        </w:tc>
        <w:tc>
          <w:tcPr>
            <w:tcW w:type="dxa" w:w="1049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6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 </w:t>
            </w:r>
          </w:p>
        </w:tc>
        <w:tc>
          <w:tcPr>
            <w:tcW w:type="dxa" w:w="9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1049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8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509 </w:t>
            </w:r>
          </w:p>
        </w:tc>
      </w:tr>
      <w:tr>
        <w:trPr>
          <w:trHeight w:hRule="exact" w:val="240"/>
        </w:trPr>
        <w:tc>
          <w:tcPr>
            <w:tcW w:type="dxa" w:w="4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East Asia and Pacific</w:t>
            </w:r>
          </w:p>
        </w:tc>
        <w:tc>
          <w:tcPr>
            <w:tcW w:type="dxa" w:w="1049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6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1,737 </w:t>
            </w:r>
          </w:p>
        </w:tc>
        <w:tc>
          <w:tcPr>
            <w:tcW w:type="dxa" w:w="9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 </w:t>
            </w:r>
          </w:p>
        </w:tc>
        <w:tc>
          <w:tcPr>
            <w:tcW w:type="dxa" w:w="1049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6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4,114 </w:t>
            </w:r>
          </w:p>
        </w:tc>
        <w:tc>
          <w:tcPr>
            <w:tcW w:type="dxa" w:w="9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27 </w:t>
            </w:r>
          </w:p>
        </w:tc>
        <w:tc>
          <w:tcPr>
            <w:tcW w:type="dxa" w:w="1049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8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(2,377) </w:t>
            </w:r>
          </w:p>
        </w:tc>
      </w:tr>
      <w:tr>
        <w:trPr>
          <w:trHeight w:hRule="exact" w:val="240"/>
        </w:trPr>
        <w:tc>
          <w:tcPr>
            <w:tcW w:type="dxa" w:w="4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Europe and Central Asia</w:t>
            </w:r>
          </w:p>
        </w:tc>
        <w:tc>
          <w:tcPr>
            <w:tcW w:type="dxa" w:w="1049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6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7,284 </w:t>
            </w:r>
          </w:p>
        </w:tc>
        <w:tc>
          <w:tcPr>
            <w:tcW w:type="dxa" w:w="9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41 </w:t>
            </w:r>
          </w:p>
        </w:tc>
        <w:tc>
          <w:tcPr>
            <w:tcW w:type="dxa" w:w="1049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6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3,336 </w:t>
            </w:r>
          </w:p>
        </w:tc>
        <w:tc>
          <w:tcPr>
            <w:tcW w:type="dxa" w:w="9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22 </w:t>
            </w:r>
          </w:p>
        </w:tc>
        <w:tc>
          <w:tcPr>
            <w:tcW w:type="dxa" w:w="1049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8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3,948 </w:t>
            </w:r>
          </w:p>
        </w:tc>
      </w:tr>
      <w:tr>
        <w:trPr>
          <w:trHeight w:hRule="exact" w:val="240"/>
        </w:trPr>
        <w:tc>
          <w:tcPr>
            <w:tcW w:type="dxa" w:w="4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Latin America and the Caribbean</w:t>
            </w:r>
          </w:p>
        </w:tc>
        <w:tc>
          <w:tcPr>
            <w:tcW w:type="dxa" w:w="1049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6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4,331 </w:t>
            </w:r>
          </w:p>
        </w:tc>
        <w:tc>
          <w:tcPr>
            <w:tcW w:type="dxa" w:w="9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24 </w:t>
            </w:r>
          </w:p>
        </w:tc>
        <w:tc>
          <w:tcPr>
            <w:tcW w:type="dxa" w:w="1049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6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4,581 </w:t>
            </w:r>
          </w:p>
        </w:tc>
        <w:tc>
          <w:tcPr>
            <w:tcW w:type="dxa" w:w="9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31 </w:t>
            </w:r>
          </w:p>
        </w:tc>
        <w:tc>
          <w:tcPr>
            <w:tcW w:type="dxa" w:w="1049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8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(250) </w:t>
            </w:r>
          </w:p>
        </w:tc>
      </w:tr>
      <w:tr>
        <w:trPr>
          <w:trHeight w:hRule="exact" w:val="240"/>
        </w:trPr>
        <w:tc>
          <w:tcPr>
            <w:tcW w:type="dxa" w:w="4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Middle East and North Africa</w:t>
            </w:r>
          </w:p>
        </w:tc>
        <w:tc>
          <w:tcPr>
            <w:tcW w:type="dxa" w:w="1049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6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820 </w:t>
            </w:r>
          </w:p>
        </w:tc>
        <w:tc>
          <w:tcPr>
            <w:tcW w:type="dxa" w:w="9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 </w:t>
            </w:r>
          </w:p>
        </w:tc>
        <w:tc>
          <w:tcPr>
            <w:tcW w:type="dxa" w:w="1049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6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1,150 </w:t>
            </w:r>
          </w:p>
        </w:tc>
        <w:tc>
          <w:tcPr>
            <w:tcW w:type="dxa" w:w="9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 </w:t>
            </w:r>
          </w:p>
        </w:tc>
        <w:tc>
          <w:tcPr>
            <w:tcW w:type="dxa" w:w="1049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8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(330) </w:t>
            </w:r>
          </w:p>
        </w:tc>
      </w:tr>
      <w:tr>
        <w:trPr>
          <w:trHeight w:hRule="exact" w:val="250"/>
        </w:trPr>
        <w:tc>
          <w:tcPr>
            <w:tcW w:type="dxa" w:w="418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South Asia</w:t>
            </w:r>
          </w:p>
        </w:tc>
        <w:tc>
          <w:tcPr>
            <w:tcW w:type="dxa" w:w="1049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69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1,979 </w:t>
            </w:r>
          </w:p>
        </w:tc>
        <w:tc>
          <w:tcPr>
            <w:tcW w:type="dxa" w:w="99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11 </w:t>
            </w:r>
          </w:p>
        </w:tc>
        <w:tc>
          <w:tcPr>
            <w:tcW w:type="dxa" w:w="1049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65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446 </w:t>
            </w:r>
          </w:p>
        </w:tc>
        <w:tc>
          <w:tcPr>
            <w:tcW w:type="dxa" w:w="99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3 </w:t>
            </w:r>
          </w:p>
        </w:tc>
        <w:tc>
          <w:tcPr>
            <w:tcW w:type="dxa" w:w="1049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83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1,533 </w:t>
            </w:r>
          </w:p>
        </w:tc>
      </w:tr>
      <w:tr>
        <w:trPr>
          <w:trHeight w:hRule="exact" w:val="220"/>
        </w:trPr>
        <w:tc>
          <w:tcPr>
            <w:tcW w:type="dxa" w:w="418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0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17,698 </w:t>
            </w:r>
          </w:p>
        </w:tc>
        <w:tc>
          <w:tcPr>
            <w:tcW w:type="dxa" w:w="99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2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14,996 </w:t>
            </w:r>
          </w:p>
        </w:tc>
        <w:tc>
          <w:tcPr>
            <w:tcW w:type="dxa" w:w="99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2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  <w:tc>
          <w:tcPr>
            <w:tcW w:type="dxa" w:w="34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3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2,702 </w:t>
            </w:r>
          </w:p>
        </w:tc>
      </w:tr>
      <w:tr>
        <w:trPr>
          <w:trHeight w:hRule="exact" w:val="80"/>
        </w:trPr>
        <w:tc>
          <w:tcPr>
            <w:tcW w:type="dxa" w:w="4180"/>
            <w:tcBorders>
              <w:top w:sz="8.0" w:val="single" w:color="#000000"/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04"/>
            <w:tcBorders>
              <w:top w:sz="8.0" w:val="single" w:color="#000000"/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90"/>
            <w:tcBorders>
              <w:top w:sz="8.0" w:val="single" w:color="#000000"/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90"/>
            <w:tcBorders>
              <w:top w:sz="8.0" w:val="single" w:color="#000000"/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>
              <w:top w:sz="8.0" w:val="single" w:color="#000000"/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50"/>
            <w:tcBorders>
              <w:top w:sz="8.0" w:val="single" w:color="#000000"/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90"/>
            <w:tcBorders>
              <w:top w:sz="8.0" w:val="single" w:color="#000000"/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0"/>
            <w:tcBorders>
              <w:top w:sz="8.0" w:val="single" w:color="#000000"/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30"/>
            <w:tcBorders>
              <w:top w:sz="8.0" w:val="single" w:color="#000000"/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78" w:lineRule="exact" w:before="72" w:after="0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* Indicates percentage less than 0.5%.</w:t>
      </w:r>
    </w:p>
    <w:p>
      <w:pPr>
        <w:autoSpaceDN w:val="0"/>
        <w:autoSpaceDE w:val="0"/>
        <w:widowControl/>
        <w:spacing w:line="244" w:lineRule="exact" w:before="17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>Climate Resilient Debt Clause (CRDC)</w:t>
      </w:r>
    </w:p>
    <w:p>
      <w:pPr>
        <w:autoSpaceDN w:val="0"/>
        <w:autoSpaceDE w:val="0"/>
        <w:widowControl/>
        <w:spacing w:line="240" w:lineRule="exact" w:before="126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offers CRDCs for eligible new and existing loans (with minimum remaining maturity of five years),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certain borrowers</w:t>
      </w:r>
      <w:r>
        <w:rPr>
          <w:rFonts w:ascii="TimesNewRoman" w:hAnsi="TimesNewRoman" w:eastAsia="TimesNewRoman"/>
          <w:b w:val="0"/>
          <w:i w:val="0"/>
          <w:color w:val="000000"/>
          <w:sz w:val="13"/>
        </w:rPr>
        <w:t>3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. CRDCs allow eligible borrowing countries to defer payments of principal and/or interest (and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other loan charges) for up to two years after an eligible event. After the deferral period, the borrower will restart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payments of the deferred amounts according to a modified amortization schedule that maintains the original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weighted average maturity of the loan and does not extend the final maturity date. The eligible events when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clause was first offered were tropical cyclones and earthquakes. In October 2024, the Board approved an extension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the covered events to include all natural catastrophes, including droughts, floods, and public health emergencies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caused by a biological event. Total loans outstanding as of December 31, 2024 for the 24 countries that are eligible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CRDCs was $5.4 billion. As of December 31, 2024, out of 24 eligible countries (including Blend countries), 9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countries elected to include CRDCs in their loans, totaling $2.9 billion of outstanding principal. </w:t>
      </w:r>
    </w:p>
    <w:p>
      <w:pPr>
        <w:autoSpaceDN w:val="0"/>
        <w:autoSpaceDE w:val="0"/>
        <w:widowControl/>
        <w:spacing w:line="244" w:lineRule="exact" w:before="19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Results from Investing Activities</w:t>
      </w:r>
    </w:p>
    <w:p>
      <w:pPr>
        <w:autoSpaceDN w:val="0"/>
        <w:autoSpaceDE w:val="0"/>
        <w:widowControl/>
        <w:spacing w:line="244" w:lineRule="exact" w:before="126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>Net Investment Portfolio</w:t>
      </w:r>
    </w:p>
    <w:p>
      <w:pPr>
        <w:autoSpaceDN w:val="0"/>
        <w:autoSpaceDE w:val="0"/>
        <w:widowControl/>
        <w:spacing w:line="240" w:lineRule="exact" w:before="126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net investment portfolio was $91.8 billion as of December 31, 2024 ($82.7 billion as of June 30, 2024).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this amount, $87.6 billion related to the liquid asset portfolio ($78.8 billion as of June 30, 2024). See Notes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Condensed Quarterly Financial Statements, Note C - Investments. The increase in the liquid asset portfolio 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primarily due to the net new debt issuances that were higher than net loan disbursements during the period, and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line with the higher target liquidity level in FY25 (Table 14).</w:t>
      </w:r>
    </w:p>
    <w:p>
      <w:pPr>
        <w:autoSpaceDN w:val="0"/>
        <w:autoSpaceDE w:val="0"/>
        <w:widowControl/>
        <w:spacing w:line="244" w:lineRule="exact" w:before="134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>Net Investment Revenue</w:t>
      </w:r>
    </w:p>
    <w:p>
      <w:pPr>
        <w:autoSpaceDN w:val="0"/>
        <w:autoSpaceDE w:val="0"/>
        <w:widowControl/>
        <w:spacing w:line="240" w:lineRule="exact" w:before="126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net investment revenue was $18 million as of December 31, 2024, $38 million lower in FY25 YTD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compared to FY24 YTD. The decrease was primarily driven by higher funding costs that exceeded the increase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investment interest income mainly due to the higher average investment balance.</w:t>
      </w:r>
    </w:p>
    <w:p>
      <w:pPr>
        <w:autoSpaceDN w:val="0"/>
        <w:autoSpaceDE w:val="0"/>
        <w:widowControl/>
        <w:spacing w:line="234" w:lineRule="exact" w:before="3324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13"/>
        </w:rPr>
        <w:t>3</w:t>
      </w:r>
      <w:r>
        <w:rPr>
          <w:rFonts w:ascii="Arial" w:hAnsi="Arial" w:eastAsia="Arial"/>
          <w:b w:val="0"/>
          <w:i/>
          <w:color w:val="000000"/>
          <w:sz w:val="14"/>
        </w:rPr>
        <w:t xml:space="preserve">Eligible borrowers are IBRD Small State Economies, members of the Small States Forum, and Small Island Developing States as defined by the </w:t>
      </w:r>
    </w:p>
    <w:p>
      <w:pPr>
        <w:autoSpaceDN w:val="0"/>
        <w:autoSpaceDE w:val="0"/>
        <w:widowControl/>
        <w:spacing w:line="156" w:lineRule="exact" w:before="48" w:after="0"/>
        <w:ind w:left="10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4"/>
        </w:rPr>
        <w:t>United Nations.</w:t>
      </w:r>
    </w:p>
    <w:p>
      <w:pPr>
        <w:autoSpaceDN w:val="0"/>
        <w:autoSpaceDE w:val="0"/>
        <w:widowControl/>
        <w:spacing w:line="224" w:lineRule="exact" w:before="622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12     IBRD Management's Discussion and Analysis: December 31, 2024</w:t>
      </w:r>
    </w:p>
    <w:p>
      <w:pPr>
        <w:sectPr>
          <w:pgSz w:w="12240" w:h="15840"/>
          <w:pgMar w:top="256" w:right="1370" w:bottom="1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5"/>
        <w:gridCol w:w="4715"/>
      </w:tblGrid>
      <w:tr>
        <w:trPr>
          <w:trHeight w:hRule="exact" w:val="286"/>
        </w:trPr>
        <w:tc>
          <w:tcPr>
            <w:tcW w:type="dxa" w:w="3956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III: Financial Results</w:t>
            </w:r>
          </w:p>
        </w:tc>
      </w:tr>
      <w:tr>
        <w:trPr>
          <w:trHeight w:hRule="exact" w:val="710"/>
        </w:trPr>
        <w:tc>
          <w:tcPr>
            <w:tcW w:type="dxa" w:w="3956"/>
            <w:tcBorders>
              <w:top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54" w:after="0"/>
              <w:ind w:left="180" w:right="86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Figure 6: Net Investment Portfolio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billions of U.S. dollars</w:t>
            </w:r>
          </w:p>
        </w:tc>
        <w:tc>
          <w:tcPr>
            <w:tcW w:type="dxa" w:w="5408"/>
            <w:tcBorders>
              <w:top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54" w:after="0"/>
              <w:ind w:left="1264" w:right="115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Figure 7: Investment Revenue, net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millions of U.S. dollars, YTD</w:t>
            </w:r>
          </w:p>
        </w:tc>
      </w:tr>
    </w:tbl>
    <w:p>
      <w:pPr>
        <w:autoSpaceDN w:val="0"/>
        <w:tabs>
          <w:tab w:pos="5238" w:val="left"/>
        </w:tabs>
        <w:autoSpaceDE w:val="0"/>
        <w:widowControl/>
        <w:spacing w:line="180" w:lineRule="exact" w:before="252" w:after="2"/>
        <w:ind w:left="1470" w:right="3888" w:firstLine="0"/>
        <w:jc w:val="left"/>
      </w:pPr>
      <w:r>
        <w:rPr>
          <w:rFonts w:ascii="ArialMT" w:hAnsi="ArialMT" w:eastAsia="ArialMT"/>
          <w:b w:val="0"/>
          <w:i w:val="0"/>
          <w:color w:val="595959"/>
          <w:sz w:val="16"/>
        </w:rPr>
        <w:t xml:space="preserve">120 </w:t>
      </w:r>
      <w:r>
        <w:br/>
      </w:r>
      <w:r>
        <w:rPr>
          <w:rFonts w:ascii="ArialMT" w:hAnsi="ArialMT" w:eastAsia="ArialMT"/>
          <w:b w:val="0"/>
          <w:i w:val="0"/>
          <w:color w:val="595959"/>
          <w:sz w:val="16"/>
        </w:rPr>
        <w:t>Liquid asset portfolio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rPr>
          <w:trHeight w:hRule="exact" w:val="165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4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9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Other investment portfolios</w:t>
            </w:r>
          </w:p>
        </w:tc>
        <w:tc>
          <w:tcPr>
            <w:tcW w:type="dxa" w:w="93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584"/>
            <w:gridSpan w:val="5"/>
            <w:vMerge w:val="restart"/>
            <w:tcBorders>
              <w:bottom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73300" cy="9779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3300" cy="977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16"/>
        </w:trPr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3930"/>
            <w:gridSpan w:val="5"/>
            <w:vMerge/>
            <w:tcBorders/>
          </w:tcPr>
          <w:p/>
        </w:tc>
        <w:tc>
          <w:tcPr>
            <w:tcW w:type="dxa" w:w="9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6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80</w:t>
            </w:r>
          </w:p>
        </w:tc>
        <w:tc>
          <w:tcPr>
            <w:tcW w:type="dxa" w:w="3930"/>
            <w:gridSpan w:val="5"/>
            <w:vMerge/>
            <w:tcBorders>
              <w:bottom w:sz="6.0" w:val="single" w:color="#E5E6E5"/>
            </w:tcBorders>
          </w:tcPr>
          <w:p/>
        </w:tc>
      </w:tr>
      <w:tr>
        <w:trPr>
          <w:trHeight w:hRule="exact" w:val="348"/>
        </w:trPr>
        <w:tc>
          <w:tcPr>
            <w:tcW w:type="dxa" w:w="786"/>
            <w:vMerge/>
            <w:tcBorders/>
          </w:tcPr>
          <w:p/>
        </w:tc>
        <w:tc>
          <w:tcPr>
            <w:tcW w:type="dxa" w:w="4240"/>
            <w:gridSpan w:val="5"/>
            <w:vMerge w:val="restart"/>
            <w:tcBorders>
              <w:bottom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5.99999999999994" w:type="dxa"/>
            </w:tblPr>
            <w:tblGrid>
              <w:gridCol w:w="707"/>
              <w:gridCol w:w="707"/>
              <w:gridCol w:w="707"/>
              <w:gridCol w:w="707"/>
              <w:gridCol w:w="707"/>
              <w:gridCol w:w="707"/>
            </w:tblGrid>
            <w:tr>
              <w:trPr>
                <w:trHeight w:hRule="exact" w:val="310"/>
              </w:trPr>
              <w:tc>
                <w:tcPr>
                  <w:tcW w:type="dxa" w:w="3586"/>
                  <w:tcBorders>
                    <w:start w:sz="6.0" w:val="single" w:color="#898A89"/>
                    <w:bottom w:sz="6.0" w:val="single" w:color="#484948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85.99999999999994" w:type="dxa"/>
                  </w:tblPr>
                  <w:tblGrid>
                    <w:gridCol w:w="717"/>
                    <w:gridCol w:w="717"/>
                    <w:gridCol w:w="717"/>
                    <w:gridCol w:w="717"/>
                    <w:gridCol w:w="717"/>
                  </w:tblGrid>
                  <w:tr>
                    <w:trPr>
                      <w:trHeight w:hRule="exact" w:val="282"/>
                    </w:trPr>
                    <w:tc>
                      <w:tcPr>
                        <w:tcW w:type="dxa" w:w="346"/>
                        <w:tcBorders>
                          <w:bottom w:sz="18.399999999999864" w:val="single" w:color="#6D6D6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6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3.1</w:t>
                        </w:r>
                      </w:p>
                    </w:tc>
                    <w:tc>
                      <w:tcPr>
                        <w:tcW w:type="dxa" w:w="714"/>
                        <w:tcBorders>
                          <w:bottom w:sz="18.399999999999864" w:val="single" w:color="#6D6D6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78" w:after="0"/>
                          <w:ind w:left="0" w:right="78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3.3</w:t>
                        </w:r>
                      </w:p>
                    </w:tc>
                    <w:tc>
                      <w:tcPr>
                        <w:tcW w:type="dxa" w:w="714"/>
                        <w:tcBorders>
                          <w:bottom w:sz="18.399999999999864" w:val="single" w:color="#6D6D6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80" w:after="0"/>
                          <w:ind w:left="0" w:right="72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3.8</w:t>
                        </w:r>
                      </w:p>
                    </w:tc>
                    <w:tc>
                      <w:tcPr>
                        <w:tcW w:type="dxa" w:w="714"/>
                        <w:tcBorders>
                          <w:bottom w:sz="18.399999999999864" w:val="single" w:color="#6D6D6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78" w:after="0"/>
                          <w:ind w:left="0" w:right="66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3.9</w:t>
                        </w:r>
                      </w:p>
                    </w:tc>
                    <w:tc>
                      <w:tcPr>
                        <w:tcW w:type="dxa" w:w="714"/>
                        <w:tcBorders>
                          <w:bottom w:sz="18.399999999999864" w:val="single" w:color="#6D6D6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0" w:after="0"/>
                          <w:ind w:left="0" w:right="74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4.2</w:t>
                        </w:r>
                      </w:p>
                    </w:tc>
                  </w:tr>
                  <w:tr>
                    <w:trPr>
                      <w:trHeight w:hRule="exact" w:val="52"/>
                    </w:trPr>
                    <w:tc>
                      <w:tcPr>
                        <w:tcW w:type="dxa" w:w="346"/>
                        <w:tcBorders>
                          <w:top w:sz="18.399999999999864" w:val="single" w:color="#6D6D6D"/>
                          <w:bottom w:sz="24.0" w:val="single" w:color="#6D6D6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14"/>
                        <w:tcBorders>
                          <w:top w:sz="18.399999999999864" w:val="single" w:color="#6D6D6D"/>
                          <w:bottom w:sz="24.0" w:val="single" w:color="#6D6D6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14"/>
                        <w:tcBorders>
                          <w:top w:sz="18.399999999999864" w:val="single" w:color="#6D6D6D"/>
                          <w:bottom w:sz="24.0" w:val="single" w:color="#6D6D6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14"/>
                        <w:tcBorders>
                          <w:top w:sz="18.399999999999864" w:val="single" w:color="#6D6D6D"/>
                          <w:bottom w:sz="24.0" w:val="single" w:color="#6D6D6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14"/>
                        <w:tcBorders>
                          <w:top w:sz="18.399999999999864" w:val="single" w:color="#6D6D6D"/>
                          <w:bottom w:sz="24.0" w:val="single" w:color="#6D6D6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804"/>
                    </w:trPr>
                    <w:tc>
                      <w:tcPr>
                        <w:tcW w:type="dxa" w:w="346"/>
                        <w:tcBorders>
                          <w:top w:sz="24.0" w:val="single" w:color="#6D6D6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51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82.8</w:t>
                        </w:r>
                      </w:p>
                    </w:tc>
                    <w:tc>
                      <w:tcPr>
                        <w:tcW w:type="dxa" w:w="714"/>
                        <w:tcBorders>
                          <w:top w:sz="24.0" w:val="single" w:color="#6D6D6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540" w:after="0"/>
                          <w:ind w:left="0" w:right="34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78.8</w:t>
                        </w:r>
                      </w:p>
                    </w:tc>
                    <w:tc>
                      <w:tcPr>
                        <w:tcW w:type="dxa" w:w="714"/>
                        <w:tcBorders>
                          <w:top w:sz="24.0" w:val="single" w:color="#6D6D6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556" w:after="0"/>
                          <w:ind w:left="0" w:right="28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75.4</w:t>
                        </w:r>
                      </w:p>
                    </w:tc>
                    <w:tc>
                      <w:tcPr>
                        <w:tcW w:type="dxa" w:w="714"/>
                        <w:tcBorders>
                          <w:top w:sz="24.0" w:val="single" w:color="#6D6D6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540" w:after="0"/>
                          <w:ind w:left="0" w:right="22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78.8</w:t>
                        </w:r>
                      </w:p>
                    </w:tc>
                    <w:tc>
                      <w:tcPr>
                        <w:tcW w:type="dxa" w:w="714"/>
                        <w:tcBorders>
                          <w:top w:sz="24.0" w:val="single" w:color="#6D6D6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466" w:after="0"/>
                          <w:ind w:left="0" w:right="30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87.6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707"/>
                  <w:tcBorders>
                    <w:start w:sz="6.0" w:val="single" w:color="#898A89"/>
                    <w:bottom w:sz="6.0" w:val="single" w:color="#48494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07"/>
                  <w:tcBorders>
                    <w:start w:sz="6.0" w:val="single" w:color="#898A89"/>
                    <w:bottom w:sz="6.0" w:val="single" w:color="#48494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07"/>
                  <w:tcBorders>
                    <w:start w:sz="6.0" w:val="single" w:color="#898A89"/>
                    <w:bottom w:sz="6.0" w:val="single" w:color="#48494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07"/>
                  <w:tcBorders>
                    <w:start w:sz="6.0" w:val="single" w:color="#898A89"/>
                    <w:bottom w:sz="6.0" w:val="single" w:color="#48494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07"/>
                  <w:tcBorders>
                    <w:start w:sz="6.0" w:val="single" w:color="#898A89"/>
                    <w:bottom w:sz="6.0" w:val="single" w:color="#48494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6"/>
            <w:vMerge/>
            <w:tcBorders/>
          </w:tcPr>
          <w:p/>
        </w:tc>
        <w:tc>
          <w:tcPr>
            <w:tcW w:type="dxa" w:w="3930"/>
            <w:gridSpan w:val="5"/>
            <w:vMerge/>
            <w:tcBorders>
              <w:bottom w:sz="6.0" w:val="single" w:color="#E5E6E5"/>
            </w:tcBorders>
          </w:tcPr>
          <w:p/>
        </w:tc>
      </w:tr>
      <w:tr>
        <w:trPr>
          <w:trHeight w:hRule="exact" w:val="76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930"/>
            <w:gridSpan w:val="5"/>
            <w:vMerge/>
            <w:tcBorders>
              <w:bottom w:sz="6.0" w:val="single" w:color="#E5E6E5"/>
            </w:tcBorders>
          </w:tcPr>
          <w:p/>
        </w:tc>
        <w:tc>
          <w:tcPr>
            <w:tcW w:type="dxa" w:w="93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930"/>
            <w:gridSpan w:val="5"/>
            <w:vMerge/>
            <w:tcBorders>
              <w:bottom w:sz="6.0" w:val="single" w:color="#E5E6E5"/>
            </w:tcBorders>
          </w:tcPr>
          <w:p/>
        </w:tc>
      </w:tr>
      <w:tr>
        <w:trPr>
          <w:trHeight w:hRule="exact" w:val="176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80</w:t>
            </w:r>
          </w:p>
        </w:tc>
        <w:tc>
          <w:tcPr>
            <w:tcW w:type="dxa" w:w="3930"/>
            <w:gridSpan w:val="5"/>
            <w:vMerge/>
            <w:tcBorders>
              <w:bottom w:sz="6.0" w:val="single" w:color="#E5E6E5"/>
            </w:tcBorders>
          </w:tcPr>
          <w:p/>
        </w:tc>
        <w:tc>
          <w:tcPr>
            <w:tcW w:type="dxa" w:w="9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36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40</w:t>
            </w:r>
          </w:p>
        </w:tc>
        <w:tc>
          <w:tcPr>
            <w:tcW w:type="dxa" w:w="3930"/>
            <w:gridSpan w:val="5"/>
            <w:vMerge/>
            <w:tcBorders>
              <w:bottom w:sz="6.0" w:val="single" w:color="#E5E6E5"/>
            </w:tcBorders>
          </w:tcPr>
          <w:p/>
        </w:tc>
      </w:tr>
      <w:tr>
        <w:trPr>
          <w:trHeight w:hRule="exact" w:val="320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60</w:t>
            </w:r>
          </w:p>
        </w:tc>
        <w:tc>
          <w:tcPr>
            <w:tcW w:type="dxa" w:w="3930"/>
            <w:gridSpan w:val="5"/>
            <w:vMerge/>
            <w:tcBorders>
              <w:bottom w:sz="6.0" w:val="single" w:color="#E5E6E5"/>
            </w:tcBorders>
          </w:tcPr>
          <w:p/>
        </w:tc>
        <w:tc>
          <w:tcPr>
            <w:tcW w:type="dxa" w:w="786"/>
            <w:vMerge/>
            <w:tcBorders/>
          </w:tcPr>
          <w:p/>
        </w:tc>
        <w:tc>
          <w:tcPr>
            <w:tcW w:type="dxa" w:w="3930"/>
            <w:gridSpan w:val="5"/>
            <w:vMerge/>
            <w:tcBorders>
              <w:bottom w:sz="6.0" w:val="single" w:color="#E5E6E5"/>
            </w:tcBorders>
          </w:tcPr>
          <w:p/>
        </w:tc>
      </w:tr>
      <w:tr>
        <w:trPr>
          <w:trHeight w:hRule="exact" w:val="300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40</w:t>
            </w:r>
          </w:p>
        </w:tc>
        <w:tc>
          <w:tcPr>
            <w:tcW w:type="dxa" w:w="3930"/>
            <w:gridSpan w:val="5"/>
            <w:vMerge/>
            <w:tcBorders>
              <w:bottom w:sz="6.0" w:val="single" w:color="#E5E6E5"/>
            </w:tcBorders>
          </w:tcPr>
          <w:p/>
        </w:tc>
        <w:tc>
          <w:tcPr>
            <w:tcW w:type="dxa" w:w="786"/>
            <w:vMerge/>
            <w:tcBorders/>
          </w:tcPr>
          <w:p/>
        </w:tc>
        <w:tc>
          <w:tcPr>
            <w:tcW w:type="dxa" w:w="3930"/>
            <w:gridSpan w:val="5"/>
            <w:vMerge/>
            <w:tcBorders>
              <w:bottom w:sz="6.0" w:val="single" w:color="#E5E6E5"/>
            </w:tcBorders>
          </w:tcPr>
          <w:p/>
        </w:tc>
      </w:tr>
      <w:tr>
        <w:trPr>
          <w:trHeight w:hRule="exact" w:val="322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3930"/>
            <w:gridSpan w:val="5"/>
            <w:vMerge/>
            <w:tcBorders>
              <w:bottom w:sz="6.0" w:val="single" w:color="#E5E6E5"/>
            </w:tcBorders>
          </w:tcPr>
          <w:p/>
        </w:tc>
        <w:tc>
          <w:tcPr>
            <w:tcW w:type="dxa" w:w="938"/>
            <w:vMerge w:val="restart"/>
            <w:tcBorders>
              <w:bottom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930"/>
            <w:gridSpan w:val="5"/>
            <w:vMerge/>
            <w:tcBorders>
              <w:bottom w:sz="6.0" w:val="single" w:color="#E5E6E5"/>
            </w:tcBorders>
          </w:tcPr>
          <w:p/>
        </w:tc>
      </w:tr>
      <w:tr>
        <w:trPr>
          <w:trHeight w:hRule="exact" w:val="150"/>
        </w:trPr>
        <w:tc>
          <w:tcPr>
            <w:tcW w:type="dxa" w:w="480"/>
            <w:tcBorders>
              <w:bottom w:sz="6.0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30"/>
            <w:gridSpan w:val="5"/>
            <w:vMerge/>
            <w:tcBorders>
              <w:bottom w:sz="6.0" w:val="single" w:color="#E5E6E5"/>
            </w:tcBorders>
          </w:tcPr>
          <w:p/>
        </w:tc>
        <w:tc>
          <w:tcPr>
            <w:tcW w:type="dxa" w:w="786"/>
            <w:vMerge/>
            <w:tcBorders>
              <w:bottom w:sz="6.0" w:val="single" w:color="#E5E6E5"/>
            </w:tcBorders>
          </w:tcPr>
          <w:p/>
        </w:tc>
        <w:tc>
          <w:tcPr>
            <w:tcW w:type="dxa" w:w="3930"/>
            <w:gridSpan w:val="5"/>
            <w:vMerge/>
            <w:tcBorders>
              <w:bottom w:sz="6.0" w:val="single" w:color="#E5E6E5"/>
            </w:tcBorders>
          </w:tcPr>
          <w:p/>
        </w:tc>
      </w:tr>
      <w:tr>
        <w:trPr>
          <w:trHeight w:hRule="exact" w:val="366"/>
        </w:trPr>
        <w:tc>
          <w:tcPr>
            <w:tcW w:type="dxa" w:w="480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782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21</w:t>
            </w:r>
          </w:p>
        </w:tc>
        <w:tc>
          <w:tcPr>
            <w:tcW w:type="dxa" w:w="758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22</w:t>
            </w:r>
          </w:p>
        </w:tc>
        <w:tc>
          <w:tcPr>
            <w:tcW w:type="dxa" w:w="720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23</w:t>
            </w:r>
          </w:p>
        </w:tc>
        <w:tc>
          <w:tcPr>
            <w:tcW w:type="dxa" w:w="700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24</w:t>
            </w:r>
          </w:p>
        </w:tc>
        <w:tc>
          <w:tcPr>
            <w:tcW w:type="dxa" w:w="1280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0" w:after="0"/>
              <w:ind w:left="1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Dec 24</w:t>
            </w:r>
          </w:p>
        </w:tc>
        <w:tc>
          <w:tcPr>
            <w:tcW w:type="dxa" w:w="938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</w:p>
        </w:tc>
        <w:tc>
          <w:tcPr>
            <w:tcW w:type="dxa" w:w="682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FY21</w:t>
            </w:r>
          </w:p>
        </w:tc>
        <w:tc>
          <w:tcPr>
            <w:tcW w:type="dxa" w:w="720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FY22</w:t>
            </w:r>
          </w:p>
        </w:tc>
        <w:tc>
          <w:tcPr>
            <w:tcW w:type="dxa" w:w="720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FY23</w:t>
            </w:r>
          </w:p>
        </w:tc>
        <w:tc>
          <w:tcPr>
            <w:tcW w:type="dxa" w:w="720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FY24</w:t>
            </w:r>
          </w:p>
        </w:tc>
        <w:tc>
          <w:tcPr>
            <w:tcW w:type="dxa" w:w="742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FY25</w:t>
            </w:r>
          </w:p>
        </w:tc>
      </w:tr>
    </w:tbl>
    <w:p>
      <w:pPr>
        <w:autoSpaceDN w:val="0"/>
        <w:autoSpaceDE w:val="0"/>
        <w:widowControl/>
        <w:spacing w:line="244" w:lineRule="exact" w:before="322" w:after="0"/>
        <w:ind w:left="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Results from Borrowing Activities</w:t>
      </w:r>
    </w:p>
    <w:p>
      <w:pPr>
        <w:autoSpaceDN w:val="0"/>
        <w:autoSpaceDE w:val="0"/>
        <w:widowControl/>
        <w:spacing w:line="222" w:lineRule="exact" w:before="14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Borrowings reported at Fair Value: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December 31, 2024, the borrowings reported at fair value and the related derivatives were $303.9 billion, 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$16.8 billion increase compared with June 30, 2024 (Notes to Condensed Quarterly Financial Statements, Note E -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Borrowings). The increase was primarily due to net new debt issuances during the period. New issuances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medium-and long-term debt of $29.1 billion during the first six months of FY25 were highly diversified by investor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profile and location, with an average maturity of 5.3 years. The funds raised financed development lending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operations and satisfied liquidity requirements.</w:t>
      </w:r>
    </w:p>
    <w:p>
      <w:pPr>
        <w:autoSpaceDN w:val="0"/>
        <w:autoSpaceDE w:val="0"/>
        <w:widowControl/>
        <w:spacing w:line="222" w:lineRule="exact" w:before="13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Borrowings reported at Amortized Cost: 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December 31, 2024, borrowings reported at amortized cost were $187 million, and related to IBRD's first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issuances of hybrid capital in FY25 YTD. Hybrid capital is issued in the legal form of debt and has characteristics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both debt and equity. See Notes to Condensed Quarterly Financial Statements, Note A - Summary of Significant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Accounting and Related Policies.</w:t>
      </w:r>
    </w:p>
    <w:p>
      <w:pPr>
        <w:autoSpaceDN w:val="0"/>
        <w:autoSpaceDE w:val="0"/>
        <w:widowControl/>
        <w:spacing w:line="210" w:lineRule="exact" w:before="258" w:after="382"/>
        <w:ind w:left="0" w:right="5184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Figure 8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Borrowing Portfolio (original maturities)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>In billions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572"/>
        <w:gridCol w:w="1572"/>
        <w:gridCol w:w="1572"/>
        <w:gridCol w:w="1572"/>
        <w:gridCol w:w="1572"/>
        <w:gridCol w:w="1572"/>
      </w:tblGrid>
      <w:tr>
        <w:trPr>
          <w:trHeight w:hRule="exact" w:val="164"/>
        </w:trPr>
        <w:tc>
          <w:tcPr>
            <w:tcW w:type="dxa" w:w="54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Medium-and long-term</w:t>
            </w:r>
          </w:p>
        </w:tc>
        <w:tc>
          <w:tcPr>
            <w:tcW w:type="dxa" w:w="39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Short-term</w:t>
            </w:r>
          </w:p>
        </w:tc>
      </w:tr>
      <w:tr>
        <w:trPr>
          <w:trHeight w:hRule="exact" w:val="796"/>
        </w:trPr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18" w:after="0"/>
              <w:ind w:left="0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 xml:space="preserve">350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280</w:t>
            </w:r>
          </w:p>
        </w:tc>
        <w:tc>
          <w:tcPr>
            <w:tcW w:type="dxa" w:w="621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4.00000000000006" w:type="dxa"/>
            </w:tblPr>
            <w:tblGrid>
              <w:gridCol w:w="6218"/>
            </w:tblGrid>
            <w:tr>
              <w:trPr>
                <w:trHeight w:hRule="exact" w:val="340"/>
              </w:trPr>
              <w:tc>
                <w:tcPr>
                  <w:tcW w:type="dxa" w:w="3586"/>
                  <w:tcBorders>
                    <w:start w:sz="6.0" w:val="single" w:color="#898A89"/>
                    <w:bottom w:sz="6.0" w:val="single" w:color="#DADB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5.99999999999994" w:type="dxa"/>
                  </w:tblPr>
                  <w:tblGrid>
                    <w:gridCol w:w="717"/>
                    <w:gridCol w:w="717"/>
                    <w:gridCol w:w="717"/>
                    <w:gridCol w:w="717"/>
                    <w:gridCol w:w="717"/>
                  </w:tblGrid>
                  <w:tr>
                    <w:trPr>
                      <w:trHeight w:hRule="exact" w:val="320"/>
                    </w:trPr>
                    <w:tc>
                      <w:tcPr>
                        <w:tcW w:type="dxa" w:w="640"/>
                        <w:tcBorders>
                          <w:bottom w:sz="18.40000000000009" w:val="single" w:color="#484948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20"/>
                        <w:tcBorders>
                          <w:bottom w:sz="18.40000000000009" w:val="single" w:color="#484948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20"/>
                        <w:tcBorders>
                          <w:bottom w:sz="18.40000000000009" w:val="single" w:color="#484948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1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10.1</w:t>
                        </w:r>
                      </w:p>
                    </w:tc>
                    <w:tc>
                      <w:tcPr>
                        <w:tcW w:type="dxa" w:w="720"/>
                        <w:vMerge w:val="restart"/>
                        <w:tcBorders>
                          <w:bottom w:sz="17.600000000000364" w:val="single" w:color="#484948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10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9.0</w:t>
                        </w:r>
                      </w:p>
                    </w:tc>
                    <w:tc>
                      <w:tcPr>
                        <w:tcW w:type="dxa" w:w="640"/>
                        <w:tcBorders>
                          <w:bottom w:sz="18.40000000000009" w:val="single" w:color="#484948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42" w:after="0"/>
                          <w:ind w:left="0" w:right="124" w:firstLine="0"/>
                          <w:jc w:val="right"/>
                        </w:pPr>
                        <w:r>
                          <w:rPr>
                            <w:u w:val="single" w:color="484948"/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15.0</w:t>
                        </w:r>
                      </w:p>
                    </w:tc>
                  </w:tr>
                  <w:tr>
                    <w:trPr>
                      <w:trHeight w:hRule="exact" w:val="164"/>
                    </w:trPr>
                    <w:tc>
                      <w:tcPr>
                        <w:tcW w:type="dxa" w:w="640"/>
                        <w:vMerge w:val="restart"/>
                        <w:tcBorders>
                          <w:top w:sz="18.40000000000009" w:val="single" w:color="#484948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10.2</w:t>
                        </w:r>
                      </w:p>
                    </w:tc>
                    <w:tc>
                      <w:tcPr>
                        <w:tcW w:type="dxa" w:w="720"/>
                        <w:tcBorders>
                          <w:top w:sz="18.40000000000009" w:val="single" w:color="#484948"/>
                          <w:bottom w:sz="17.600000000000364" w:val="single" w:color="#484948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u w:val="single" w:color="484948"/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15.1</w:t>
                        </w:r>
                      </w:p>
                    </w:tc>
                    <w:tc>
                      <w:tcPr>
                        <w:tcW w:type="dxa" w:w="720"/>
                        <w:tcBorders>
                          <w:top w:sz="18.40000000000009" w:val="single" w:color="#484948"/>
                          <w:bottom w:sz="17.600000000000364" w:val="single" w:color="#484948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17"/>
                        <w:vMerge/>
                        <w:tcBorders>
                          <w:bottom w:sz="17.600000000000364" w:val="single" w:color="#484948"/>
                        </w:tcBorders>
                      </w:tcPr>
                      <w:p/>
                    </w:tc>
                    <w:tc>
                      <w:tcPr>
                        <w:tcW w:type="dxa" w:w="640"/>
                        <w:tcBorders>
                          <w:top w:sz="18.40000000000009" w:val="single" w:color="#484948"/>
                          <w:bottom w:sz="17.600000000000364" w:val="single" w:color="#484948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248"/>
                    </w:trPr>
                    <w:tc>
                      <w:tcPr>
                        <w:tcW w:type="dxa" w:w="717"/>
                        <w:vMerge/>
                        <w:tcBorders>
                          <w:top w:sz="18.40000000000009" w:val="single" w:color="#484948"/>
                        </w:tcBorders>
                      </w:tcPr>
                      <w:p/>
                    </w:tc>
                    <w:tc>
                      <w:tcPr>
                        <w:tcW w:type="dxa" w:w="720"/>
                        <w:vMerge w:val="restart"/>
                        <w:tcBorders>
                          <w:top w:sz="17.600000000000364" w:val="single" w:color="#484948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54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241.8</w:t>
                        </w:r>
                      </w:p>
                    </w:tc>
                    <w:tc>
                      <w:tcPr>
                        <w:tcW w:type="dxa" w:w="720"/>
                        <w:vMerge w:val="restart"/>
                        <w:tcBorders>
                          <w:top w:sz="17.600000000000364" w:val="single" w:color="#484948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49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256.7</w:t>
                        </w:r>
                      </w:p>
                    </w:tc>
                    <w:tc>
                      <w:tcPr>
                        <w:tcW w:type="dxa" w:w="720"/>
                        <w:vMerge w:val="restart"/>
                        <w:tcBorders>
                          <w:top w:sz="17.600000000000364" w:val="single" w:color="#484948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45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278.1</w:t>
                        </w:r>
                      </w:p>
                    </w:tc>
                    <w:tc>
                      <w:tcPr>
                        <w:tcW w:type="dxa" w:w="640"/>
                        <w:vMerge w:val="restart"/>
                        <w:tcBorders>
                          <w:top w:sz="17.600000000000364" w:val="single" w:color="#484948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422" w:after="0"/>
                          <w:ind w:left="160" w:right="0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289.1</w:t>
                        </w:r>
                      </w:p>
                    </w:tc>
                  </w:tr>
                  <w:tr>
                    <w:trPr>
                      <w:trHeight w:hRule="exact" w:val="534"/>
                    </w:trPr>
                    <w:tc>
                      <w:tcPr>
                        <w:tcW w:type="dxa" w:w="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30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243.5</w:t>
                        </w:r>
                      </w:p>
                    </w:tc>
                    <w:tc>
                      <w:tcPr>
                        <w:tcW w:type="dxa" w:w="717"/>
                        <w:vMerge/>
                        <w:tcBorders>
                          <w:top w:sz="17.600000000000364" w:val="single" w:color="#484948"/>
                        </w:tcBorders>
                      </w:tcPr>
                      <w:p/>
                    </w:tc>
                    <w:tc>
                      <w:tcPr>
                        <w:tcW w:type="dxa" w:w="717"/>
                        <w:vMerge/>
                        <w:tcBorders>
                          <w:top w:sz="17.600000000000364" w:val="single" w:color="#484948"/>
                        </w:tcBorders>
                      </w:tcPr>
                      <w:p/>
                    </w:tc>
                    <w:tc>
                      <w:tcPr>
                        <w:tcW w:type="dxa" w:w="717"/>
                        <w:vMerge/>
                        <w:tcBorders>
                          <w:top w:sz="17.600000000000364" w:val="single" w:color="#484948"/>
                        </w:tcBorders>
                      </w:tcPr>
                      <w:p/>
                    </w:tc>
                    <w:tc>
                      <w:tcPr>
                        <w:tcW w:type="dxa" w:w="717"/>
                        <w:vMerge/>
                        <w:tcBorders>
                          <w:top w:sz="17.600000000000364" w:val="single" w:color="#484948"/>
                        </w:tcBorders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200"/>
        </w:trPr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0" w:after="0"/>
              <w:ind w:left="0" w:right="1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 xml:space="preserve">210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 xml:space="preserve">140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70</w:t>
            </w:r>
          </w:p>
        </w:tc>
        <w:tc>
          <w:tcPr>
            <w:tcW w:type="dxa" w:w="7860"/>
            <w:gridSpan w:val="5"/>
            <w:vMerge/>
            <w:tcBorders/>
          </w:tcPr>
          <w:p/>
        </w:tc>
      </w:tr>
      <w:tr>
        <w:trPr>
          <w:trHeight w:hRule="exact" w:val="46"/>
        </w:trPr>
        <w:tc>
          <w:tcPr>
            <w:tcW w:type="dxa" w:w="54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</w:p>
        </w:tc>
        <w:tc>
          <w:tcPr>
            <w:tcW w:type="dxa" w:w="62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4"/>
        </w:trPr>
        <w:tc>
          <w:tcPr>
            <w:tcW w:type="dxa" w:w="1572"/>
            <w:vMerge/>
            <w:tcBorders/>
          </w:tcPr>
          <w:p/>
        </w:tc>
        <w:tc>
          <w:tcPr>
            <w:tcW w:type="dxa" w:w="7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Jun 21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Jun 22</w:t>
            </w:r>
          </w:p>
        </w:tc>
        <w:tc>
          <w:tcPr>
            <w:tcW w:type="dxa" w:w="8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Jun 23</w:t>
            </w:r>
          </w:p>
        </w:tc>
        <w:tc>
          <w:tcPr>
            <w:tcW w:type="dxa" w:w="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Jun 24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1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Dec 24</w:t>
            </w:r>
          </w:p>
        </w:tc>
      </w:tr>
    </w:tbl>
    <w:p>
      <w:pPr>
        <w:autoSpaceDN w:val="0"/>
        <w:autoSpaceDE w:val="0"/>
        <w:widowControl/>
        <w:spacing w:line="244" w:lineRule="exact" w:before="204" w:after="0"/>
        <w:ind w:left="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Net Other Revenue</w:t>
      </w:r>
    </w:p>
    <w:p>
      <w:pPr>
        <w:autoSpaceDN w:val="0"/>
        <w:autoSpaceDE w:val="0"/>
        <w:widowControl/>
        <w:spacing w:line="240" w:lineRule="exact" w:before="130" w:after="0"/>
        <w:ind w:left="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Net other revenue was lower by $51 million in FY25 YTD, compared with the same period in FY24. The decrease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was mainly due to unrealized mark-to-market losses from forward contracts with an asset held at amortized cost 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its underlying.</w:t>
      </w:r>
    </w:p>
    <w:p>
      <w:pPr>
        <w:autoSpaceDN w:val="0"/>
        <w:autoSpaceDE w:val="0"/>
        <w:widowControl/>
        <w:spacing w:line="224" w:lineRule="exact" w:before="2074" w:after="0"/>
        <w:ind w:left="0" w:right="7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December 31, 2024     13</w:t>
      </w:r>
    </w:p>
    <w:p>
      <w:pPr>
        <w:sectPr>
          <w:pgSz w:w="12240" w:h="15840"/>
          <w:pgMar w:top="256" w:right="1370" w:bottom="1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7"/>
        <w:gridCol w:w="4717"/>
      </w:tblGrid>
      <w:tr>
        <w:trPr>
          <w:trHeight w:hRule="exact" w:val="286"/>
        </w:trPr>
        <w:tc>
          <w:tcPr>
            <w:tcW w:type="dxa" w:w="3956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III: Financial Results</w:t>
            </w:r>
          </w:p>
        </w:tc>
      </w:tr>
    </w:tbl>
    <w:p>
      <w:pPr>
        <w:autoSpaceDN w:val="0"/>
        <w:autoSpaceDE w:val="0"/>
        <w:widowControl/>
        <w:spacing w:line="202" w:lineRule="exact" w:before="308" w:after="0"/>
        <w:ind w:left="5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6: Net Other Revenue</w:t>
      </w:r>
    </w:p>
    <w:p>
      <w:pPr>
        <w:autoSpaceDN w:val="0"/>
        <w:autoSpaceDE w:val="0"/>
        <w:widowControl/>
        <w:spacing w:line="178" w:lineRule="exact" w:before="54" w:after="16"/>
        <w:ind w:left="56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rHeight w:hRule="exact" w:val="202"/>
        </w:trPr>
        <w:tc>
          <w:tcPr>
            <w:tcW w:type="dxa" w:w="5994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For the six months ended December 31,</w:t>
            </w:r>
          </w:p>
        </w:tc>
        <w:tc>
          <w:tcPr>
            <w:tcW w:type="dxa" w:w="43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2024</w:t>
            </w:r>
          </w:p>
        </w:tc>
        <w:tc>
          <w:tcPr>
            <w:tcW w:type="dxa" w:w="47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0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2023</w:t>
            </w:r>
          </w:p>
        </w:tc>
        <w:tc>
          <w:tcPr>
            <w:tcW w:type="dxa" w:w="21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9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2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Variance</w:t>
            </w:r>
          </w:p>
        </w:tc>
      </w:tr>
      <w:tr>
        <w:trPr>
          <w:trHeight w:hRule="exact" w:val="224"/>
        </w:trPr>
        <w:tc>
          <w:tcPr>
            <w:tcW w:type="dxa" w:w="5994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 commitment fees</w:t>
            </w:r>
          </w:p>
        </w:tc>
        <w:tc>
          <w:tcPr>
            <w:tcW w:type="dxa" w:w="430"/>
            <w:vMerge w:val="restart"/>
            <w:tcBorders>
              <w:top w:sz="4.0" w:val="single" w:color="#929292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80 </w:t>
            </w:r>
          </w:p>
        </w:tc>
        <w:tc>
          <w:tcPr>
            <w:tcW w:type="dxa" w:w="470"/>
            <w:vMerge w:val="restart"/>
            <w:tcBorders>
              <w:top w:sz="4.0" w:val="single" w:color="#929292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1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72 </w:t>
            </w:r>
          </w:p>
        </w:tc>
        <w:tc>
          <w:tcPr>
            <w:tcW w:type="dxa" w:w="210"/>
            <w:vMerge w:val="restart"/>
            <w:tcBorders>
              <w:top w:sz="4.0" w:val="single" w:color="#929292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9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 </w:t>
            </w:r>
          </w:p>
        </w:tc>
      </w:tr>
      <w:tr>
        <w:trPr>
          <w:trHeight w:hRule="exact" w:val="240"/>
        </w:trPr>
        <w:tc>
          <w:tcPr>
            <w:tcW w:type="dxa" w:w="59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Guarantee fees</w:t>
            </w:r>
          </w:p>
        </w:tc>
        <w:tc>
          <w:tcPr>
            <w:tcW w:type="dxa" w:w="134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 </w:t>
            </w:r>
          </w:p>
        </w:tc>
        <w:tc>
          <w:tcPr>
            <w:tcW w:type="dxa" w:w="134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 </w:t>
            </w:r>
          </w:p>
        </w:tc>
        <w:tc>
          <w:tcPr>
            <w:tcW w:type="dxa" w:w="134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</w:t>
            </w:r>
          </w:p>
        </w:tc>
      </w:tr>
      <w:tr>
        <w:trPr>
          <w:trHeight w:hRule="exact" w:val="254"/>
        </w:trPr>
        <w:tc>
          <w:tcPr>
            <w:tcW w:type="dxa" w:w="599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Others, including net earnings from the PEBP and PCRF</w:t>
            </w:r>
          </w:p>
        </w:tc>
        <w:tc>
          <w:tcPr>
            <w:tcW w:type="dxa" w:w="134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6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(23) </w:t>
            </w:r>
          </w:p>
        </w:tc>
        <w:tc>
          <w:tcPr>
            <w:tcW w:type="dxa" w:w="134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7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 </w:t>
            </w:r>
          </w:p>
        </w:tc>
        <w:tc>
          <w:tcPr>
            <w:tcW w:type="dxa" w:w="134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8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(57) </w:t>
            </w:r>
          </w:p>
        </w:tc>
      </w:tr>
      <w:tr>
        <w:trPr>
          <w:trHeight w:hRule="exact" w:val="220"/>
        </w:trPr>
        <w:tc>
          <w:tcPr>
            <w:tcW w:type="dxa" w:w="59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other revenue (Table 2)</w:t>
            </w:r>
          </w:p>
        </w:tc>
        <w:tc>
          <w:tcPr>
            <w:tcW w:type="dxa" w:w="4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63 </w:t>
            </w:r>
          </w:p>
        </w:tc>
        <w:tc>
          <w:tcPr>
            <w:tcW w:type="dxa" w:w="4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114 </w:t>
            </w:r>
          </w:p>
        </w:tc>
        <w:tc>
          <w:tcPr>
            <w:tcW w:type="dxa" w:w="2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(51) </w:t>
            </w:r>
          </w:p>
        </w:tc>
      </w:tr>
      <w:tr>
        <w:trPr>
          <w:trHeight w:hRule="exact" w:val="186"/>
        </w:trPr>
        <w:tc>
          <w:tcPr>
            <w:tcW w:type="dxa" w:w="5994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7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9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4" w:lineRule="exact" w:before="292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Net Non-Interest Expenses</w:t>
      </w:r>
    </w:p>
    <w:p>
      <w:pPr>
        <w:autoSpaceDN w:val="0"/>
        <w:autoSpaceDE w:val="0"/>
        <w:widowControl/>
        <w:spacing w:line="240" w:lineRule="exact" w:before="13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shown in Table 7, IBRD’s net non-interest expenses are primarily comprised of administrative expenses, net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revenue from externally funded activities, and include costs related to Bank-executed activities for trust funds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other externally funded activities. IBRD and IDA's administrative budget is a single resource envelope that funds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combined work programs of both entities. The allocation of net administrative expenses between IBRD and IDA 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based on an agreed cost and revenue-sharing methodology, approved by their Boards, which is primarily driven by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relative level of lending, knowledge services, and other services between the two entities.</w:t>
      </w:r>
    </w:p>
    <w:p>
      <w:pPr>
        <w:autoSpaceDN w:val="0"/>
        <w:autoSpaceDE w:val="0"/>
        <w:widowControl/>
        <w:spacing w:line="202" w:lineRule="exact" w:before="146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Figure 9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8"/>
        </w:rPr>
        <w:t>Net Non-Interest Expenses (GAAP basis)</w:t>
      </w:r>
    </w:p>
    <w:p>
      <w:pPr>
        <w:autoSpaceDN w:val="0"/>
        <w:autoSpaceDE w:val="0"/>
        <w:widowControl/>
        <w:spacing w:line="178" w:lineRule="exact" w:before="138" w:after="0"/>
        <w:ind w:left="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dollars, YTD</w:t>
      </w:r>
    </w:p>
    <w:p>
      <w:pPr>
        <w:autoSpaceDN w:val="0"/>
        <w:autoSpaceDE w:val="0"/>
        <w:widowControl/>
        <w:spacing w:line="178" w:lineRule="exact" w:before="194" w:after="0"/>
        <w:ind w:left="202" w:right="0" w:firstLine="0"/>
        <w:jc w:val="left"/>
      </w:pPr>
      <w:r>
        <w:rPr>
          <w:rFonts w:ascii="ArialMT" w:hAnsi="ArialMT" w:eastAsia="ArialMT"/>
          <w:b w:val="0"/>
          <w:i w:val="0"/>
          <w:color w:val="595959"/>
          <w:sz w:val="16"/>
        </w:rPr>
        <w:t>800</w:t>
      </w:r>
    </w:p>
    <w:p>
      <w:pPr>
        <w:autoSpaceDN w:val="0"/>
        <w:tabs>
          <w:tab w:pos="704" w:val="left"/>
        </w:tabs>
        <w:autoSpaceDE w:val="0"/>
        <w:widowControl/>
        <w:spacing w:line="240" w:lineRule="auto" w:before="0" w:after="0"/>
        <w:ind w:left="202" w:right="0" w:firstLine="0"/>
        <w:jc w:val="left"/>
      </w:pPr>
      <w:r>
        <w:rPr>
          <w:rFonts w:ascii="ArialMT" w:hAnsi="ArialMT" w:eastAsia="ArialMT"/>
          <w:b w:val="0"/>
          <w:i w:val="0"/>
          <w:color w:val="595959"/>
          <w:sz w:val="16"/>
        </w:rPr>
        <w:t>600</w:t>
      </w:r>
      <w:r>
        <w:drawing>
          <wp:inline xmlns:a="http://schemas.openxmlformats.org/drawingml/2006/main" xmlns:pic="http://schemas.openxmlformats.org/drawingml/2006/picture">
            <wp:extent cx="2273300" cy="152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78" w:lineRule="exact" w:before="196" w:after="0"/>
        <w:ind w:left="202" w:right="0" w:firstLine="0"/>
        <w:jc w:val="left"/>
      </w:pPr>
      <w:r>
        <w:rPr>
          <w:rFonts w:ascii="ArialMT" w:hAnsi="ArialMT" w:eastAsia="ArialMT"/>
          <w:b w:val="0"/>
          <w:i w:val="0"/>
          <w:color w:val="595959"/>
          <w:sz w:val="16"/>
        </w:rPr>
        <w:t>400</w:t>
      </w:r>
    </w:p>
    <w:p>
      <w:pPr>
        <w:autoSpaceDN w:val="0"/>
        <w:autoSpaceDE w:val="0"/>
        <w:widowControl/>
        <w:spacing w:line="180" w:lineRule="exact" w:before="196" w:after="0"/>
        <w:ind w:left="202" w:right="0" w:firstLine="0"/>
        <w:jc w:val="left"/>
      </w:pPr>
      <w:r>
        <w:rPr>
          <w:rFonts w:ascii="ArialMT" w:hAnsi="ArialMT" w:eastAsia="ArialMT"/>
          <w:b w:val="0"/>
          <w:i w:val="0"/>
          <w:color w:val="595959"/>
          <w:sz w:val="16"/>
        </w:rPr>
        <w:t>200</w:t>
      </w:r>
    </w:p>
    <w:p>
      <w:pPr>
        <w:autoSpaceDN w:val="0"/>
        <w:autoSpaceDE w:val="0"/>
        <w:widowControl/>
        <w:spacing w:line="178" w:lineRule="exact" w:before="196" w:after="16"/>
        <w:ind w:left="380" w:right="0" w:firstLine="0"/>
        <w:jc w:val="left"/>
      </w:pPr>
      <w:r>
        <w:rPr>
          <w:rFonts w:ascii="ArialMT" w:hAnsi="ArialMT" w:eastAsia="ArialMT"/>
          <w:b w:val="0"/>
          <w:i w:val="0"/>
          <w:color w:val="595959"/>
          <w:sz w:val="16"/>
        </w:rPr>
        <w:t>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4.00000000000006" w:type="dxa"/>
      </w:tblPr>
      <w:tblGrid>
        <w:gridCol w:w="1887"/>
        <w:gridCol w:w="1887"/>
        <w:gridCol w:w="1887"/>
        <w:gridCol w:w="1887"/>
        <w:gridCol w:w="1887"/>
      </w:tblGrid>
      <w:tr>
        <w:trPr>
          <w:trHeight w:hRule="exact" w:val="254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FY21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FY22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FY23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FY24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FY25</w:t>
            </w:r>
          </w:p>
        </w:tc>
      </w:tr>
    </w:tbl>
    <w:p>
      <w:pPr>
        <w:autoSpaceDN w:val="0"/>
        <w:autoSpaceDE w:val="0"/>
        <w:widowControl/>
        <w:spacing w:line="224" w:lineRule="exact" w:before="7554" w:after="0"/>
        <w:ind w:left="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14     IBRD Management's Discussion and Analysis: December 31, 2024</w:t>
      </w:r>
    </w:p>
    <w:p>
      <w:pPr>
        <w:sectPr>
          <w:pgSz w:w="12240" w:h="15840"/>
          <w:pgMar w:top="256" w:right="1370" w:bottom="13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6"/>
        <w:gridCol w:w="4716"/>
      </w:tblGrid>
      <w:tr>
        <w:trPr>
          <w:trHeight w:hRule="exact" w:val="286"/>
        </w:trPr>
        <w:tc>
          <w:tcPr>
            <w:tcW w:type="dxa" w:w="3956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III: Financial Results</w:t>
            </w:r>
          </w:p>
        </w:tc>
      </w:tr>
    </w:tbl>
    <w:p>
      <w:pPr>
        <w:autoSpaceDN w:val="0"/>
        <w:autoSpaceDE w:val="0"/>
        <w:widowControl/>
        <w:spacing w:line="240" w:lineRule="exact" w:before="226" w:after="0"/>
        <w:ind w:left="4" w:right="43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increase in net non-interest expenses from FY24 YTD to FY25 YTD, on both GAAP and allocable income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basis, was primarily driven by higher staff costs and higher contractual services (Table 7).</w:t>
      </w:r>
    </w:p>
    <w:p>
      <w:pPr>
        <w:autoSpaceDN w:val="0"/>
        <w:autoSpaceDE w:val="0"/>
        <w:widowControl/>
        <w:spacing w:line="202" w:lineRule="exact" w:before="320" w:after="0"/>
        <w:ind w:left="5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7: Net Non-Interest Expenses</w:t>
      </w:r>
    </w:p>
    <w:p>
      <w:pPr>
        <w:autoSpaceDN w:val="0"/>
        <w:autoSpaceDE w:val="0"/>
        <w:widowControl/>
        <w:spacing w:line="180" w:lineRule="exact" w:before="62" w:after="30"/>
        <w:ind w:left="56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58"/>
        <w:gridCol w:w="2358"/>
        <w:gridCol w:w="2358"/>
        <w:gridCol w:w="2358"/>
      </w:tblGrid>
      <w:tr>
        <w:trPr>
          <w:trHeight w:hRule="exact" w:val="240"/>
        </w:trPr>
        <w:tc>
          <w:tcPr>
            <w:tcW w:type="dxa" w:w="4864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For the six months ended December 31,</w:t>
            </w:r>
          </w:p>
        </w:tc>
        <w:tc>
          <w:tcPr>
            <w:tcW w:type="dxa" w:w="266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2024</w:t>
            </w:r>
          </w:p>
        </w:tc>
        <w:tc>
          <w:tcPr>
            <w:tcW w:type="dxa" w:w="86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3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2023</w:t>
            </w:r>
          </w:p>
        </w:tc>
        <w:tc>
          <w:tcPr>
            <w:tcW w:type="dxa" w:w="984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Variance</w:t>
            </w:r>
          </w:p>
        </w:tc>
      </w:tr>
    </w:tbl>
    <w:p>
      <w:pPr>
        <w:autoSpaceDN w:val="0"/>
        <w:autoSpaceDE w:val="0"/>
        <w:widowControl/>
        <w:spacing w:line="180" w:lineRule="exact" w:before="30" w:after="3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Administrative expenses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1347"/>
        <w:gridCol w:w="1347"/>
        <w:gridCol w:w="1347"/>
        <w:gridCol w:w="1347"/>
        <w:gridCol w:w="1347"/>
        <w:gridCol w:w="1347"/>
        <w:gridCol w:w="1347"/>
      </w:tblGrid>
      <w:tr>
        <w:trPr>
          <w:trHeight w:hRule="exact" w:val="224"/>
        </w:trPr>
        <w:tc>
          <w:tcPr>
            <w:tcW w:type="dxa" w:w="6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Staff costs</w:t>
            </w:r>
          </w:p>
        </w:tc>
        <w:tc>
          <w:tcPr>
            <w:tcW w:type="dxa" w:w="3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610 </w:t>
            </w:r>
          </w:p>
        </w:tc>
        <w:tc>
          <w:tcPr>
            <w:tcW w:type="dxa" w:w="4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577 </w:t>
            </w:r>
          </w:p>
        </w:tc>
        <w:tc>
          <w:tcPr>
            <w:tcW w:type="dxa" w:w="47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 </w:t>
            </w:r>
          </w:p>
        </w:tc>
      </w:tr>
      <w:tr>
        <w:trPr>
          <w:trHeight w:hRule="exact" w:val="240"/>
        </w:trPr>
        <w:tc>
          <w:tcPr>
            <w:tcW w:type="dxa" w:w="6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Travel</w:t>
            </w:r>
          </w:p>
        </w:tc>
        <w:tc>
          <w:tcPr>
            <w:tcW w:type="dxa" w:w="1347"/>
            <w:vMerge/>
            <w:tcBorders>
              <w:bottom w:sz="8.0" w:val="single" w:color="#000000"/>
            </w:tcBorders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68 </w:t>
            </w:r>
          </w:p>
        </w:tc>
        <w:tc>
          <w:tcPr>
            <w:tcW w:type="dxa" w:w="1347"/>
            <w:vMerge/>
            <w:tcBorders>
              <w:bottom w:sz="8.0" w:val="single" w:color="#000000"/>
            </w:tcBorders>
          </w:tcPr>
          <w:p/>
        </w:tc>
        <w:tc>
          <w:tcPr>
            <w:tcW w:type="dxa" w:w="7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 </w:t>
            </w:r>
          </w:p>
        </w:tc>
        <w:tc>
          <w:tcPr>
            <w:tcW w:type="dxa" w:w="1347"/>
            <w:vMerge/>
            <w:tcBorders>
              <w:bottom w:sz="8.0" w:val="single" w:color="#000000"/>
            </w:tcBorders>
          </w:tcPr>
          <w:p/>
        </w:tc>
        <w:tc>
          <w:tcPr>
            <w:tcW w:type="dxa" w:w="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</w:tr>
      <w:tr>
        <w:trPr>
          <w:trHeight w:hRule="exact" w:val="240"/>
        </w:trPr>
        <w:tc>
          <w:tcPr>
            <w:tcW w:type="dxa" w:w="6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Consultant fees and contractual services</w:t>
            </w:r>
          </w:p>
        </w:tc>
        <w:tc>
          <w:tcPr>
            <w:tcW w:type="dxa" w:w="1347"/>
            <w:vMerge/>
            <w:tcBorders>
              <w:bottom w:sz="8.0" w:val="single" w:color="#000000"/>
            </w:tcBorders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204 </w:t>
            </w:r>
          </w:p>
        </w:tc>
        <w:tc>
          <w:tcPr>
            <w:tcW w:type="dxa" w:w="1347"/>
            <w:vMerge/>
            <w:tcBorders>
              <w:bottom w:sz="8.0" w:val="single" w:color="#000000"/>
            </w:tcBorders>
          </w:tcPr>
          <w:p/>
        </w:tc>
        <w:tc>
          <w:tcPr>
            <w:tcW w:type="dxa" w:w="7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187 </w:t>
            </w:r>
          </w:p>
        </w:tc>
        <w:tc>
          <w:tcPr>
            <w:tcW w:type="dxa" w:w="1347"/>
            <w:vMerge/>
            <w:tcBorders>
              <w:bottom w:sz="8.0" w:val="single" w:color="#000000"/>
            </w:tcBorders>
          </w:tcPr>
          <w:p/>
        </w:tc>
        <w:tc>
          <w:tcPr>
            <w:tcW w:type="dxa" w:w="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 </w:t>
            </w:r>
          </w:p>
        </w:tc>
      </w:tr>
      <w:tr>
        <w:trPr>
          <w:trHeight w:hRule="exact" w:val="240"/>
        </w:trPr>
        <w:tc>
          <w:tcPr>
            <w:tcW w:type="dxa" w:w="6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Pension service cost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347"/>
            <w:vMerge/>
            <w:tcBorders>
              <w:bottom w:sz="8.0" w:val="single" w:color="#000000"/>
            </w:tcBorders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141 </w:t>
            </w:r>
          </w:p>
        </w:tc>
        <w:tc>
          <w:tcPr>
            <w:tcW w:type="dxa" w:w="1347"/>
            <w:vMerge/>
            <w:tcBorders>
              <w:bottom w:sz="8.0" w:val="single" w:color="#000000"/>
            </w:tcBorders>
          </w:tcPr>
          <w:p/>
        </w:tc>
        <w:tc>
          <w:tcPr>
            <w:tcW w:type="dxa" w:w="7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138 </w:t>
            </w:r>
          </w:p>
        </w:tc>
        <w:tc>
          <w:tcPr>
            <w:tcW w:type="dxa" w:w="1347"/>
            <w:vMerge/>
            <w:tcBorders>
              <w:bottom w:sz="8.0" w:val="single" w:color="#000000"/>
            </w:tcBorders>
          </w:tcPr>
          <w:p/>
        </w:tc>
        <w:tc>
          <w:tcPr>
            <w:tcW w:type="dxa" w:w="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  <w:tr>
        <w:trPr>
          <w:trHeight w:hRule="exact" w:val="240"/>
        </w:trPr>
        <w:tc>
          <w:tcPr>
            <w:tcW w:type="dxa" w:w="6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Communications and technology</w:t>
            </w:r>
          </w:p>
        </w:tc>
        <w:tc>
          <w:tcPr>
            <w:tcW w:type="dxa" w:w="1347"/>
            <w:vMerge/>
            <w:tcBorders>
              <w:bottom w:sz="8.0" w:val="single" w:color="#000000"/>
            </w:tcBorders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 </w:t>
            </w:r>
          </w:p>
        </w:tc>
        <w:tc>
          <w:tcPr>
            <w:tcW w:type="dxa" w:w="1347"/>
            <w:vMerge/>
            <w:tcBorders>
              <w:bottom w:sz="8.0" w:val="single" w:color="#000000"/>
            </w:tcBorders>
          </w:tcPr>
          <w:p/>
        </w:tc>
        <w:tc>
          <w:tcPr>
            <w:tcW w:type="dxa" w:w="7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 </w:t>
            </w:r>
          </w:p>
        </w:tc>
        <w:tc>
          <w:tcPr>
            <w:tcW w:type="dxa" w:w="1347"/>
            <w:vMerge/>
            <w:tcBorders>
              <w:bottom w:sz="8.0" w:val="single" w:color="#000000"/>
            </w:tcBorders>
          </w:tcPr>
          <w:p/>
        </w:tc>
        <w:tc>
          <w:tcPr>
            <w:tcW w:type="dxa" w:w="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  <w:tr>
        <w:trPr>
          <w:trHeight w:hRule="exact" w:val="240"/>
        </w:trPr>
        <w:tc>
          <w:tcPr>
            <w:tcW w:type="dxa" w:w="6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Premises and equipment</w:t>
            </w:r>
          </w:p>
        </w:tc>
        <w:tc>
          <w:tcPr>
            <w:tcW w:type="dxa" w:w="1347"/>
            <w:vMerge/>
            <w:tcBorders>
              <w:bottom w:sz="8.0" w:val="single" w:color="#000000"/>
            </w:tcBorders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60 </w:t>
            </w:r>
          </w:p>
        </w:tc>
        <w:tc>
          <w:tcPr>
            <w:tcW w:type="dxa" w:w="1347"/>
            <w:vMerge/>
            <w:tcBorders>
              <w:bottom w:sz="8.0" w:val="single" w:color="#000000"/>
            </w:tcBorders>
          </w:tcPr>
          <w:p/>
        </w:tc>
        <w:tc>
          <w:tcPr>
            <w:tcW w:type="dxa" w:w="7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55 </w:t>
            </w:r>
          </w:p>
        </w:tc>
        <w:tc>
          <w:tcPr>
            <w:tcW w:type="dxa" w:w="1347"/>
            <w:vMerge/>
            <w:tcBorders>
              <w:bottom w:sz="8.0" w:val="single" w:color="#000000"/>
            </w:tcBorders>
          </w:tcPr>
          <w:p/>
        </w:tc>
        <w:tc>
          <w:tcPr>
            <w:tcW w:type="dxa" w:w="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 </w:t>
            </w:r>
          </w:p>
        </w:tc>
      </w:tr>
      <w:tr>
        <w:trPr>
          <w:trHeight w:hRule="exact" w:val="254"/>
        </w:trPr>
        <w:tc>
          <w:tcPr>
            <w:tcW w:type="dxa" w:w="61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expenses</w:t>
            </w:r>
          </w:p>
        </w:tc>
        <w:tc>
          <w:tcPr>
            <w:tcW w:type="dxa" w:w="1347"/>
            <w:vMerge/>
            <w:tcBorders>
              <w:bottom w:sz="8.0" w:val="single" w:color="#000000"/>
            </w:tcBorders>
          </w:tcPr>
          <w:p/>
        </w:tc>
        <w:tc>
          <w:tcPr>
            <w:tcW w:type="dxa" w:w="6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 </w:t>
            </w:r>
          </w:p>
        </w:tc>
        <w:tc>
          <w:tcPr>
            <w:tcW w:type="dxa" w:w="1347"/>
            <w:vMerge/>
            <w:tcBorders>
              <w:bottom w:sz="8.0" w:val="single" w:color="#000000"/>
            </w:tcBorders>
          </w:tcPr>
          <w:p/>
        </w:tc>
        <w:tc>
          <w:tcPr>
            <w:tcW w:type="dxa" w:w="7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 </w:t>
            </w:r>
          </w:p>
        </w:tc>
        <w:tc>
          <w:tcPr>
            <w:tcW w:type="dxa" w:w="1347"/>
            <w:vMerge/>
            <w:tcBorders>
              <w:bottom w:sz="8.0" w:val="single" w:color="#000000"/>
            </w:tcBorders>
          </w:tcPr>
          <w:p/>
        </w:tc>
        <w:tc>
          <w:tcPr>
            <w:tcW w:type="dxa" w:w="5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</w:tr>
      <w:tr>
        <w:trPr>
          <w:trHeight w:hRule="exact" w:val="240"/>
        </w:trPr>
        <w:tc>
          <w:tcPr>
            <w:tcW w:type="dxa" w:w="61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39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administrative expenses</w:t>
            </w:r>
          </w:p>
        </w:tc>
        <w:tc>
          <w:tcPr>
            <w:tcW w:type="dxa" w:w="3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1,151 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7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1,081 </w:t>
            </w:r>
          </w:p>
        </w:tc>
        <w:tc>
          <w:tcPr>
            <w:tcW w:type="dxa" w:w="4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70 </w:t>
            </w:r>
          </w:p>
        </w:tc>
      </w:tr>
      <w:tr>
        <w:trPr>
          <w:trHeight w:hRule="exact" w:val="242"/>
        </w:trPr>
        <w:tc>
          <w:tcPr>
            <w:tcW w:type="dxa" w:w="61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Contributions to special programs</w:t>
            </w:r>
          </w:p>
        </w:tc>
        <w:tc>
          <w:tcPr>
            <w:tcW w:type="dxa" w:w="3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 </w:t>
            </w:r>
          </w:p>
        </w:tc>
        <w:tc>
          <w:tcPr>
            <w:tcW w:type="dxa" w:w="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 </w:t>
            </w:r>
          </w:p>
        </w:tc>
        <w:tc>
          <w:tcPr>
            <w:tcW w:type="dxa" w:w="4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</w:tr>
    </w:tbl>
    <w:p>
      <w:pPr>
        <w:autoSpaceDN w:val="0"/>
        <w:autoSpaceDE w:val="0"/>
        <w:widowControl/>
        <w:spacing w:line="180" w:lineRule="exact" w:before="30" w:after="3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Revenue from externally funded activities: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1347"/>
        <w:gridCol w:w="1347"/>
        <w:gridCol w:w="1347"/>
        <w:gridCol w:w="1347"/>
        <w:gridCol w:w="1347"/>
        <w:gridCol w:w="1347"/>
        <w:gridCol w:w="1347"/>
      </w:tblGrid>
      <w:tr>
        <w:trPr>
          <w:trHeight w:hRule="exact" w:val="224"/>
        </w:trPr>
        <w:tc>
          <w:tcPr>
            <w:tcW w:type="dxa" w:w="6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Reimbursable revenue – Bank-executed activities for trust funds</w:t>
            </w:r>
          </w:p>
        </w:tc>
        <w:tc>
          <w:tcPr>
            <w:tcW w:type="dxa" w:w="40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(262)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(248) </w:t>
            </w:r>
          </w:p>
        </w:tc>
        <w:tc>
          <w:tcPr>
            <w:tcW w:type="dxa" w:w="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(14) </w:t>
            </w:r>
          </w:p>
        </w:tc>
      </w:tr>
      <w:tr>
        <w:trPr>
          <w:trHeight w:hRule="exact" w:val="254"/>
        </w:trPr>
        <w:tc>
          <w:tcPr>
            <w:tcW w:type="dxa" w:w="61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revenue</w:t>
            </w:r>
          </w:p>
        </w:tc>
        <w:tc>
          <w:tcPr>
            <w:tcW w:type="dxa" w:w="1347"/>
            <w:vMerge/>
            <w:tcBorders>
              <w:bottom w:sz="8.0" w:val="single" w:color="#000000"/>
            </w:tcBorders>
          </w:tcPr>
          <w:p/>
        </w:tc>
        <w:tc>
          <w:tcPr>
            <w:tcW w:type="dxa" w:w="10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(155) </w:t>
            </w:r>
          </w:p>
        </w:tc>
        <w:tc>
          <w:tcPr>
            <w:tcW w:type="dxa" w:w="11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(153) </w:t>
            </w:r>
          </w:p>
        </w:tc>
        <w:tc>
          <w:tcPr>
            <w:tcW w:type="dxa" w:w="5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</w:t>
            </w:r>
          </w:p>
        </w:tc>
      </w:tr>
      <w:tr>
        <w:trPr>
          <w:trHeight w:hRule="exact" w:val="240"/>
        </w:trPr>
        <w:tc>
          <w:tcPr>
            <w:tcW w:type="dxa" w:w="61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39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revenue from externally funded activities</w:t>
            </w:r>
          </w:p>
        </w:tc>
        <w:tc>
          <w:tcPr>
            <w:tcW w:type="dxa" w:w="4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(417) $ </w:t>
            </w:r>
          </w:p>
        </w:tc>
        <w:tc>
          <w:tcPr>
            <w:tcW w:type="dxa" w:w="112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(401) $ </w:t>
            </w:r>
          </w:p>
        </w:tc>
        <w:tc>
          <w:tcPr>
            <w:tcW w:type="dxa" w:w="5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(16) </w:t>
            </w:r>
          </w:p>
        </w:tc>
      </w:tr>
      <w:tr>
        <w:trPr>
          <w:trHeight w:hRule="exact" w:val="226"/>
        </w:trPr>
        <w:tc>
          <w:tcPr>
            <w:tcW w:type="dxa" w:w="61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non-interest expenses (Table 2)</w:t>
            </w:r>
          </w:p>
        </w:tc>
        <w:tc>
          <w:tcPr>
            <w:tcW w:type="dxa" w:w="40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751 </w:t>
            </w:r>
          </w:p>
        </w:tc>
        <w:tc>
          <w:tcPr>
            <w:tcW w:type="dxa" w:w="112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2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695 </w:t>
            </w:r>
          </w:p>
        </w:tc>
        <w:tc>
          <w:tcPr>
            <w:tcW w:type="dxa" w:w="5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56 </w:t>
            </w:r>
          </w:p>
        </w:tc>
      </w:tr>
      <w:tr>
        <w:trPr>
          <w:trHeight w:hRule="exact" w:val="254"/>
        </w:trPr>
        <w:tc>
          <w:tcPr>
            <w:tcW w:type="dxa" w:w="61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pension cost, other than service cost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(Table 2)</w:t>
            </w:r>
          </w:p>
        </w:tc>
        <w:tc>
          <w:tcPr>
            <w:tcW w:type="dxa" w:w="134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4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(86) </w:t>
            </w:r>
          </w:p>
        </w:tc>
        <w:tc>
          <w:tcPr>
            <w:tcW w:type="dxa" w:w="11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4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(94) </w:t>
            </w:r>
          </w:p>
        </w:tc>
        <w:tc>
          <w:tcPr>
            <w:tcW w:type="dxa" w:w="5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 </w:t>
            </w:r>
          </w:p>
        </w:tc>
      </w:tr>
      <w:tr>
        <w:trPr>
          <w:trHeight w:hRule="exact" w:val="231"/>
        </w:trPr>
        <w:tc>
          <w:tcPr>
            <w:tcW w:type="dxa" w:w="61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non-interest expenses - GAAP basis</w:t>
            </w:r>
          </w:p>
        </w:tc>
        <w:tc>
          <w:tcPr>
            <w:tcW w:type="dxa" w:w="4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665 </w:t>
            </w:r>
          </w:p>
        </w:tc>
        <w:tc>
          <w:tcPr>
            <w:tcW w:type="dxa" w:w="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601 </w:t>
            </w:r>
          </w:p>
        </w:tc>
        <w:tc>
          <w:tcPr>
            <w:tcW w:type="dxa" w:w="4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64 </w:t>
            </w:r>
          </w:p>
        </w:tc>
      </w:tr>
    </w:tbl>
    <w:p>
      <w:pPr>
        <w:autoSpaceDN w:val="0"/>
        <w:autoSpaceDE w:val="0"/>
        <w:widowControl/>
        <w:spacing w:line="180" w:lineRule="exact" w:before="42" w:after="32"/>
        <w:ind w:left="5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Adjustments to arrive at net non-interest expenses - allocable income basis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7"/>
        <w:gridCol w:w="1347"/>
        <w:gridCol w:w="1347"/>
        <w:gridCol w:w="1347"/>
        <w:gridCol w:w="1347"/>
        <w:gridCol w:w="1347"/>
        <w:gridCol w:w="1347"/>
      </w:tblGrid>
      <w:tr>
        <w:trPr>
          <w:trHeight w:hRule="exact" w:val="202"/>
        </w:trPr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Pension, Externally Financed Outputs (EFO) and Reserve Advisory and Management </w:t>
            </w:r>
          </w:p>
        </w:tc>
        <w:tc>
          <w:tcPr>
            <w:tcW w:type="dxa" w:w="42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81 </w:t>
            </w:r>
          </w:p>
        </w:tc>
        <w:tc>
          <w:tcPr>
            <w:tcW w:type="dxa" w:w="4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94 </w:t>
            </w:r>
          </w:p>
        </w:tc>
        <w:tc>
          <w:tcPr>
            <w:tcW w:type="dxa" w:w="49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(13) </w:t>
            </w:r>
          </w:p>
        </w:tc>
      </w:tr>
      <w:tr>
        <w:trPr>
          <w:trHeight w:hRule="exact" w:val="230"/>
        </w:trPr>
        <w:tc>
          <w:tcPr>
            <w:tcW w:type="dxa" w:w="62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Partnership (RAMP) adjustments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1347"/>
            <w:vMerge/>
            <w:tcBorders>
              <w:bottom w:sz="8.0" w:val="single" w:color="#000000"/>
            </w:tcBorders>
          </w:tcPr>
          <w:p/>
        </w:tc>
        <w:tc>
          <w:tcPr>
            <w:tcW w:type="dxa" w:w="1347"/>
            <w:vMerge/>
            <w:tcBorders>
              <w:bottom w:sz="8.0" w:val="single" w:color="#000000"/>
            </w:tcBorders>
          </w:tcPr>
          <w:p/>
        </w:tc>
        <w:tc>
          <w:tcPr>
            <w:tcW w:type="dxa" w:w="1347"/>
            <w:vMerge/>
            <w:tcBorders>
              <w:bottom w:sz="8.0" w:val="single" w:color="#000000"/>
            </w:tcBorders>
          </w:tcPr>
          <w:p/>
        </w:tc>
        <w:tc>
          <w:tcPr>
            <w:tcW w:type="dxa" w:w="1347"/>
            <w:vMerge/>
            <w:tcBorders>
              <w:bottom w:sz="8.0" w:val="single" w:color="#000000"/>
            </w:tcBorders>
          </w:tcPr>
          <w:p/>
        </w:tc>
        <w:tc>
          <w:tcPr>
            <w:tcW w:type="dxa" w:w="1347"/>
            <w:vMerge/>
            <w:tcBorders>
              <w:bottom w:sz="8.0" w:val="single" w:color="#000000"/>
            </w:tcBorders>
          </w:tcPr>
          <w:p/>
        </w:tc>
        <w:tc>
          <w:tcPr>
            <w:tcW w:type="dxa" w:w="1347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6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non-interest expenses - allocable income basis</w:t>
            </w:r>
          </w:p>
        </w:tc>
        <w:tc>
          <w:tcPr>
            <w:tcW w:type="dxa" w:w="4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746 </w:t>
            </w:r>
          </w:p>
        </w:tc>
        <w:tc>
          <w:tcPr>
            <w:tcW w:type="dxa" w:w="4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695 </w:t>
            </w:r>
          </w:p>
        </w:tc>
        <w:tc>
          <w:tcPr>
            <w:tcW w:type="dxa" w:w="4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51 </w:t>
            </w:r>
          </w:p>
        </w:tc>
      </w:tr>
      <w:tr>
        <w:trPr>
          <w:trHeight w:hRule="exact" w:val="260"/>
        </w:trPr>
        <w:tc>
          <w:tcPr>
            <w:tcW w:type="dxa" w:w="622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4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236" w:val="left"/>
        </w:tabs>
        <w:autoSpaceDE w:val="0"/>
        <w:widowControl/>
        <w:spacing w:line="192" w:lineRule="exact" w:before="22" w:after="0"/>
        <w:ind w:left="56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The pension service cost represents the cost of benefits attributable to services performed by employees for the Bank during the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period. See Notes to Condensed Quarterly Financial Statements, Note K - Pension and Other Post-Retirement Benefits.</w:t>
      </w:r>
    </w:p>
    <w:p>
      <w:pPr>
        <w:autoSpaceDN w:val="0"/>
        <w:autoSpaceDE w:val="0"/>
        <w:widowControl/>
        <w:spacing w:line="180" w:lineRule="exact" w:before="60" w:after="0"/>
        <w:ind w:left="56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Amount is included in Other Non-interest expenses in the Condensed Statements of Income (Table 2).</w:t>
      </w:r>
    </w:p>
    <w:p>
      <w:pPr>
        <w:autoSpaceDN w:val="0"/>
        <w:autoSpaceDE w:val="0"/>
        <w:widowControl/>
        <w:spacing w:line="180" w:lineRule="exact" w:before="60" w:after="0"/>
        <w:ind w:left="56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c. Adjustments are included in the Pension and other adjustments line in Table 2. </w:t>
      </w:r>
    </w:p>
    <w:p>
      <w:pPr>
        <w:autoSpaceDN w:val="0"/>
        <w:autoSpaceDE w:val="0"/>
        <w:widowControl/>
        <w:spacing w:line="244" w:lineRule="exact" w:before="322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Unrealized mark-to-market gains and losses on non-trading portfolios</w:t>
      </w:r>
    </w:p>
    <w:p>
      <w:pPr>
        <w:autoSpaceDN w:val="0"/>
        <w:autoSpaceDE w:val="0"/>
        <w:widowControl/>
        <w:spacing w:line="240" w:lineRule="exact" w:before="128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Unrealized mark-to-market gains and losses associated with the non-trading portfolios are excluded from reported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net income to arrive at allocable income. As a result, from a long-term financial sustainability perspective, income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allocations are generally based on amounts that have been realized (except for the Investments-Trading portfolio, 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previously discussed). For the first six months of FY25, net unrealized mark-to-market losses were $133 million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($354 million net unrealized mark-to-market losses for same period in FY24) (Table 2).</w:t>
      </w:r>
    </w:p>
    <w:p>
      <w:pPr>
        <w:autoSpaceDN w:val="0"/>
        <w:autoSpaceDE w:val="0"/>
        <w:widowControl/>
        <w:spacing w:line="224" w:lineRule="exact" w:before="238" w:after="0"/>
        <w:ind w:left="5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Table 8: Unrealized Mark-to-market Gains (Losses) on Non-trading Portfolios </w:t>
      </w:r>
      <w:r>
        <w:rPr>
          <w:w w:val="97.49999841054282"/>
          <w:rFonts w:ascii="Arial" w:hAnsi="Arial" w:eastAsia="Arial"/>
          <w:b/>
          <w:i w:val="0"/>
          <w:color w:val="000000"/>
          <w:sz w:val="12"/>
        </w:rPr>
        <w:t>a</w:t>
      </w:r>
    </w:p>
    <w:p>
      <w:pPr>
        <w:autoSpaceDN w:val="0"/>
        <w:autoSpaceDE w:val="0"/>
        <w:widowControl/>
        <w:spacing w:line="178" w:lineRule="exact" w:before="64" w:after="30"/>
        <w:ind w:left="56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6"/>
        <w:gridCol w:w="1886"/>
        <w:gridCol w:w="1886"/>
        <w:gridCol w:w="1886"/>
        <w:gridCol w:w="1886"/>
      </w:tblGrid>
      <w:tr>
        <w:trPr>
          <w:trHeight w:hRule="exact" w:val="240"/>
        </w:trPr>
        <w:tc>
          <w:tcPr>
            <w:tcW w:type="dxa" w:w="5994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For the six months ended December 31,</w:t>
            </w:r>
          </w:p>
        </w:tc>
        <w:tc>
          <w:tcPr>
            <w:tcW w:type="dxa" w:w="43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5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2024</w:t>
            </w:r>
          </w:p>
        </w:tc>
        <w:tc>
          <w:tcPr>
            <w:tcW w:type="dxa" w:w="98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2023</w:t>
            </w:r>
          </w:p>
        </w:tc>
        <w:tc>
          <w:tcPr>
            <w:tcW w:type="dxa" w:w="89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Variance</w:t>
            </w:r>
          </w:p>
        </w:tc>
      </w:tr>
      <w:tr>
        <w:trPr>
          <w:trHeight w:hRule="exact" w:val="236"/>
        </w:trPr>
        <w:tc>
          <w:tcPr>
            <w:tcW w:type="dxa" w:w="5994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Loan-related derivatives</w:t>
            </w:r>
          </w:p>
        </w:tc>
        <w:tc>
          <w:tcPr>
            <w:tcW w:type="dxa" w:w="430"/>
            <w:vMerge w:val="restart"/>
            <w:tcBorders>
              <w:top w:sz="4.0" w:val="single" w:color="#929292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8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(464) $ </w:t>
            </w:r>
          </w:p>
        </w:tc>
        <w:tc>
          <w:tcPr>
            <w:tcW w:type="dxa" w:w="98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2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(1,567) $ </w:t>
            </w:r>
          </w:p>
        </w:tc>
        <w:tc>
          <w:tcPr>
            <w:tcW w:type="dxa" w:w="89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1,103 </w:t>
            </w:r>
          </w:p>
        </w:tc>
      </w:tr>
      <w:tr>
        <w:trPr>
          <w:trHeight w:hRule="exact" w:val="240"/>
        </w:trPr>
        <w:tc>
          <w:tcPr>
            <w:tcW w:type="dxa" w:w="59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ALM derivatives</w:t>
            </w:r>
          </w:p>
        </w:tc>
        <w:tc>
          <w:tcPr>
            <w:tcW w:type="dxa" w:w="1886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4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554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1,287 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(733) </w:t>
            </w:r>
          </w:p>
        </w:tc>
      </w:tr>
      <w:tr>
        <w:trPr>
          <w:trHeight w:hRule="exact" w:val="240"/>
        </w:trPr>
        <w:tc>
          <w:tcPr>
            <w:tcW w:type="dxa" w:w="59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Borrowings, including derivatives</w:t>
            </w:r>
          </w:p>
        </w:tc>
        <w:tc>
          <w:tcPr>
            <w:tcW w:type="dxa" w:w="1886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(237)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(137) 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(100) </w:t>
            </w:r>
          </w:p>
        </w:tc>
      </w:tr>
      <w:tr>
        <w:trPr>
          <w:trHeight w:hRule="exact" w:val="244"/>
        </w:trPr>
        <w:tc>
          <w:tcPr>
            <w:tcW w:type="dxa" w:w="599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Client operations and other derivatives, net</w:t>
            </w:r>
          </w:p>
        </w:tc>
        <w:tc>
          <w:tcPr>
            <w:tcW w:type="dxa" w:w="1886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0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 </w:t>
            </w:r>
          </w:p>
        </w:tc>
        <w:tc>
          <w:tcPr>
            <w:tcW w:type="dxa" w:w="9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 </w:t>
            </w:r>
          </w:p>
        </w:tc>
        <w:tc>
          <w:tcPr>
            <w:tcW w:type="dxa" w:w="8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(49) </w:t>
            </w:r>
          </w:p>
        </w:tc>
      </w:tr>
      <w:tr>
        <w:trPr>
          <w:trHeight w:hRule="exact" w:val="220"/>
        </w:trPr>
        <w:tc>
          <w:tcPr>
            <w:tcW w:type="dxa" w:w="59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4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(133) $ </w:t>
            </w:r>
          </w:p>
        </w:tc>
        <w:tc>
          <w:tcPr>
            <w:tcW w:type="dxa" w:w="9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(354) $ </w:t>
            </w:r>
          </w:p>
        </w:tc>
        <w:tc>
          <w:tcPr>
            <w:tcW w:type="dxa" w:w="8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221 </w:t>
            </w:r>
          </w:p>
        </w:tc>
      </w:tr>
      <w:tr>
        <w:trPr>
          <w:trHeight w:hRule="exact" w:val="260"/>
        </w:trPr>
        <w:tc>
          <w:tcPr>
            <w:tcW w:type="dxa" w:w="5994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9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78" w:lineRule="exact" w:before="32" w:after="0"/>
        <w:ind w:left="56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Adjusted to exclude amounts reclassified to realized mark-to-market gains (losses).</w:t>
      </w:r>
    </w:p>
    <w:p>
      <w:pPr>
        <w:autoSpaceDN w:val="0"/>
        <w:autoSpaceDE w:val="0"/>
        <w:widowControl/>
        <w:spacing w:line="244" w:lineRule="exact" w:before="206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>Loan Portfolio</w:t>
      </w:r>
    </w:p>
    <w:p>
      <w:pPr>
        <w:autoSpaceDN w:val="0"/>
        <w:autoSpaceDE w:val="0"/>
        <w:widowControl/>
        <w:spacing w:line="240" w:lineRule="exact" w:before="126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Loans are reported at amortized cost on the balance sheet and therefore the mark-to-market effect on loans is not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reflected in reported net income. However, the derivatives used to convert loans from fixed-rate to variable-rate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instruments, for asset / liability management purposes, are reported at fair value. From an economic perspective,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loans after the effect of derivatives carry variable interest rates and have a low sensitivity to the change in </w:t>
      </w:r>
    </w:p>
    <w:p>
      <w:pPr>
        <w:autoSpaceDN w:val="0"/>
        <w:autoSpaceDE w:val="0"/>
        <w:widowControl/>
        <w:spacing w:line="224" w:lineRule="exact" w:before="636" w:after="0"/>
        <w:ind w:left="0" w:right="6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December 31, 2024     15</w:t>
      </w:r>
    </w:p>
    <w:p>
      <w:pPr>
        <w:sectPr>
          <w:pgSz w:w="12240" w:h="15840"/>
          <w:pgMar w:top="256" w:right="1372" w:bottom="13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5"/>
        <w:gridCol w:w="4715"/>
      </w:tblGrid>
      <w:tr>
        <w:trPr>
          <w:trHeight w:hRule="exact" w:val="286"/>
        </w:trPr>
        <w:tc>
          <w:tcPr>
            <w:tcW w:type="dxa" w:w="3956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III: Financial Results</w:t>
            </w:r>
          </w:p>
        </w:tc>
      </w:tr>
    </w:tbl>
    <w:p>
      <w:pPr>
        <w:autoSpaceDN w:val="0"/>
        <w:autoSpaceDE w:val="0"/>
        <w:widowControl/>
        <w:spacing w:line="240" w:lineRule="exact" w:before="226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interest rates. The unrealized mark-to-market losses on loan related derivatives were $1,103 million lower in the first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six months of FY25 compared to the same period in FY24, primarily due to the smaller decrease in relevant interest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rates during this period. See Section IV: Risk Management for additional details on how IBRD uses derivatives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loan portfolio.</w:t>
      </w:r>
    </w:p>
    <w:p>
      <w:pPr>
        <w:autoSpaceDN w:val="0"/>
        <w:autoSpaceDE w:val="0"/>
        <w:widowControl/>
        <w:spacing w:line="244" w:lineRule="exact" w:before="134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>Other ALM Portfolio</w:t>
      </w:r>
    </w:p>
    <w:p>
      <w:pPr>
        <w:autoSpaceDN w:val="0"/>
        <w:autoSpaceDE w:val="0"/>
        <w:widowControl/>
        <w:spacing w:line="240" w:lineRule="exact" w:before="126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IBRD uses derivatives to stabilize its interest revenue from the portion of loans that is sensitive to changes in short-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term interest rates. The Other ALM portfolio consists of derivatives which convert a portion of variable rate loan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cash flows to fixed rate loan cash flows. In the first six months of FY25, IBRD recorded unrealized mark-to-market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gains of $554 million on this portfolio primarily due to the decrease in relevant interest rates during this period,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compared to a more significant decrease in relevant interest rates for the six months ended as of December 31, 2023.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duration of this portfolio was 4.4 years, within the Board established limit of 5 years.</w:t>
      </w:r>
    </w:p>
    <w:p>
      <w:pPr>
        <w:autoSpaceDN w:val="0"/>
        <w:autoSpaceDE w:val="0"/>
        <w:widowControl/>
        <w:spacing w:line="244" w:lineRule="exact" w:before="134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>Borrowing Portfolio</w:t>
      </w:r>
    </w:p>
    <w:p>
      <w:pPr>
        <w:autoSpaceDN w:val="0"/>
        <w:autoSpaceDE w:val="0"/>
        <w:widowControl/>
        <w:spacing w:line="240" w:lineRule="exact" w:before="126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borrowings and the related derivatives are reported at fair value, except for hybrid capital that is reported at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amortized cost on the balance sheet. IBRD recorded $237 million of net unrealized mark-to-market losses 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borrowings at fair value and associated derivatives, due to the decrease in relevant interest rates as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December 31, 2024, compared to June 30, 2024. The unrealized mark-to-market losses on these borrowings at fair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value were mainly driven by the decrease in relevant interest rates and exceeded the gains on the bond-related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derivatives. The net unrealized mark-to-market losses on IBRD’s bonds exclude changes in IBRD’s own credit,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referred to as the DVA on Fair Value Option elected liabilities, which is recorded in Accumulated Other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Comprehensive Income (AOCI). For the first six months of FY25, the DVA was $1,407 million of unrealized mark-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to-market gains, resulting mainly from the widening of IBRD’s credit spreads relative to the applicable reference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rate during the period, primarily driven by the widening of spreads across euro sovereign, supranational, and agency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markets. As of December 31, 2024, IBRD’s Condensed Balance Sheets included a cumulative DVA of $2,080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million of mark-to-market gains reflected in AOCI (see Notes to the Condensed Quarterly Financial Statements,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Note J - Fair Value Disclosures).</w:t>
      </w:r>
    </w:p>
    <w:p>
      <w:pPr>
        <w:autoSpaceDN w:val="0"/>
        <w:autoSpaceDE w:val="0"/>
        <w:widowControl/>
        <w:spacing w:line="224" w:lineRule="exact" w:before="779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16     IBRD Management's Discussion and Analysis: December 31, 2024</w:t>
      </w:r>
    </w:p>
    <w:p>
      <w:pPr>
        <w:sectPr>
          <w:pgSz w:w="12240" w:h="15840"/>
          <w:pgMar w:top="256" w:right="1370" w:bottom="1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00"/>
        <w:gridCol w:w="4700"/>
      </w:tblGrid>
      <w:tr>
        <w:trPr>
          <w:trHeight w:hRule="exact" w:val="286"/>
        </w:trPr>
        <w:tc>
          <w:tcPr>
            <w:tcW w:type="dxa" w:w="3956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III: Financial Results</w:t>
            </w:r>
          </w:p>
        </w:tc>
      </w:tr>
    </w:tbl>
    <w:p>
      <w:pPr>
        <w:autoSpaceDN w:val="0"/>
        <w:autoSpaceDE w:val="0"/>
        <w:widowControl/>
        <w:spacing w:line="244" w:lineRule="exact" w:before="2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Board of Governors-approved and Other Transfers</w:t>
      </w:r>
    </w:p>
    <w:p>
      <w:pPr>
        <w:autoSpaceDN w:val="0"/>
        <w:autoSpaceDE w:val="0"/>
        <w:widowControl/>
        <w:spacing w:line="222" w:lineRule="exact" w:before="14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During the first six months of FY25, the Board of Governors approved the following transfers as shown below:</w:t>
      </w:r>
    </w:p>
    <w:p>
      <w:pPr>
        <w:autoSpaceDN w:val="0"/>
        <w:autoSpaceDE w:val="0"/>
        <w:widowControl/>
        <w:spacing w:line="180" w:lineRule="exact" w:before="92" w:after="6"/>
        <w:ind w:left="183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Amount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7"/>
        <w:gridCol w:w="1567"/>
        <w:gridCol w:w="1567"/>
        <w:gridCol w:w="1567"/>
        <w:gridCol w:w="1567"/>
        <w:gridCol w:w="1567"/>
      </w:tblGrid>
      <w:tr>
        <w:trPr>
          <w:trHeight w:hRule="exact" w:val="216"/>
        </w:trPr>
        <w:tc>
          <w:tcPr>
            <w:tcW w:type="dxa" w:w="15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Date of approval</w:t>
            </w:r>
          </w:p>
        </w:tc>
        <w:tc>
          <w:tcPr>
            <w:tcW w:type="dxa" w:w="12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($ in million)</w:t>
            </w:r>
          </w:p>
        </w:tc>
        <w:tc>
          <w:tcPr>
            <w:tcW w:type="dxa" w:w="11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Source</w:t>
            </w:r>
          </w:p>
        </w:tc>
        <w:tc>
          <w:tcPr>
            <w:tcW w:type="dxa" w:w="15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0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Beneficiary</w:t>
            </w:r>
          </w:p>
        </w:tc>
        <w:tc>
          <w:tcPr>
            <w:tcW w:type="dxa" w:w="19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Date transferred</w:t>
            </w:r>
          </w:p>
        </w:tc>
        <w:tc>
          <w:tcPr>
            <w:tcW w:type="dxa" w:w="19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38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Reported as</w:t>
            </w:r>
          </w:p>
        </w:tc>
      </w:tr>
    </w:tbl>
    <w:p>
      <w:pPr>
        <w:autoSpaceDN w:val="0"/>
        <w:autoSpaceDE w:val="0"/>
        <w:widowControl/>
        <w:spacing w:line="180" w:lineRule="exact" w:before="136" w:after="6"/>
        <w:ind w:left="0" w:right="644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6"/>
        </w:rPr>
        <w:t>Board of Governors-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567"/>
        <w:gridCol w:w="1567"/>
        <w:gridCol w:w="1567"/>
        <w:gridCol w:w="1567"/>
        <w:gridCol w:w="1567"/>
        <w:gridCol w:w="1567"/>
      </w:tblGrid>
      <w:tr>
        <w:trPr>
          <w:trHeight w:hRule="exact" w:val="178"/>
        </w:trPr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September 9, 2024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Surplus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3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Trust Fund for Gaza 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2" w:after="0"/>
              <w:ind w:left="1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September 16, 2024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approved and other </w:t>
            </w:r>
          </w:p>
        </w:tc>
      </w:tr>
      <w:tr>
        <w:trPr>
          <w:trHeight w:hRule="exact" w:val="180"/>
        </w:trPr>
        <w:tc>
          <w:tcPr>
            <w:tcW w:type="dxa" w:w="1567"/>
            <w:vMerge/>
            <w:tcBorders/>
          </w:tcPr>
          <w:p/>
        </w:tc>
        <w:tc>
          <w:tcPr>
            <w:tcW w:type="dxa" w:w="1567"/>
            <w:vMerge/>
            <w:tcBorders/>
          </w:tcPr>
          <w:p/>
        </w:tc>
        <w:tc>
          <w:tcPr>
            <w:tcW w:type="dxa" w:w="1567"/>
            <w:vMerge/>
            <w:tcBorders/>
          </w:tcPr>
          <w:p/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and West Bank </w:t>
            </w:r>
          </w:p>
        </w:tc>
        <w:tc>
          <w:tcPr>
            <w:tcW w:type="dxa" w:w="1567"/>
            <w:vMerge/>
            <w:tcBorders/>
          </w:tcPr>
          <w:p/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transfers on Condensed </w:t>
            </w:r>
          </w:p>
        </w:tc>
      </w:tr>
      <w:tr>
        <w:trPr>
          <w:trHeight w:hRule="exact" w:val="246"/>
        </w:trPr>
        <w:tc>
          <w:tcPr>
            <w:tcW w:type="dxa" w:w="1567"/>
            <w:vMerge/>
            <w:tcBorders/>
          </w:tcPr>
          <w:p/>
        </w:tc>
        <w:tc>
          <w:tcPr>
            <w:tcW w:type="dxa" w:w="1567"/>
            <w:vMerge/>
            <w:tcBorders/>
          </w:tcPr>
          <w:p/>
        </w:tc>
        <w:tc>
          <w:tcPr>
            <w:tcW w:type="dxa" w:w="1567"/>
            <w:vMerge/>
            <w:tcBorders/>
          </w:tcPr>
          <w:p/>
        </w:tc>
        <w:tc>
          <w:tcPr>
            <w:tcW w:type="dxa" w:w="1567"/>
            <w:vMerge/>
            <w:tcBorders/>
          </w:tcPr>
          <w:p/>
        </w:tc>
        <w:tc>
          <w:tcPr>
            <w:tcW w:type="dxa" w:w="1567"/>
            <w:vMerge/>
            <w:tcBorders/>
          </w:tcPr>
          <w:p/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" w:after="0"/>
              <w:ind w:left="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Statement of Income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d</w:t>
            </w:r>
          </w:p>
        </w:tc>
      </w:tr>
    </w:tbl>
    <w:p>
      <w:pPr>
        <w:autoSpaceDN w:val="0"/>
        <w:autoSpaceDE w:val="0"/>
        <w:widowControl/>
        <w:spacing w:line="178" w:lineRule="exact" w:before="36" w:after="6"/>
        <w:ind w:left="0" w:right="644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6"/>
        </w:rPr>
        <w:t>Board of Governors-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567"/>
        <w:gridCol w:w="1567"/>
        <w:gridCol w:w="1567"/>
        <w:gridCol w:w="1567"/>
        <w:gridCol w:w="1567"/>
        <w:gridCol w:w="1567"/>
      </w:tblGrid>
      <w:tr>
        <w:trPr>
          <w:trHeight w:hRule="exact" w:val="174"/>
        </w:trPr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4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September 18, 2024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200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Surplus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Trust Fund for Gaza 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4" w:after="0"/>
              <w:ind w:left="1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September 30, 2024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approved and other </w:t>
            </w:r>
          </w:p>
        </w:tc>
      </w:tr>
      <w:tr>
        <w:trPr>
          <w:trHeight w:hRule="exact" w:val="200"/>
        </w:trPr>
        <w:tc>
          <w:tcPr>
            <w:tcW w:type="dxa" w:w="1567"/>
            <w:vMerge/>
            <w:tcBorders/>
          </w:tcPr>
          <w:p/>
        </w:tc>
        <w:tc>
          <w:tcPr>
            <w:tcW w:type="dxa" w:w="1567"/>
            <w:vMerge/>
            <w:tcBorders/>
          </w:tcPr>
          <w:p/>
        </w:tc>
        <w:tc>
          <w:tcPr>
            <w:tcW w:type="dxa" w:w="1567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2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and West Bank </w:t>
            </w:r>
          </w:p>
        </w:tc>
        <w:tc>
          <w:tcPr>
            <w:tcW w:type="dxa" w:w="1567"/>
            <w:vMerge/>
            <w:tcBorders/>
          </w:tcPr>
          <w:p/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transfers on Condensed </w:t>
            </w:r>
          </w:p>
        </w:tc>
      </w:tr>
      <w:tr>
        <w:trPr>
          <w:trHeight w:hRule="exact" w:val="232"/>
        </w:trPr>
        <w:tc>
          <w:tcPr>
            <w:tcW w:type="dxa" w:w="1567"/>
            <w:vMerge/>
            <w:tcBorders/>
          </w:tcPr>
          <w:p/>
        </w:tc>
        <w:tc>
          <w:tcPr>
            <w:tcW w:type="dxa" w:w="1567"/>
            <w:vMerge/>
            <w:tcBorders/>
          </w:tcPr>
          <w:p/>
        </w:tc>
        <w:tc>
          <w:tcPr>
            <w:tcW w:type="dxa" w:w="1567"/>
            <w:vMerge/>
            <w:tcBorders/>
          </w:tcPr>
          <w:p/>
        </w:tc>
        <w:tc>
          <w:tcPr>
            <w:tcW w:type="dxa" w:w="1567"/>
            <w:vMerge/>
            <w:tcBorders/>
          </w:tcPr>
          <w:p/>
        </w:tc>
        <w:tc>
          <w:tcPr>
            <w:tcW w:type="dxa" w:w="1567"/>
            <w:vMerge/>
            <w:tcBorders/>
          </w:tcPr>
          <w:p/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Statement of Income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d</w:t>
            </w:r>
          </w:p>
        </w:tc>
      </w:tr>
    </w:tbl>
    <w:p>
      <w:pPr>
        <w:autoSpaceDN w:val="0"/>
        <w:autoSpaceDE w:val="0"/>
        <w:widowControl/>
        <w:spacing w:line="180" w:lineRule="exact" w:before="34" w:after="6"/>
        <w:ind w:left="0" w:right="644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6"/>
        </w:rPr>
        <w:t>Board of Governors-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7"/>
        <w:gridCol w:w="1567"/>
        <w:gridCol w:w="1567"/>
        <w:gridCol w:w="1567"/>
        <w:gridCol w:w="1567"/>
        <w:gridCol w:w="1567"/>
      </w:tblGrid>
      <w:tr>
        <w:trPr>
          <w:trHeight w:hRule="exact" w:val="188"/>
        </w:trPr>
        <w:tc>
          <w:tcPr>
            <w:tcW w:type="dxa" w:w="17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September 18, 2024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515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FY24 allocable 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0" w:after="0"/>
              <w:ind w:left="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IDA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 xml:space="preserve">b 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September 30, 2024</w:t>
            </w:r>
          </w:p>
        </w:tc>
        <w:tc>
          <w:tcPr>
            <w:tcW w:type="dxa" w:w="2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approved and other </w:t>
            </w:r>
          </w:p>
        </w:tc>
      </w:tr>
      <w:tr>
        <w:trPr>
          <w:trHeight w:hRule="exact" w:val="180"/>
        </w:trPr>
        <w:tc>
          <w:tcPr>
            <w:tcW w:type="dxa" w:w="1567"/>
            <w:vMerge/>
            <w:tcBorders/>
          </w:tcPr>
          <w:p/>
        </w:tc>
        <w:tc>
          <w:tcPr>
            <w:tcW w:type="dxa" w:w="1567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income</w:t>
            </w:r>
          </w:p>
        </w:tc>
        <w:tc>
          <w:tcPr>
            <w:tcW w:type="dxa" w:w="1567"/>
            <w:vMerge/>
            <w:tcBorders/>
          </w:tcPr>
          <w:p/>
        </w:tc>
        <w:tc>
          <w:tcPr>
            <w:tcW w:type="dxa" w:w="1567"/>
            <w:vMerge/>
            <w:tcBorders/>
          </w:tcPr>
          <w:p/>
        </w:tc>
        <w:tc>
          <w:tcPr>
            <w:tcW w:type="dxa" w:w="2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transfers on Condensed </w:t>
            </w:r>
          </w:p>
        </w:tc>
      </w:tr>
      <w:tr>
        <w:trPr>
          <w:trHeight w:hRule="exact" w:val="240"/>
        </w:trPr>
        <w:tc>
          <w:tcPr>
            <w:tcW w:type="dxa" w:w="17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7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September 18, 2024</w:t>
            </w:r>
          </w:p>
        </w:tc>
        <w:tc>
          <w:tcPr>
            <w:tcW w:type="dxa" w:w="7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7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200</w:t>
            </w:r>
          </w:p>
        </w:tc>
        <w:tc>
          <w:tcPr>
            <w:tcW w:type="dxa" w:w="14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70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Surplus 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IBRD Surplus-Funded </w:t>
            </w:r>
          </w:p>
        </w:tc>
        <w:tc>
          <w:tcPr>
            <w:tcW w:type="dxa" w:w="16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7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September 30, 2024</w:t>
            </w:r>
          </w:p>
        </w:tc>
        <w:tc>
          <w:tcPr>
            <w:tcW w:type="dxa" w:w="2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Statement of Income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d</w:t>
            </w:r>
          </w:p>
        </w:tc>
      </w:tr>
      <w:tr>
        <w:trPr>
          <w:trHeight w:hRule="exact" w:val="224"/>
        </w:trPr>
        <w:tc>
          <w:tcPr>
            <w:tcW w:type="dxa" w:w="1567"/>
            <w:vMerge/>
            <w:tcBorders>
              <w:bottom w:sz="8.0" w:val="single" w:color="#000000"/>
            </w:tcBorders>
          </w:tcPr>
          <w:p/>
        </w:tc>
        <w:tc>
          <w:tcPr>
            <w:tcW w:type="dxa" w:w="1567"/>
            <w:vMerge/>
            <w:tcBorders>
              <w:bottom w:sz="8.0" w:val="single" w:color="#000000"/>
            </w:tcBorders>
          </w:tcPr>
          <w:p/>
        </w:tc>
        <w:tc>
          <w:tcPr>
            <w:tcW w:type="dxa" w:w="1567"/>
            <w:vMerge/>
            <w:tcBorders>
              <w:bottom w:sz="8.0" w:val="single" w:color="#000000"/>
            </w:tcBorders>
          </w:tcPr>
          <w:p/>
        </w:tc>
        <w:tc>
          <w:tcPr>
            <w:tcW w:type="dxa" w:w="1567"/>
            <w:vMerge/>
            <w:tcBorders/>
          </w:tcPr>
          <w:p/>
        </w:tc>
        <w:tc>
          <w:tcPr>
            <w:tcW w:type="dxa" w:w="1567"/>
            <w:vMerge/>
            <w:tcBorders>
              <w:bottom w:sz="8.0" w:val="single" w:color="#000000"/>
            </w:tcBorders>
          </w:tcPr>
          <w:p/>
        </w:tc>
        <w:tc>
          <w:tcPr>
            <w:tcW w:type="dxa" w:w="2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Reclassification within </w:t>
            </w:r>
          </w:p>
        </w:tc>
      </w:tr>
      <w:tr>
        <w:trPr>
          <w:trHeight w:hRule="exact" w:val="176"/>
        </w:trPr>
        <w:tc>
          <w:tcPr>
            <w:tcW w:type="dxa" w:w="1567"/>
            <w:vMerge/>
            <w:tcBorders>
              <w:bottom w:sz="8.0" w:val="single" w:color="#000000"/>
            </w:tcBorders>
          </w:tcPr>
          <w:p/>
        </w:tc>
        <w:tc>
          <w:tcPr>
            <w:tcW w:type="dxa" w:w="1567"/>
            <w:vMerge/>
            <w:tcBorders>
              <w:bottom w:sz="8.0" w:val="single" w:color="#000000"/>
            </w:tcBorders>
          </w:tcPr>
          <w:p/>
        </w:tc>
        <w:tc>
          <w:tcPr>
            <w:tcW w:type="dxa" w:w="1567"/>
            <w:vMerge/>
            <w:tcBorders>
              <w:bottom w:sz="8.0" w:val="single" w:color="#000000"/>
            </w:tcBorders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Livable Planet Fund </w:t>
            </w:r>
          </w:p>
        </w:tc>
        <w:tc>
          <w:tcPr>
            <w:tcW w:type="dxa" w:w="1567"/>
            <w:vMerge/>
            <w:tcBorders>
              <w:bottom w:sz="8.0" w:val="single" w:color="#000000"/>
            </w:tcBorders>
          </w:tcPr>
          <w:p/>
        </w:tc>
        <w:tc>
          <w:tcPr>
            <w:tcW w:type="dxa" w:w="2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Retained Earnings on </w:t>
            </w:r>
          </w:p>
        </w:tc>
      </w:tr>
      <w:tr>
        <w:trPr>
          <w:trHeight w:hRule="exact" w:val="244"/>
        </w:trPr>
        <w:tc>
          <w:tcPr>
            <w:tcW w:type="dxa" w:w="1567"/>
            <w:vMerge/>
            <w:tcBorders>
              <w:bottom w:sz="8.0" w:val="single" w:color="#000000"/>
            </w:tcBorders>
          </w:tcPr>
          <w:p/>
        </w:tc>
        <w:tc>
          <w:tcPr>
            <w:tcW w:type="dxa" w:w="1567"/>
            <w:vMerge/>
            <w:tcBorders>
              <w:bottom w:sz="8.0" w:val="single" w:color="#000000"/>
            </w:tcBorders>
          </w:tcPr>
          <w:p/>
        </w:tc>
        <w:tc>
          <w:tcPr>
            <w:tcW w:type="dxa" w:w="1567"/>
            <w:vMerge/>
            <w:tcBorders>
              <w:bottom w:sz="8.0" w:val="single" w:color="#000000"/>
            </w:tcBorders>
          </w:tcPr>
          <w:p/>
        </w:tc>
        <w:tc>
          <w:tcPr>
            <w:tcW w:type="dxa" w:w="1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(LPF1)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1567"/>
            <w:vMerge/>
            <w:tcBorders>
              <w:bottom w:sz="8.0" w:val="single" w:color="#000000"/>
            </w:tcBorders>
          </w:tcPr>
          <w:p/>
        </w:tc>
        <w:tc>
          <w:tcPr>
            <w:tcW w:type="dxa" w:w="21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Condensed Balance Sheet</w:t>
            </w:r>
          </w:p>
        </w:tc>
      </w:tr>
    </w:tbl>
    <w:p>
      <w:pPr>
        <w:autoSpaceDN w:val="0"/>
        <w:autoSpaceDE w:val="0"/>
        <w:widowControl/>
        <w:spacing w:line="192" w:lineRule="exact" w:before="40" w:after="0"/>
        <w:ind w:left="242" w:right="40" w:hanging="180"/>
        <w:jc w:val="both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On September 18, 2024, IBRD's Board of Governors approved an allocation of $500 million from FY24 allocable income to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Surplus and $834 million to be retained in the General Reserve. As of December 31, 2024, the balance in Surplus was $100 </w:t>
      </w:r>
      <w:r>
        <w:rPr>
          <w:rFonts w:ascii="Arial" w:hAnsi="Arial" w:eastAsia="Arial"/>
          <w:b w:val="0"/>
          <w:i/>
          <w:color w:val="000000"/>
          <w:sz w:val="16"/>
        </w:rPr>
        <w:t>million ($100 million - June 30, 2024).</w:t>
      </w:r>
    </w:p>
    <w:p>
      <w:pPr>
        <w:autoSpaceDN w:val="0"/>
        <w:autoSpaceDE w:val="0"/>
        <w:widowControl/>
        <w:spacing w:line="192" w:lineRule="exact" w:before="68" w:after="0"/>
        <w:ind w:left="242" w:right="288" w:hanging="18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b. Since 1964, IBRD has made transfers to IDA out of its net income, upon approval by the Governors. Under a formula-based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approach for IBRD's income support to IDA, the amount of income transfer recommended for IDA is a function of IBRD's </w:t>
      </w:r>
      <w:r>
        <w:rPr>
          <w:rFonts w:ascii="Arial" w:hAnsi="Arial" w:eastAsia="Arial"/>
          <w:b w:val="0"/>
          <w:i/>
          <w:color w:val="000000"/>
          <w:sz w:val="16"/>
        </w:rPr>
        <w:t>financial results.</w:t>
      </w:r>
    </w:p>
    <w:p>
      <w:pPr>
        <w:autoSpaceDN w:val="0"/>
        <w:autoSpaceDE w:val="0"/>
        <w:widowControl/>
        <w:spacing w:line="192" w:lineRule="exact" w:before="58" w:after="0"/>
        <w:ind w:left="242" w:right="34" w:hanging="180"/>
        <w:jc w:val="both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c. Unutilized IBRD Surplus-Funded Livable Planet Fund (LPF1) contributions are included in Retained Earnings on the Condensed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Balance Sheet ($301 million - December 31, 2024 and $101 million - June 30, 2024). For the six months ended December 31,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2024, no grants were made by the LPF1 Fund and no amounts are recorded in Board of Governors-approved and other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transfers on the Condensed Statements of Income. </w:t>
      </w:r>
    </w:p>
    <w:p>
      <w:pPr>
        <w:autoSpaceDN w:val="0"/>
        <w:autoSpaceDE w:val="0"/>
        <w:widowControl/>
        <w:spacing w:line="178" w:lineRule="exact" w:before="106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d. These transfers are unconditional and expensed upon approval. </w:t>
      </w:r>
    </w:p>
    <w:p>
      <w:pPr>
        <w:autoSpaceDN w:val="0"/>
        <w:autoSpaceDE w:val="0"/>
        <w:widowControl/>
        <w:spacing w:line="224" w:lineRule="exact" w:before="7612" w:after="0"/>
        <w:ind w:left="0" w:right="3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December 31, 2024     17</w:t>
      </w:r>
    </w:p>
    <w:p>
      <w:pPr>
        <w:sectPr>
          <w:pgSz w:w="12240" w:h="15840"/>
          <w:pgMar w:top="256" w:right="1410" w:bottom="1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3950"/>
            <w:tcBorders>
              <w:bottom w:sz="8.0" w:val="single" w:color="#DADADA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DADAD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 xml:space="preserve">Section IV: Risk Management </w:t>
            </w:r>
          </w:p>
        </w:tc>
      </w:tr>
    </w:tbl>
    <w:p>
      <w:pPr>
        <w:autoSpaceDN w:val="0"/>
        <w:autoSpaceDE w:val="0"/>
        <w:widowControl/>
        <w:spacing w:line="312" w:lineRule="exact" w:before="184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Section IV: Risk Management</w:t>
      </w:r>
    </w:p>
    <w:p>
      <w:pPr>
        <w:autoSpaceDN w:val="0"/>
        <w:autoSpaceDE w:val="0"/>
        <w:widowControl/>
        <w:spacing w:line="268" w:lineRule="exact" w:before="20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Risk Governance</w:t>
      </w:r>
    </w:p>
    <w:p>
      <w:pPr>
        <w:autoSpaceDN w:val="0"/>
        <w:autoSpaceDE w:val="0"/>
        <w:widowControl/>
        <w:spacing w:line="240" w:lineRule="exact" w:before="12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risk management processes and practices evolve to reflect changes in activities in response to market, credit,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product, operational, and other developments. The Board, particularly the Audit Committee, periodically reviews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trends in IBRD’s risk profiles and performance, and any major developments in risk management policies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controls. Management believes that effective risk management is critical for its overall operations. Accordingly,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risk management governance structure is designed to manage the principal risks IBRD assumes in its activities. 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Risk Oversight and Coverage</w:t>
      </w:r>
    </w:p>
    <w:p>
      <w:pPr>
        <w:autoSpaceDN w:val="0"/>
        <w:autoSpaceDE w:val="0"/>
        <w:widowControl/>
        <w:spacing w:line="240" w:lineRule="exact" w:before="13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Vice President and WBG Chief Risk Officer (CRO) oversees both financial and operational risks. These risks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include (i) country credit risks in the core sovereign-lending business, (ii) market and counterparty risks, including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liquidity and model risks, and (iii) operational risks relating to people, processes, and systems, or from external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events.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risk of IBRD’s operations not meeting their development outcomes (development outcome risk) in IBRD’s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lending activities is monitored at the corporate level by Operations Policy and Country Services (OPCS). Where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fraud and corruption risks may impact IBRD-financed projects, OPCS, the regions and practice groups, and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Integrity Vice Presidency jointly address such issues.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a detailed discussion of the risk governance and risk oversight and coverage, see IBRD’s MD&amp;A for the fiscal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year ended June 30, 2024, Section IX: Risk Management. </w:t>
      </w:r>
    </w:p>
    <w:p>
      <w:pPr>
        <w:autoSpaceDN w:val="0"/>
        <w:autoSpaceDE w:val="0"/>
        <w:widowControl/>
        <w:spacing w:line="268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Management of IBRD’s Risks</w:t>
      </w:r>
    </w:p>
    <w:p>
      <w:pPr>
        <w:autoSpaceDN w:val="0"/>
        <w:autoSpaceDE w:val="0"/>
        <w:widowControl/>
        <w:spacing w:line="240" w:lineRule="exact" w:before="12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assumes financial risks in order to achieve its development and strategic objectives. IBRD’s financial risk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 framework is designed to enable and support the institution in achieving its goals in a financially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sustainable manner. IBRD manages credit, market, and operational risks in its financial activities, which include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lending, borrowing and investing. The primary financial risk to IBRD is the country credit risk inherent in its loan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portfolio. IBRD is also exposed to risks in its liquid asset and derivative portfolios, where the major risks are interest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rate, exchange rate, commercial counterparty credit, and liquidity risks. IBRD’s operational risk management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framework is based on a structured and uniform approach to identify, assess and monitor key operational risks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across business units.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an effort to maximize IBRD’s capacity to lend to member countries for development purposes, IBRD limits its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exposure to market and counterparty credit risks. In addition, to ensure that the financial risks associated with its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loans and other exposures do not exceed its risk-bearing capacity, IBRD uses a strategic capital adequacy framework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as a key medium-term capital planning tool.</w:t>
      </w:r>
    </w:p>
    <w:p>
      <w:pPr>
        <w:autoSpaceDN w:val="0"/>
        <w:autoSpaceDE w:val="0"/>
        <w:widowControl/>
        <w:spacing w:line="224" w:lineRule="exact" w:before="5464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18     IBRD Management's Discussion and Analysis: December 31, 2024</w:t>
      </w:r>
    </w:p>
    <w:p>
      <w:pPr>
        <w:sectPr>
          <w:pgSz w:w="12240" w:h="15840"/>
          <w:pgMar w:top="316" w:right="1370" w:bottom="1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5"/>
        <w:gridCol w:w="4715"/>
      </w:tblGrid>
      <w:tr>
        <w:trPr>
          <w:trHeight w:hRule="exact" w:val="284"/>
        </w:trPr>
        <w:tc>
          <w:tcPr>
            <w:tcW w:type="dxa" w:w="3950"/>
            <w:tcBorders>
              <w:bottom w:sz="8.0" w:val="single" w:color="#DADADA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DADAD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 xml:space="preserve">Section IV: Risk Management </w:t>
            </w:r>
          </w:p>
        </w:tc>
      </w:tr>
    </w:tbl>
    <w:p>
      <w:pPr>
        <w:autoSpaceDN w:val="0"/>
        <w:autoSpaceDE w:val="0"/>
        <w:widowControl/>
        <w:spacing w:line="268" w:lineRule="exact" w:before="1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Capital Adequacy </w:t>
      </w:r>
    </w:p>
    <w:p>
      <w:pPr>
        <w:autoSpaceDN w:val="0"/>
        <w:autoSpaceDE w:val="0"/>
        <w:widowControl/>
        <w:spacing w:line="240" w:lineRule="exact" w:before="124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holds capital to cover the credit, market and operational risks inherent in its operating activities and financial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assets. Country credit risk is the most substantive risk covered by IBRD’s equity. 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capital adequacy is the degree to which its equity is sufficient to withstand unexpected shocks. IBRD’s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Board monitors IBRD’s capital adequacy within a strategic capital adequacy framework and uses the Equity-to-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Loans ratio as a key indicator of capital adequacy. The framework seeks to ensure that IBRD’s equity is aligned with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financial risk associated with its loan portfolio and other exposures over a medium-term capital-planning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horizon.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shown in Table 9, IBRD’s Equity-to-Loans ratio decreased from 21.5% as of June 30, 2024 to 21.1% as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December 31, 2024, primarily due to the increase in total loan exposure exceeding the increase in usable equity.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October 2024, as part of the WBG evolution process, the Board approved establishing the new Framework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Restoration Measures (FRM) for capital adequacy, which further strengthens the protection for IBRD’s triple-A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rating. The FRM includes a set of capital adequacy-related metrics, along with indicative thresholds, as well 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restoration measures. Following the establishment of the FRM, the Board approved a reduction in the policy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minimum Equity-to-Loans ratio from 19% to 18% based on a review of IBRD's capital adequacy framework, which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became effective immediately after the Board approval. The minimum Equity-to-Loans ratio policy continues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support IBRD's triple-A rating and long-term financial sustainability.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October 2024, the Board also approved the offer of Enhanced Callable Capital (ECC), another shareholder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support instrument to expand IBRD's financing capacity. Shareholders can convert a portion of their existing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callable capital to the enhanced terms so that it can be called earlier when IBRD faces an imminent threat of a rating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downgrade, but not yet at a point where it is at risk of defaulting to its bondholders, which is when a call on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current form of callable capital will be made. The ECC conversion is on a voluntary basis and upon bilateral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agreement between the shareholder and IBRD. There were no signed ECC agreements as of December 31, 2024.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FY25 YTD, IBRD signed bilateral agreements for hybrid capital with 6 member countries for a total notional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value of $447 million, expected to be settled over the next 4 years. As of December 31, 2024, $187 million has been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settled and reported in the balance sheet. Hybrid capital is an instrument that has characteristics of both debt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equity, and while reported as Borrowings, at amortized cost on the balance sheet, for capital adequacy purposes, it 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 component of usable equity in the equity-to-loans ratio (Table 9) in accordance with IBRD's financial policies. 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October 2024, IBRD signed portfolio guarantee agreements of $1.1 billion notional with 2 member countries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under its new Portfolio Guarantee Platform. Portfolio guarantees are risk management instruments that support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additional financing capacity for IBRD. The $1.1 billion signed portfolio guarantees will become effective upon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fulfillment of certain effectiveness conditions stipulated in the signed agreements. Once effective, portfolio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guarantees will be reflected through reductions to loan exposures in the equity-to-loans ratio that capture their first-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loss and portfolio-wide loss-absorption features, and will be reported as recoverable assets in Other assets on IBRD's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Balance Sheet. </w:t>
      </w:r>
    </w:p>
    <w:p>
      <w:pPr>
        <w:autoSpaceDN w:val="0"/>
        <w:autoSpaceDE w:val="0"/>
        <w:widowControl/>
        <w:spacing w:line="224" w:lineRule="exact" w:before="5156" w:after="0"/>
        <w:ind w:left="0" w:right="7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December 31, 2024     19</w:t>
      </w:r>
    </w:p>
    <w:p>
      <w:pPr>
        <w:sectPr>
          <w:pgSz w:w="12240" w:h="15840"/>
          <w:pgMar w:top="316" w:right="1370" w:bottom="1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3950"/>
            <w:tcBorders>
              <w:bottom w:sz="8.0" w:val="single" w:color="#DADADA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DADAD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 xml:space="preserve">Section IV: Risk Management </w:t>
            </w:r>
          </w:p>
        </w:tc>
      </w:tr>
    </w:tbl>
    <w:p>
      <w:pPr>
        <w:autoSpaceDN w:val="0"/>
        <w:autoSpaceDE w:val="0"/>
        <w:widowControl/>
        <w:spacing w:line="202" w:lineRule="exact" w:before="186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9: Equity-to-Loans Ratio</w:t>
      </w:r>
    </w:p>
    <w:p>
      <w:pPr>
        <w:autoSpaceDN w:val="0"/>
        <w:autoSpaceDE w:val="0"/>
        <w:widowControl/>
        <w:spacing w:line="178" w:lineRule="exact" w:before="4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48" w:after="0"/>
        <w:ind w:left="0" w:right="1592" w:firstLine="0"/>
        <w:jc w:val="right"/>
      </w:pPr>
      <w:r>
        <w:rPr>
          <w:rFonts w:ascii="Arial" w:hAnsi="Arial" w:eastAsia="Arial"/>
          <w:b w:val="0"/>
          <w:i/>
          <w:color w:val="929292"/>
          <w:sz w:val="16"/>
        </w:rPr>
        <w:t>Variance</w:t>
      </w:r>
    </w:p>
    <w:p>
      <w:pPr>
        <w:autoSpaceDN w:val="0"/>
        <w:autoSpaceDE w:val="0"/>
        <w:widowControl/>
        <w:spacing w:line="180" w:lineRule="exact" w:before="74" w:after="6"/>
        <w:ind w:left="0" w:right="352" w:firstLine="0"/>
        <w:jc w:val="right"/>
      </w:pPr>
      <w:r>
        <w:rPr>
          <w:rFonts w:ascii="Arial" w:hAnsi="Arial" w:eastAsia="Arial"/>
          <w:b w:val="0"/>
          <w:i/>
          <w:color w:val="929292"/>
          <w:sz w:val="16"/>
        </w:rPr>
        <w:t xml:space="preserve">Due 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</w:tblGrid>
      <w:tr>
        <w:trPr>
          <w:trHeight w:hRule="exact" w:val="192"/>
        </w:trPr>
        <w:tc>
          <w:tcPr>
            <w:tcW w:type="dxa" w:w="3068"/>
            <w:vMerge w:val="restart"/>
            <w:tcBorders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As of</w:t>
            </w:r>
          </w:p>
        </w:tc>
        <w:tc>
          <w:tcPr>
            <w:tcW w:type="dxa" w:w="12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 xml:space="preserve">December 31, </w:t>
            </w:r>
          </w:p>
        </w:tc>
        <w:tc>
          <w:tcPr>
            <w:tcW w:type="dxa" w:w="1346"/>
            <w:gridSpan w:val="2"/>
            <w:vMerge w:val="restart"/>
            <w:tcBorders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June 30, 2024</w:t>
            </w:r>
          </w:p>
        </w:tc>
        <w:tc>
          <w:tcPr>
            <w:tcW w:type="dxa" w:w="324"/>
            <w:vMerge w:val="restart"/>
            <w:tcBorders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40"/>
            <w:vMerge w:val="restart"/>
            <w:tcBorders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Total</w:t>
            </w:r>
          </w:p>
        </w:tc>
        <w:tc>
          <w:tcPr>
            <w:tcW w:type="dxa" w:w="260"/>
            <w:vMerge w:val="restart"/>
            <w:tcBorders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 xml:space="preserve">Due to </w:t>
            </w:r>
          </w:p>
        </w:tc>
        <w:tc>
          <w:tcPr>
            <w:tcW w:type="dxa" w:w="12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7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 xml:space="preserve">Translation </w:t>
            </w:r>
          </w:p>
        </w:tc>
      </w:tr>
      <w:tr>
        <w:trPr>
          <w:trHeight w:hRule="exact" w:val="216"/>
        </w:trPr>
        <w:tc>
          <w:tcPr>
            <w:tcW w:type="dxa" w:w="858"/>
            <w:vMerge/>
            <w:tcBorders>
              <w:bottom w:sz="4.0" w:val="single" w:color="#929292"/>
            </w:tcBorders>
          </w:tcPr>
          <w:p/>
        </w:tc>
        <w:tc>
          <w:tcPr>
            <w:tcW w:type="dxa" w:w="1266"/>
            <w:gridSpan w:val="2"/>
            <w:tcBorders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2024</w:t>
            </w:r>
          </w:p>
        </w:tc>
        <w:tc>
          <w:tcPr>
            <w:tcW w:type="dxa" w:w="1716"/>
            <w:gridSpan w:val="2"/>
            <w:vMerge/>
            <w:tcBorders>
              <w:bottom w:sz="4.0" w:val="single" w:color="#929292"/>
            </w:tcBorders>
          </w:tcPr>
          <w:p/>
        </w:tc>
        <w:tc>
          <w:tcPr>
            <w:tcW w:type="dxa" w:w="858"/>
            <w:vMerge/>
            <w:tcBorders>
              <w:bottom w:sz="4.0" w:val="single" w:color="#929292"/>
            </w:tcBorders>
          </w:tcPr>
          <w:p/>
        </w:tc>
        <w:tc>
          <w:tcPr>
            <w:tcW w:type="dxa" w:w="858"/>
            <w:vMerge/>
            <w:tcBorders>
              <w:bottom w:sz="4.0" w:val="single" w:color="#929292"/>
            </w:tcBorders>
          </w:tcPr>
          <w:p/>
        </w:tc>
        <w:tc>
          <w:tcPr>
            <w:tcW w:type="dxa" w:w="858"/>
            <w:vMerge/>
            <w:tcBorders>
              <w:bottom w:sz="4.0" w:val="single" w:color="#929292"/>
            </w:tcBorders>
          </w:tcPr>
          <w:p/>
        </w:tc>
        <w:tc>
          <w:tcPr>
            <w:tcW w:type="dxa" w:w="924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Activities</w:t>
            </w:r>
          </w:p>
        </w:tc>
        <w:tc>
          <w:tcPr>
            <w:tcW w:type="dxa" w:w="1246"/>
            <w:gridSpan w:val="2"/>
            <w:tcBorders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3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Adjustments</w:t>
            </w:r>
          </w:p>
        </w:tc>
      </w:tr>
      <w:tr>
        <w:trPr>
          <w:trHeight w:hRule="exact" w:val="444"/>
        </w:trPr>
        <w:tc>
          <w:tcPr>
            <w:tcW w:type="dxa" w:w="3068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4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Usable paid-in capital (Table 10)</w:t>
            </w:r>
          </w:p>
        </w:tc>
        <w:tc>
          <w:tcPr>
            <w:tcW w:type="dxa" w:w="316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5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21,471 </w:t>
            </w:r>
          </w:p>
        </w:tc>
        <w:tc>
          <w:tcPr>
            <w:tcW w:type="dxa" w:w="37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76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21,183 </w:t>
            </w:r>
          </w:p>
        </w:tc>
        <w:tc>
          <w:tcPr>
            <w:tcW w:type="dxa" w:w="324"/>
            <w:vMerge w:val="restart"/>
            <w:tcBorders>
              <w:top w:sz="4.0" w:val="single" w:color="#929292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4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288 </w:t>
            </w:r>
          </w:p>
        </w:tc>
        <w:tc>
          <w:tcPr>
            <w:tcW w:type="dxa" w:w="260"/>
            <w:vMerge w:val="restart"/>
            <w:tcBorders>
              <w:top w:sz="4.0" w:val="single" w:color="#929292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4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310 </w:t>
            </w:r>
          </w:p>
        </w:tc>
        <w:tc>
          <w:tcPr>
            <w:tcW w:type="dxa" w:w="496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(22) </w:t>
            </w:r>
          </w:p>
        </w:tc>
      </w:tr>
      <w:tr>
        <w:trPr>
          <w:trHeight w:hRule="exact" w:val="220"/>
        </w:trPr>
        <w:tc>
          <w:tcPr>
            <w:tcW w:type="dxa" w:w="3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Special reserve</w:t>
            </w:r>
          </w:p>
        </w:tc>
        <w:tc>
          <w:tcPr>
            <w:tcW w:type="dxa" w:w="12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293 </w:t>
            </w:r>
          </w:p>
        </w:tc>
        <w:tc>
          <w:tcPr>
            <w:tcW w:type="dxa" w:w="13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293 </w:t>
            </w:r>
          </w:p>
        </w:tc>
        <w:tc>
          <w:tcPr>
            <w:tcW w:type="dxa" w:w="85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3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General reserve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2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34,058 </w:t>
            </w:r>
          </w:p>
        </w:tc>
        <w:tc>
          <w:tcPr>
            <w:tcW w:type="dxa" w:w="13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34,058 </w:t>
            </w:r>
          </w:p>
        </w:tc>
        <w:tc>
          <w:tcPr>
            <w:tcW w:type="dxa" w:w="85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40"/>
        </w:trPr>
        <w:tc>
          <w:tcPr>
            <w:tcW w:type="dxa" w:w="3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Cumulative translation adjustment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2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(1,396) </w:t>
            </w:r>
          </w:p>
        </w:tc>
        <w:tc>
          <w:tcPr>
            <w:tcW w:type="dxa" w:w="13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(1,126) </w:t>
            </w:r>
          </w:p>
        </w:tc>
        <w:tc>
          <w:tcPr>
            <w:tcW w:type="dxa" w:w="85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(270) </w:t>
            </w:r>
          </w:p>
        </w:tc>
        <w:tc>
          <w:tcPr>
            <w:tcW w:type="dxa" w:w="85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(270) </w:t>
            </w:r>
          </w:p>
        </w:tc>
      </w:tr>
      <w:tr>
        <w:trPr>
          <w:trHeight w:hRule="exact" w:val="220"/>
        </w:trPr>
        <w:tc>
          <w:tcPr>
            <w:tcW w:type="dxa" w:w="3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Hybrid capital </w:t>
            </w:r>
          </w:p>
        </w:tc>
        <w:tc>
          <w:tcPr>
            <w:tcW w:type="dxa" w:w="12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187 </w:t>
            </w:r>
          </w:p>
        </w:tc>
        <w:tc>
          <w:tcPr>
            <w:tcW w:type="dxa" w:w="13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187 </w:t>
            </w:r>
          </w:p>
        </w:tc>
        <w:tc>
          <w:tcPr>
            <w:tcW w:type="dxa" w:w="85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190 </w:t>
            </w:r>
          </w:p>
        </w:tc>
        <w:tc>
          <w:tcPr>
            <w:tcW w:type="dxa" w:w="12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(3) </w:t>
            </w:r>
          </w:p>
        </w:tc>
      </w:tr>
      <w:tr>
        <w:trPr>
          <w:trHeight w:hRule="exact" w:val="246"/>
        </w:trPr>
        <w:tc>
          <w:tcPr>
            <w:tcW w:type="dxa" w:w="306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adjustments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126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236 </w:t>
            </w:r>
          </w:p>
        </w:tc>
        <w:tc>
          <w:tcPr>
            <w:tcW w:type="dxa" w:w="134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247 </w:t>
            </w:r>
          </w:p>
        </w:tc>
        <w:tc>
          <w:tcPr>
            <w:tcW w:type="dxa" w:w="85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9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(11) </w:t>
            </w:r>
          </w:p>
        </w:tc>
        <w:tc>
          <w:tcPr>
            <w:tcW w:type="dxa" w:w="85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9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4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(11) </w:t>
            </w:r>
          </w:p>
        </w:tc>
      </w:tr>
      <w:tr>
        <w:trPr>
          <w:trHeight w:hRule="exact" w:val="204"/>
        </w:trPr>
        <w:tc>
          <w:tcPr>
            <w:tcW w:type="dxa" w:w="306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Equity (usable equity)</w:t>
            </w:r>
          </w:p>
        </w:tc>
        <w:tc>
          <w:tcPr>
            <w:tcW w:type="dxa" w:w="3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54,849 </w:t>
            </w:r>
          </w:p>
        </w:tc>
        <w:tc>
          <w:tcPr>
            <w:tcW w:type="dxa" w:w="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54,655 </w:t>
            </w:r>
          </w:p>
        </w:tc>
        <w:tc>
          <w:tcPr>
            <w:tcW w:type="dxa" w:w="3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194 </w:t>
            </w:r>
          </w:p>
        </w:tc>
        <w:tc>
          <w:tcPr>
            <w:tcW w:type="dxa" w:w="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500 </w:t>
            </w:r>
          </w:p>
        </w:tc>
        <w:tc>
          <w:tcPr>
            <w:tcW w:type="dxa" w:w="4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(306) </w:t>
            </w:r>
          </w:p>
        </w:tc>
      </w:tr>
      <w:tr>
        <w:trPr>
          <w:trHeight w:hRule="exact" w:val="470"/>
        </w:trPr>
        <w:tc>
          <w:tcPr>
            <w:tcW w:type="dxa" w:w="306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 exposures</w:t>
            </w:r>
          </w:p>
        </w:tc>
        <w:tc>
          <w:tcPr>
            <w:tcW w:type="dxa" w:w="3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272,108 </w:t>
            </w:r>
          </w:p>
        </w:tc>
        <w:tc>
          <w:tcPr>
            <w:tcW w:type="dxa" w:w="3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263,190 </w:t>
            </w:r>
          </w:p>
        </w:tc>
        <w:tc>
          <w:tcPr>
            <w:tcW w:type="dxa" w:w="32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8,918 </w:t>
            </w:r>
          </w:p>
        </w:tc>
        <w:tc>
          <w:tcPr>
            <w:tcW w:type="dxa" w:w="2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10,585 </w:t>
            </w:r>
          </w:p>
        </w:tc>
        <w:tc>
          <w:tcPr>
            <w:tcW w:type="dxa" w:w="4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(1,667) </w:t>
            </w:r>
          </w:p>
        </w:tc>
      </w:tr>
      <w:tr>
        <w:trPr>
          <w:trHeight w:hRule="exact" w:val="200"/>
        </w:trPr>
        <w:tc>
          <w:tcPr>
            <w:tcW w:type="dxa" w:w="3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Adjustments to reflect third-party </w:t>
            </w:r>
          </w:p>
        </w:tc>
        <w:tc>
          <w:tcPr>
            <w:tcW w:type="dxa" w:w="126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6" w:after="0"/>
              <w:ind w:left="0" w:right="1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(13,356) </w:t>
            </w:r>
          </w:p>
        </w:tc>
        <w:tc>
          <w:tcPr>
            <w:tcW w:type="dxa" w:w="134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6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(10,658)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(2,698)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(2,716) </w:t>
            </w:r>
          </w:p>
        </w:tc>
        <w:tc>
          <w:tcPr>
            <w:tcW w:type="dxa" w:w="124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 </w:t>
            </w:r>
          </w:p>
        </w:tc>
      </w:tr>
      <w:tr>
        <w:trPr>
          <w:trHeight w:hRule="exact" w:val="200"/>
        </w:trPr>
        <w:tc>
          <w:tcPr>
            <w:tcW w:type="dxa" w:w="3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guarantees received</w:t>
            </w:r>
          </w:p>
        </w:tc>
        <w:tc>
          <w:tcPr>
            <w:tcW w:type="dxa" w:w="1716"/>
            <w:gridSpan w:val="2"/>
            <w:vMerge/>
            <w:tcBorders/>
          </w:tcPr>
          <w:p/>
        </w:tc>
        <w:tc>
          <w:tcPr>
            <w:tcW w:type="dxa" w:w="1716"/>
            <w:gridSpan w:val="2"/>
            <w:vMerge/>
            <w:tcBorders/>
          </w:tcPr>
          <w:p/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vMerge/>
            <w:tcBorders/>
          </w:tcPr>
          <w:p/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vMerge/>
            <w:tcBorders/>
          </w:tcPr>
          <w:p/>
        </w:tc>
        <w:tc>
          <w:tcPr>
            <w:tcW w:type="dxa" w:w="1716"/>
            <w:gridSpan w:val="2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Present value of guarantees provided</w:t>
            </w:r>
          </w:p>
        </w:tc>
        <w:tc>
          <w:tcPr>
            <w:tcW w:type="dxa" w:w="12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3,441 </w:t>
            </w:r>
          </w:p>
        </w:tc>
        <w:tc>
          <w:tcPr>
            <w:tcW w:type="dxa" w:w="13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3,488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(47)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 </w:t>
            </w:r>
          </w:p>
        </w:tc>
        <w:tc>
          <w:tcPr>
            <w:tcW w:type="dxa" w:w="12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(55) </w:t>
            </w:r>
          </w:p>
        </w:tc>
      </w:tr>
      <w:tr>
        <w:trPr>
          <w:trHeight w:hRule="exact" w:val="220"/>
        </w:trPr>
        <w:tc>
          <w:tcPr>
            <w:tcW w:type="dxa" w:w="3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Effective but undisbursed DDOs</w:t>
            </w:r>
          </w:p>
        </w:tc>
        <w:tc>
          <w:tcPr>
            <w:tcW w:type="dxa" w:w="12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1,584 </w:t>
            </w:r>
          </w:p>
        </w:tc>
        <w:tc>
          <w:tcPr>
            <w:tcW w:type="dxa" w:w="13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1,261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323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342 </w:t>
            </w:r>
          </w:p>
        </w:tc>
        <w:tc>
          <w:tcPr>
            <w:tcW w:type="dxa" w:w="12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(19) </w:t>
            </w:r>
          </w:p>
        </w:tc>
      </w:tr>
      <w:tr>
        <w:trPr>
          <w:trHeight w:hRule="exact" w:val="240"/>
        </w:trPr>
        <w:tc>
          <w:tcPr>
            <w:tcW w:type="dxa" w:w="3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Relevant accumulated provisions</w:t>
            </w:r>
          </w:p>
        </w:tc>
        <w:tc>
          <w:tcPr>
            <w:tcW w:type="dxa" w:w="12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(3,121) </w:t>
            </w:r>
          </w:p>
        </w:tc>
        <w:tc>
          <w:tcPr>
            <w:tcW w:type="dxa" w:w="13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(2,942)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(179)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(241) </w:t>
            </w:r>
          </w:p>
        </w:tc>
        <w:tc>
          <w:tcPr>
            <w:tcW w:type="dxa" w:w="12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62 </w:t>
            </w:r>
          </w:p>
        </w:tc>
      </w:tr>
      <w:tr>
        <w:trPr>
          <w:trHeight w:hRule="exact" w:val="220"/>
        </w:trPr>
        <w:tc>
          <w:tcPr>
            <w:tcW w:type="dxa" w:w="3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Deferred loan income</w:t>
            </w:r>
          </w:p>
        </w:tc>
        <w:tc>
          <w:tcPr>
            <w:tcW w:type="dxa" w:w="12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(632) </w:t>
            </w:r>
          </w:p>
        </w:tc>
        <w:tc>
          <w:tcPr>
            <w:tcW w:type="dxa" w:w="13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(594)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(38)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(42) </w:t>
            </w:r>
          </w:p>
        </w:tc>
        <w:tc>
          <w:tcPr>
            <w:tcW w:type="dxa" w:w="12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  <w:tr>
        <w:trPr>
          <w:trHeight w:hRule="exact" w:val="230"/>
        </w:trPr>
        <w:tc>
          <w:tcPr>
            <w:tcW w:type="dxa" w:w="306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exposures</w:t>
            </w:r>
          </w:p>
        </w:tc>
        <w:tc>
          <w:tcPr>
            <w:tcW w:type="dxa" w:w="126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271 </w:t>
            </w:r>
          </w:p>
        </w:tc>
        <w:tc>
          <w:tcPr>
            <w:tcW w:type="dxa" w:w="134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377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(106)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(106) </w:t>
            </w:r>
          </w:p>
        </w:tc>
        <w:tc>
          <w:tcPr>
            <w:tcW w:type="dxa" w:w="124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04"/>
        </w:trPr>
        <w:tc>
          <w:tcPr>
            <w:tcW w:type="dxa" w:w="306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Loans (total exposure)</w:t>
            </w:r>
          </w:p>
        </w:tc>
        <w:tc>
          <w:tcPr>
            <w:tcW w:type="dxa" w:w="3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260,295 </w:t>
            </w:r>
          </w:p>
        </w:tc>
        <w:tc>
          <w:tcPr>
            <w:tcW w:type="dxa" w:w="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3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254,122 </w:t>
            </w:r>
          </w:p>
        </w:tc>
        <w:tc>
          <w:tcPr>
            <w:tcW w:type="dxa" w:w="3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6,173 </w:t>
            </w:r>
          </w:p>
        </w:tc>
        <w:tc>
          <w:tcPr>
            <w:tcW w:type="dxa" w:w="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7,830 </w:t>
            </w:r>
          </w:p>
        </w:tc>
        <w:tc>
          <w:tcPr>
            <w:tcW w:type="dxa" w:w="496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(1,657) </w:t>
            </w:r>
          </w:p>
        </w:tc>
      </w:tr>
      <w:tr>
        <w:trPr>
          <w:trHeight w:hRule="exact" w:val="576"/>
        </w:trPr>
        <w:tc>
          <w:tcPr>
            <w:tcW w:type="dxa" w:w="3068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0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Equity-to-Loans Ratio</w:t>
            </w:r>
          </w:p>
        </w:tc>
        <w:tc>
          <w:tcPr>
            <w:tcW w:type="dxa" w:w="1266"/>
            <w:gridSpan w:val="2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0" w:after="0"/>
              <w:ind w:left="0" w:right="2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21.1 %</w:t>
            </w:r>
          </w:p>
        </w:tc>
        <w:tc>
          <w:tcPr>
            <w:tcW w:type="dxa" w:w="1346"/>
            <w:gridSpan w:val="2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0" w:after="0"/>
              <w:ind w:left="0" w:right="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21.5 %</w:t>
            </w:r>
          </w:p>
        </w:tc>
        <w:tc>
          <w:tcPr>
            <w:tcW w:type="dxa" w:w="324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4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8"/>
            <w:vMerge/>
            <w:tcBorders>
              <w:top w:sz="8.0" w:val="single" w:color="#000000"/>
            </w:tcBorders>
          </w:tcPr>
          <w:p/>
        </w:tc>
        <w:tc>
          <w:tcPr>
            <w:tcW w:type="dxa" w:w="858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80" w:lineRule="exact" w:before="106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June 30, 2024 amount includes the transfer to the General Reserve, which was approved by the Board on August 6, 2024.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40" w:after="0"/>
        <w:ind w:left="62" w:right="144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b. Excludes cumulative translation amounts associated with the unrealized mark-to-market gains/losses on non-trading portfolios,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net.</w:t>
      </w:r>
    </w:p>
    <w:p>
      <w:pPr>
        <w:autoSpaceDN w:val="0"/>
        <w:autoSpaceDE w:val="0"/>
        <w:widowControl/>
        <w:spacing w:line="178" w:lineRule="exact" w:before="1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c. Includes cumulative translation gains on non-functional currencies of $284 million ($295 million gains as of June 30, 2024).</w:t>
      </w:r>
    </w:p>
    <w:p>
      <w:pPr>
        <w:autoSpaceDN w:val="0"/>
        <w:autoSpaceDE w:val="0"/>
        <w:widowControl/>
        <w:spacing w:line="202" w:lineRule="exact" w:before="214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10: Usable Paid-In Capital</w:t>
      </w:r>
    </w:p>
    <w:p>
      <w:pPr>
        <w:autoSpaceDN w:val="0"/>
        <w:autoSpaceDE w:val="0"/>
        <w:widowControl/>
        <w:spacing w:line="180" w:lineRule="exact" w:before="60" w:after="26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44"/>
        </w:trPr>
        <w:tc>
          <w:tcPr>
            <w:tcW w:type="dxa" w:w="4764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As of</w:t>
            </w:r>
          </w:p>
        </w:tc>
        <w:tc>
          <w:tcPr>
            <w:tcW w:type="dxa" w:w="2220"/>
            <w:gridSpan w:val="2"/>
            <w:tcBorders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4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December 31, 2024</w:t>
            </w:r>
          </w:p>
        </w:tc>
        <w:tc>
          <w:tcPr>
            <w:tcW w:type="dxa" w:w="1240"/>
            <w:gridSpan w:val="2"/>
            <w:tcBorders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June 30, 2024</w:t>
            </w:r>
          </w:p>
        </w:tc>
        <w:tc>
          <w:tcPr>
            <w:tcW w:type="dxa" w:w="24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3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Variance</w:t>
            </w:r>
          </w:p>
        </w:tc>
      </w:tr>
      <w:tr>
        <w:trPr>
          <w:trHeight w:hRule="exact" w:val="204"/>
        </w:trPr>
        <w:tc>
          <w:tcPr>
            <w:tcW w:type="dxa" w:w="4764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Paid-in Capital</w:t>
            </w:r>
          </w:p>
        </w:tc>
        <w:tc>
          <w:tcPr>
            <w:tcW w:type="dxa" w:w="114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8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22,762 </w:t>
            </w:r>
          </w:p>
        </w:tc>
        <w:tc>
          <w:tcPr>
            <w:tcW w:type="dxa" w:w="40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4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22,452 </w:t>
            </w:r>
          </w:p>
        </w:tc>
        <w:tc>
          <w:tcPr>
            <w:tcW w:type="dxa" w:w="240"/>
            <w:vMerge w:val="restart"/>
            <w:tcBorders>
              <w:top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4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310 </w:t>
            </w:r>
          </w:p>
        </w:tc>
      </w:tr>
      <w:tr>
        <w:trPr>
          <w:trHeight w:hRule="exact" w:val="268"/>
        </w:trPr>
        <w:tc>
          <w:tcPr>
            <w:tcW w:type="dxa" w:w="4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Deferred amounts to maintain value of currency holdings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2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(632)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(558) </w:t>
            </w:r>
          </w:p>
        </w:tc>
        <w:tc>
          <w:tcPr>
            <w:tcW w:type="dxa" w:w="1349"/>
            <w:vMerge/>
            <w:tcBorders>
              <w:top w:sz="4.0" w:val="single" w:color="#929292"/>
            </w:tcBorders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(74)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Adjustments for unreleased NCPIC: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32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Restricted cash</w:t>
            </w:r>
          </w:p>
        </w:tc>
        <w:tc>
          <w:tcPr>
            <w:tcW w:type="dxa" w:w="58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(64) </w:t>
            </w:r>
          </w:p>
        </w:tc>
        <w:tc>
          <w:tcPr>
            <w:tcW w:type="dxa" w:w="48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(66) </w:t>
            </w:r>
          </w:p>
        </w:tc>
        <w:tc>
          <w:tcPr>
            <w:tcW w:type="dxa" w:w="5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</w:tr>
      <w:tr>
        <w:trPr>
          <w:trHeight w:hRule="exact" w:val="220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Nonnegotiable, noninterest-bearing demand obligations on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9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(307) 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(310) 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6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  <w:tr>
        <w:trPr>
          <w:trHeight w:hRule="exact" w:val="220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account of subscribed capital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1349"/>
            <w:vMerge/>
            <w:tcBorders/>
          </w:tcPr>
          <w:p/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1349"/>
            <w:vMerge/>
            <w:tcBorders/>
          </w:tcPr>
          <w:p/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1349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Receivable amounts to maintain value of currency holdings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(289) 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(337) 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 </w:t>
            </w:r>
          </w:p>
        </w:tc>
      </w:tr>
      <w:tr>
        <w:trPr>
          <w:trHeight w:hRule="exact" w:val="250"/>
        </w:trPr>
        <w:tc>
          <w:tcPr>
            <w:tcW w:type="dxa" w:w="53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MOV payable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9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6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(1) </w:t>
            </w:r>
          </w:p>
        </w:tc>
      </w:tr>
      <w:tr>
        <w:trPr>
          <w:trHeight w:hRule="exact" w:val="240"/>
        </w:trPr>
        <w:tc>
          <w:tcPr>
            <w:tcW w:type="dxa" w:w="53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Adjustments for unreleased NCPIC</w:t>
            </w:r>
          </w:p>
        </w:tc>
        <w:tc>
          <w:tcPr>
            <w:tcW w:type="dxa" w:w="5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(659) </w:t>
            </w:r>
          </w:p>
        </w:tc>
        <w:tc>
          <w:tcPr>
            <w:tcW w:type="dxa" w:w="4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(711) </w:t>
            </w:r>
          </w:p>
        </w:tc>
        <w:tc>
          <w:tcPr>
            <w:tcW w:type="dxa" w:w="5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 </w:t>
            </w:r>
          </w:p>
        </w:tc>
      </w:tr>
      <w:tr>
        <w:trPr>
          <w:trHeight w:hRule="exact" w:val="220"/>
        </w:trPr>
        <w:tc>
          <w:tcPr>
            <w:tcW w:type="dxa" w:w="53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Usable paid-in capital</w:t>
            </w:r>
          </w:p>
        </w:tc>
        <w:tc>
          <w:tcPr>
            <w:tcW w:type="dxa" w:w="5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21,471 </w:t>
            </w:r>
          </w:p>
        </w:tc>
        <w:tc>
          <w:tcPr>
            <w:tcW w:type="dxa" w:w="4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21,183 </w:t>
            </w:r>
          </w:p>
        </w:tc>
        <w:tc>
          <w:tcPr>
            <w:tcW w:type="dxa" w:w="5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28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288 </w:t>
            </w:r>
          </w:p>
        </w:tc>
      </w:tr>
      <w:tr>
        <w:trPr>
          <w:trHeight w:hRule="exact" w:val="246"/>
        </w:trPr>
        <w:tc>
          <w:tcPr>
            <w:tcW w:type="dxa" w:w="532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4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96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4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0" w:lineRule="exact" w:before="3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The Maintenance-Of-Value (MOV) on released National Currency Paid-In Capital (NCPIC) is considered to be deferred.</w:t>
      </w:r>
    </w:p>
    <w:p>
      <w:pPr>
        <w:autoSpaceDN w:val="0"/>
        <w:autoSpaceDE w:val="0"/>
        <w:widowControl/>
        <w:spacing w:line="240" w:lineRule="exact" w:before="31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the first six months of FY25, IBRD received $310 million of paid-in capital subscribed under the 2018 GCI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SCI, bringing the cumulative amounts received to $6.3 billion, 84% of the $7.5 billion expected over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subscription period. In line with IBRD’s currency management policy, exchange rate movements during the period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did not have an impact on IBRD’s Equity-to-Loans ratio. Under the currency management policy, to minimize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exchange rate risk, IBRD matches its borrowing obligations in any one currency (after derivatives) with assets in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same currency. In addition, IBRD periodically undertakes currency conversions to align the currency composition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its equity with that of its outstanding loans, across major currencies.</w:t>
      </w:r>
    </w:p>
    <w:p>
      <w:pPr>
        <w:autoSpaceDN w:val="0"/>
        <w:autoSpaceDE w:val="0"/>
        <w:widowControl/>
        <w:spacing w:line="224" w:lineRule="exact" w:before="175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20     IBRD Management's Discussion and Analysis: December 31, 2024</w:t>
      </w:r>
    </w:p>
    <w:p>
      <w:pPr>
        <w:sectPr>
          <w:pgSz w:w="12240" w:h="15840"/>
          <w:pgMar w:top="316" w:right="1370" w:bottom="1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5"/>
        <w:gridCol w:w="4715"/>
      </w:tblGrid>
      <w:tr>
        <w:trPr>
          <w:trHeight w:hRule="exact" w:val="284"/>
        </w:trPr>
        <w:tc>
          <w:tcPr>
            <w:tcW w:type="dxa" w:w="3950"/>
            <w:tcBorders>
              <w:bottom w:sz="8.0" w:val="single" w:color="#DADADA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DADAD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 xml:space="preserve">Section IV: Risk Management </w:t>
            </w:r>
          </w:p>
        </w:tc>
      </w:tr>
    </w:tbl>
    <w:p>
      <w:pPr>
        <w:autoSpaceDN w:val="0"/>
        <w:autoSpaceDE w:val="0"/>
        <w:widowControl/>
        <w:spacing w:line="268" w:lineRule="exact" w:before="1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Credit Risk</w:t>
      </w:r>
    </w:p>
    <w:p>
      <w:pPr>
        <w:autoSpaceDN w:val="0"/>
        <w:autoSpaceDE w:val="0"/>
        <w:widowControl/>
        <w:spacing w:line="240" w:lineRule="exact" w:before="124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faces two types of credit risk: country credit risk and counterparty credit risk. Country credit risk is the risk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loss due to a country not meeting its contractual obligations, and counterparty credit risk is the risk of loss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attributable to a counterparty not honoring its contractual obligations. IBRD is exposed to commercial as well 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non-commercial counterparty credit risk.</w:t>
      </w:r>
    </w:p>
    <w:p>
      <w:pPr>
        <w:autoSpaceDN w:val="0"/>
        <w:autoSpaceDE w:val="0"/>
        <w:widowControl/>
        <w:spacing w:line="244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 xml:space="preserve">Country Credit Risk </w:t>
      </w:r>
    </w:p>
    <w:p>
      <w:pPr>
        <w:autoSpaceDN w:val="0"/>
        <w:autoSpaceDE w:val="0"/>
        <w:widowControl/>
        <w:spacing w:line="240" w:lineRule="exact" w:before="13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manages country credit risk by using individual country exposure limits and produces credit risk ratings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all its borrowing countries, which reflect country economic, financial, and political circumstances, and also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considers Environmental, Social and Governance (ESG) risk factors. In addition, IBRD conducts stress tests of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effects of changes in market variables and of potential geopolitical events on its portfolio to complement its capital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adequacy framework.</w:t>
      </w:r>
    </w:p>
    <w:p>
      <w:pPr>
        <w:autoSpaceDN w:val="0"/>
        <w:autoSpaceDE w:val="0"/>
        <w:widowControl/>
        <w:spacing w:line="196" w:lineRule="exact" w:before="152" w:after="0"/>
        <w:ind w:left="0" w:right="4608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Figure 10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Country Exposures as of December 31, 2024 </w:t>
      </w:r>
      <w:r>
        <w:rPr>
          <w:rFonts w:ascii="Arial" w:hAnsi="Arial" w:eastAsia="Arial"/>
          <w:b w:val="0"/>
          <w:i/>
          <w:color w:val="000000"/>
          <w:sz w:val="16"/>
        </w:rPr>
        <w:t>In billions of U.S. dollars</w:t>
      </w:r>
    </w:p>
    <w:p>
      <w:pPr>
        <w:autoSpaceDN w:val="0"/>
        <w:autoSpaceDE w:val="0"/>
        <w:widowControl/>
        <w:spacing w:line="222" w:lineRule="exact" w:before="232" w:after="210"/>
        <w:ind w:left="233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Top Ten Country Exposures ᵃ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179"/>
        <w:gridCol w:w="1179"/>
        <w:gridCol w:w="1179"/>
        <w:gridCol w:w="1179"/>
        <w:gridCol w:w="1179"/>
        <w:gridCol w:w="1179"/>
        <w:gridCol w:w="1179"/>
        <w:gridCol w:w="1179"/>
      </w:tblGrid>
      <w:tr>
        <w:trPr>
          <w:trHeight w:hRule="exact" w:val="288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8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India</w:t>
            </w:r>
          </w:p>
        </w:tc>
        <w:tc>
          <w:tcPr>
            <w:tcW w:type="dxa" w:w="642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23" w:type="dxa"/>
            </w:tblPr>
            <w:tblGrid>
              <w:gridCol w:w="1070"/>
              <w:gridCol w:w="1070"/>
              <w:gridCol w:w="1070"/>
              <w:gridCol w:w="1070"/>
              <w:gridCol w:w="1070"/>
              <w:gridCol w:w="1070"/>
            </w:tblGrid>
            <w:tr>
              <w:trPr>
                <w:trHeight w:hRule="exact" w:val="116"/>
              </w:trPr>
              <w:tc>
                <w:tcPr>
                  <w:tcW w:type="dxa" w:w="5176"/>
                  <w:tcBorders>
                    <w:start w:sz="5.999998569488525" w:val="single" w:color="#898A89"/>
                    <w:bottom w:sz="5.999998569488525" w:val="single" w:color="#898A8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190" w:val="left"/>
                      <w:tab w:pos="2266" w:val="left"/>
                      <w:tab w:pos="2656" w:val="left"/>
                      <w:tab w:pos="2716" w:val="left"/>
                      <w:tab w:pos="2790" w:val="left"/>
                      <w:tab w:pos="2806" w:val="left"/>
                      <w:tab w:pos="3166" w:val="left"/>
                      <w:tab w:pos="3930" w:val="left"/>
                      <w:tab w:pos="4456" w:val="left"/>
                    </w:tabs>
                    <w:autoSpaceDE w:val="0"/>
                    <w:widowControl/>
                    <w:spacing w:line="252" w:lineRule="exact" w:before="0" w:after="0"/>
                    <w:ind w:left="1996" w:right="288" w:firstLine="0"/>
                    <w:jc w:val="left"/>
                  </w:pP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22.6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20.1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16.6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14.9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14.9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14.5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14.3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12.4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12.1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11.1</w:t>
                  </w:r>
                </w:p>
              </w:tc>
              <w:tc>
                <w:tcPr>
                  <w:tcW w:type="dxa" w:w="1070"/>
                  <w:tcBorders>
                    <w:start w:sz="5.999998569488525" w:val="single" w:color="#898A89"/>
                    <w:bottom w:sz="5.999998569488525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0"/>
                  <w:tcBorders>
                    <w:start w:sz="5.999998569488525" w:val="single" w:color="#898A89"/>
                    <w:bottom w:sz="5.999998569488525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0"/>
                  <w:tcBorders>
                    <w:start w:sz="5.999998569488525" w:val="single" w:color="#898A89"/>
                    <w:bottom w:sz="5.999998569488525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0"/>
                  <w:tcBorders>
                    <w:start w:sz="5.999998569488525" w:val="single" w:color="#898A89"/>
                    <w:bottom w:sz="5.999998569488525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0"/>
                  <w:tcBorders>
                    <w:start w:sz="5.999998569488525" w:val="single" w:color="#898A89"/>
                    <w:bottom w:sz="5.999998569488525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4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Indonesia</w:t>
            </w:r>
          </w:p>
        </w:tc>
        <w:tc>
          <w:tcPr>
            <w:tcW w:type="dxa" w:w="8253"/>
            <w:gridSpan w:val="7"/>
            <w:vMerge/>
            <w:tcBorders/>
          </w:tcPr>
          <w:p/>
        </w:tc>
      </w:tr>
      <w:tr>
        <w:trPr>
          <w:trHeight w:hRule="exact" w:val="254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Colombia</w:t>
            </w:r>
          </w:p>
        </w:tc>
        <w:tc>
          <w:tcPr>
            <w:tcW w:type="dxa" w:w="8253"/>
            <w:gridSpan w:val="7"/>
            <w:vMerge/>
            <w:tcBorders/>
          </w:tcPr>
          <w:p/>
        </w:tc>
      </w:tr>
      <w:tr>
        <w:trPr>
          <w:trHeight w:hRule="exact" w:val="252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4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Brazil</w:t>
            </w:r>
          </w:p>
        </w:tc>
        <w:tc>
          <w:tcPr>
            <w:tcW w:type="dxa" w:w="8253"/>
            <w:gridSpan w:val="7"/>
            <w:vMerge/>
            <w:tcBorders/>
          </w:tcPr>
          <w:p/>
        </w:tc>
      </w:tr>
      <w:tr>
        <w:trPr>
          <w:trHeight w:hRule="exact" w:val="254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Philippines</w:t>
            </w:r>
          </w:p>
        </w:tc>
        <w:tc>
          <w:tcPr>
            <w:tcW w:type="dxa" w:w="8253"/>
            <w:gridSpan w:val="7"/>
            <w:vMerge/>
            <w:tcBorders/>
          </w:tcPr>
          <w:p/>
        </w:tc>
      </w:tr>
      <w:tr>
        <w:trPr>
          <w:trHeight w:hRule="exact" w:val="254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China</w:t>
            </w:r>
          </w:p>
        </w:tc>
        <w:tc>
          <w:tcPr>
            <w:tcW w:type="dxa" w:w="8253"/>
            <w:gridSpan w:val="7"/>
            <w:vMerge/>
            <w:tcBorders/>
          </w:tcPr>
          <w:p/>
        </w:tc>
      </w:tr>
      <w:tr>
        <w:trPr>
          <w:trHeight w:hRule="exact" w:val="254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Mexico</w:t>
            </w:r>
          </w:p>
        </w:tc>
        <w:tc>
          <w:tcPr>
            <w:tcW w:type="dxa" w:w="8253"/>
            <w:gridSpan w:val="7"/>
            <w:vMerge/>
            <w:tcBorders/>
          </w:tcPr>
          <w:p/>
        </w:tc>
      </w:tr>
      <w:tr>
        <w:trPr>
          <w:trHeight w:hRule="exact" w:val="252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4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Turkiye</w:t>
            </w:r>
          </w:p>
        </w:tc>
        <w:tc>
          <w:tcPr>
            <w:tcW w:type="dxa" w:w="8253"/>
            <w:gridSpan w:val="7"/>
            <w:vMerge/>
            <w:tcBorders/>
          </w:tcPr>
          <w:p/>
        </w:tc>
      </w:tr>
      <w:tr>
        <w:trPr>
          <w:trHeight w:hRule="exact" w:val="254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Egypt, Arab Republic of</w:t>
            </w:r>
          </w:p>
        </w:tc>
        <w:tc>
          <w:tcPr>
            <w:tcW w:type="dxa" w:w="8253"/>
            <w:gridSpan w:val="7"/>
            <w:vMerge/>
            <w:tcBorders/>
          </w:tcPr>
          <w:p/>
        </w:tc>
      </w:tr>
      <w:tr>
        <w:trPr>
          <w:trHeight w:hRule="exact" w:val="342"/>
        </w:trPr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4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Argentina</w:t>
            </w:r>
          </w:p>
        </w:tc>
        <w:tc>
          <w:tcPr>
            <w:tcW w:type="dxa" w:w="8253"/>
            <w:gridSpan w:val="7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179"/>
            <w:vMerge/>
            <w:tcBorders/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6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1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4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24</w:t>
            </w:r>
          </w:p>
        </w:tc>
      </w:tr>
    </w:tbl>
    <w:p>
      <w:pPr>
        <w:autoSpaceDN w:val="0"/>
        <w:autoSpaceDE w:val="0"/>
        <w:widowControl/>
        <w:spacing w:line="178" w:lineRule="exact" w:before="222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Exposure includes loans outstanding and guarantees provided and are net of guarantees received. </w:t>
      </w:r>
    </w:p>
    <w:p>
      <w:pPr>
        <w:autoSpaceDN w:val="0"/>
        <w:autoSpaceDE w:val="0"/>
        <w:widowControl/>
        <w:spacing w:line="240" w:lineRule="exact" w:before="104" w:after="0"/>
        <w:ind w:left="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December 31, 2024, IBRD's loans outstanding to Ukraine were $16.7 billion and guarantees provided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Ukraine were $0.5 billion. Guarantees and other credit enhancements received from third parties for the benefit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Ukraine were $10.8 billion, bringing IBRD's net exposure to Ukraine to $6.4 billion. </w:t>
      </w:r>
    </w:p>
    <w:p>
      <w:pPr>
        <w:autoSpaceDN w:val="0"/>
        <w:autoSpaceDE w:val="0"/>
        <w:widowControl/>
        <w:spacing w:line="244" w:lineRule="exact" w:before="134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 xml:space="preserve">Credit enhancement arrangements </w:t>
      </w:r>
    </w:p>
    <w:p>
      <w:pPr>
        <w:autoSpaceDN w:val="0"/>
        <w:autoSpaceDE w:val="0"/>
        <w:widowControl/>
        <w:spacing w:line="240" w:lineRule="exact" w:before="126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December 31, 2024, IBRD had $11.1 billion of outstanding loans under which guarantees were received from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highly rated member countries or other Multilateral Development Banks ($8.9 billion as of June 30, 2024). These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serve as credit enhancements and reduce IBRD's internal risk capital requirements. The guarantees that are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contractually attached to the loan reduce the exposure at risk in computing the loan loss provision. Guarantees that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are not contractually attached to the loan are recorded as a recoverable asset and included in Other assets on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Balance Sheet (see Notes to the Financial Statements, Note D - Loans and Other Exposures). 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Further, IBRD also received other forms of credit enhancements for loans outstanding totaling $2.5 billion as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December 31, 2024 ($2.0 billion as of June 30, 2024), that protect IBRD against the risk of loss on certain loans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IBRD's portfolio. These credit enhancements are accounted for as derivatives at fair value and are included in Other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assets on IBRD’s Balance Sheet as they do not meet the accounting definition of guarantees.</w:t>
      </w:r>
    </w:p>
    <w:p>
      <w:pPr>
        <w:autoSpaceDN w:val="0"/>
        <w:autoSpaceDE w:val="0"/>
        <w:widowControl/>
        <w:spacing w:line="224" w:lineRule="exact" w:before="2818" w:after="0"/>
        <w:ind w:left="0" w:right="7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December 31, 2024     21</w:t>
      </w:r>
    </w:p>
    <w:p>
      <w:pPr>
        <w:sectPr>
          <w:pgSz w:w="12240" w:h="15840"/>
          <w:pgMar w:top="316" w:right="1370" w:bottom="1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3950"/>
            <w:tcBorders>
              <w:bottom w:sz="8.0" w:val="single" w:color="#DADADA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DADAD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 xml:space="preserve">Section IV: Risk Management </w:t>
            </w:r>
          </w:p>
        </w:tc>
      </w:tr>
    </w:tbl>
    <w:p>
      <w:pPr>
        <w:autoSpaceDN w:val="0"/>
        <w:autoSpaceDE w:val="0"/>
        <w:widowControl/>
        <w:spacing w:line="202" w:lineRule="exact" w:before="188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11: Credit Enhancements Received</w:t>
      </w:r>
    </w:p>
    <w:p>
      <w:pPr>
        <w:autoSpaceDN w:val="0"/>
        <w:autoSpaceDE w:val="0"/>
        <w:widowControl/>
        <w:spacing w:line="180" w:lineRule="exact" w:before="58" w:after="3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7"/>
        <w:gridCol w:w="3147"/>
        <w:gridCol w:w="3147"/>
      </w:tblGrid>
      <w:tr>
        <w:trPr>
          <w:trHeight w:hRule="exact" w:val="242"/>
        </w:trPr>
        <w:tc>
          <w:tcPr>
            <w:tcW w:type="dxa" w:w="337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As of</w:t>
            </w:r>
          </w:p>
        </w:tc>
        <w:tc>
          <w:tcPr>
            <w:tcW w:type="dxa" w:w="460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30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December 31, 2024</w:t>
            </w:r>
          </w:p>
        </w:tc>
        <w:tc>
          <w:tcPr>
            <w:tcW w:type="dxa" w:w="141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33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June 30, 2024</w:t>
            </w:r>
          </w:p>
        </w:tc>
      </w:tr>
    </w:tbl>
    <w:p>
      <w:pPr>
        <w:autoSpaceDN w:val="0"/>
        <w:autoSpaceDE w:val="0"/>
        <w:widowControl/>
        <w:spacing w:line="180" w:lineRule="exact" w:before="28" w:after="0"/>
        <w:ind w:left="62" w:right="0" w:firstLine="0"/>
        <w:jc w:val="left"/>
      </w:pPr>
      <w:r>
        <w:rPr>
          <w:rFonts w:ascii="Arial" w:hAnsi="Arial" w:eastAsia="Arial"/>
          <w:b/>
          <w:i/>
          <w:color w:val="000000"/>
          <w:sz w:val="16"/>
        </w:rPr>
        <w:t>Bilateral Guarantees Received</w:t>
      </w:r>
    </w:p>
    <w:p>
      <w:pPr>
        <w:autoSpaceDN w:val="0"/>
        <w:autoSpaceDE w:val="0"/>
        <w:widowControl/>
        <w:spacing w:line="180" w:lineRule="exact" w:before="60" w:after="16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Borrowing Country With Loan Guarantees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4720"/>
        <w:gridCol w:w="4720"/>
      </w:tblGrid>
      <w:tr>
        <w:trPr>
          <w:trHeight w:hRule="exact" w:val="2246"/>
        </w:trPr>
        <w:tc>
          <w:tcPr>
            <w:tcW w:type="dxa" w:w="3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32" w:right="216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Brazil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Egypt, Arab Republic of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Indonesia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Iraq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Jordan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Morocco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Philippines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Ukraine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Outstanding</w:t>
            </w:r>
          </w:p>
        </w:tc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96.0" w:type="dxa"/>
            </w:tblPr>
            <w:tblGrid>
              <w:gridCol w:w="2750"/>
              <w:gridCol w:w="2750"/>
            </w:tblGrid>
            <w:tr>
              <w:trPr>
                <w:trHeight w:hRule="exact" w:val="1918"/>
              </w:trPr>
              <w:tc>
                <w:tcPr>
                  <w:tcW w:type="dxa" w:w="1644"/>
                  <w:tcBorders>
                    <w:end w:sz="24.0" w:val="single" w:color="#FFFFFF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08" w:right="2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200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140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350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341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363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155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220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9,294 </w:t>
                  </w:r>
                </w:p>
              </w:tc>
              <w:tc>
                <w:tcPr>
                  <w:tcW w:type="dxa" w:w="1630"/>
                  <w:tcBorders>
                    <w:start w:sz="24.0" w:val="single" w:color="#FFFFFF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08" w:right="3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200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142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350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359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367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155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220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7,057 </w:t>
                  </w:r>
                </w:p>
              </w:tc>
            </w:tr>
            <w:tr>
              <w:trPr>
                <w:trHeight w:hRule="exact" w:val="220"/>
              </w:trPr>
              <w:tc>
                <w:tcPr>
                  <w:tcW w:type="dxa" w:w="1644"/>
                  <w:tcBorders>
                    <w:top w:sz="8.0" w:val="single" w:color="#6C6C6C"/>
                    <w:end w:sz="24.0" w:val="single" w:color="#FFFFFF"/>
                    <w:bottom w:sz="8.0" w:val="single" w:color="#6C6C6C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58" w:val="left"/>
                    </w:tabs>
                    <w:autoSpaceDE w:val="0"/>
                    <w:widowControl/>
                    <w:spacing w:line="180" w:lineRule="exact" w:before="18" w:after="0"/>
                    <w:ind w:left="6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$ </w:t>
                  </w:r>
                  <w:r>
                    <w:tab/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11,063 </w:t>
                  </w:r>
                </w:p>
              </w:tc>
              <w:tc>
                <w:tcPr>
                  <w:tcW w:type="dxa" w:w="1630"/>
                  <w:tcBorders>
                    <w:start w:sz="24.0" w:val="single" w:color="#FFFFFF"/>
                    <w:top w:sz="8.0" w:val="single" w:color="#6C6C6C"/>
                    <w:bottom w:sz="8.0" w:val="single" w:color="#6C6C6C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122" w:val="left"/>
                    </w:tabs>
                    <w:autoSpaceDE w:val="0"/>
                    <w:widowControl/>
                    <w:spacing w:line="180" w:lineRule="exact" w:before="18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$ </w:t>
                  </w:r>
                  <w:r>
                    <w:tab/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8,850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80" w:lineRule="exact" w:before="198" w:after="0"/>
        <w:ind w:left="62" w:right="0" w:firstLine="0"/>
        <w:jc w:val="left"/>
      </w:pPr>
      <w:r>
        <w:rPr>
          <w:rFonts w:ascii="Arial" w:hAnsi="Arial" w:eastAsia="Arial"/>
          <w:b/>
          <w:i/>
          <w:color w:val="000000"/>
          <w:sz w:val="16"/>
        </w:rPr>
        <w:t>Other Credit Enhancements Received</w:t>
      </w:r>
    </w:p>
    <w:p>
      <w:pPr>
        <w:autoSpaceDN w:val="0"/>
        <w:autoSpaceDE w:val="0"/>
        <w:widowControl/>
        <w:spacing w:line="180" w:lineRule="exact" w:before="60" w:after="18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Borrowing Country With Other Credit Enhancements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4720"/>
        <w:gridCol w:w="4720"/>
      </w:tblGrid>
      <w:tr>
        <w:trPr>
          <w:trHeight w:hRule="exact" w:val="804"/>
        </w:trPr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32" w:right="230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India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Ukraine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Outstanding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56.0" w:type="dxa"/>
            </w:tblPr>
            <w:tblGrid>
              <w:gridCol w:w="2830"/>
              <w:gridCol w:w="2830"/>
            </w:tblGrid>
            <w:tr>
              <w:trPr>
                <w:trHeight w:hRule="exact" w:val="478"/>
              </w:trPr>
              <w:tc>
                <w:tcPr>
                  <w:tcW w:type="dxa" w:w="1644"/>
                  <w:tcBorders>
                    <w:end w:sz="24.0" w:val="single" w:color="#FFFFFF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4" w:lineRule="exact" w:before="0" w:after="0"/>
                    <w:ind w:left="1008" w:right="2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1,000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1,500 </w:t>
                  </w:r>
                </w:p>
              </w:tc>
              <w:tc>
                <w:tcPr>
                  <w:tcW w:type="dxa" w:w="1630"/>
                  <w:tcBorders>
                    <w:start w:sz="24.0" w:val="single" w:color="#FFFFFF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4" w:lineRule="exact" w:before="0" w:after="0"/>
                    <w:ind w:left="1008" w:right="3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1,000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1,016 </w:t>
                  </w:r>
                </w:p>
              </w:tc>
            </w:tr>
            <w:tr>
              <w:trPr>
                <w:trHeight w:hRule="exact" w:val="220"/>
              </w:trPr>
              <w:tc>
                <w:tcPr>
                  <w:tcW w:type="dxa" w:w="1644"/>
                  <w:tcBorders>
                    <w:top w:sz="8.0" w:val="single" w:color="#6C6C6C"/>
                    <w:end w:sz="24.0" w:val="single" w:color="#FFFFFF"/>
                    <w:bottom w:sz="8.0" w:val="single" w:color="#6C6C6C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146" w:val="left"/>
                    </w:tabs>
                    <w:autoSpaceDE w:val="0"/>
                    <w:widowControl/>
                    <w:spacing w:line="180" w:lineRule="exact" w:before="18" w:after="0"/>
                    <w:ind w:left="6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$ </w:t>
                  </w:r>
                  <w:r>
                    <w:tab/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2,500 </w:t>
                  </w:r>
                </w:p>
              </w:tc>
              <w:tc>
                <w:tcPr>
                  <w:tcW w:type="dxa" w:w="1630"/>
                  <w:tcBorders>
                    <w:start w:sz="24.0" w:val="single" w:color="#FFFFFF"/>
                    <w:top w:sz="8.0" w:val="single" w:color="#6C6C6C"/>
                    <w:bottom w:sz="8.0" w:val="single" w:color="#6C6C6C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122" w:val="left"/>
                    </w:tabs>
                    <w:autoSpaceDE w:val="0"/>
                    <w:widowControl/>
                    <w:spacing w:line="180" w:lineRule="exact" w:before="18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$ </w:t>
                  </w:r>
                  <w:r>
                    <w:tab/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2,016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0"/>
        <w:gridCol w:w="4720"/>
      </w:tblGrid>
      <w:tr>
        <w:trPr>
          <w:trHeight w:hRule="exact" w:val="245"/>
        </w:trPr>
        <w:tc>
          <w:tcPr>
            <w:tcW w:type="dxa" w:w="7750"/>
            <w:vMerge w:val="restart"/>
            <w:tcBorders>
              <w:end w:sz="24.0" w:val="single" w:color="#FFFFFF"/>
              <w:bottom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2583"/>
              <w:gridCol w:w="2583"/>
              <w:gridCol w:w="2583"/>
            </w:tblGrid>
            <w:tr>
              <w:trPr>
                <w:trHeight w:hRule="exact" w:val="234"/>
              </w:trPr>
              <w:tc>
                <w:tcPr>
                  <w:tcW w:type="dxa" w:w="5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4" w:after="0"/>
                    <w:ind w:left="3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Total Guarantees and Credit Enhancements Received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4" w:after="0"/>
                    <w:ind w:left="0" w:right="430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$ 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4" w:after="0"/>
                    <w:ind w:left="0" w:right="14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13,563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30"/>
            <w:tcBorders>
              <w:start w:sz="24.0" w:val="single" w:color="#FFFFFF"/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34" w:val="left"/>
              </w:tabs>
              <w:autoSpaceDE w:val="0"/>
              <w:widowControl/>
              <w:spacing w:line="180" w:lineRule="exact" w:before="1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10,866 </w:t>
            </w:r>
          </w:p>
        </w:tc>
      </w:tr>
      <w:tr>
        <w:trPr>
          <w:trHeight w:hRule="exact" w:val="235"/>
        </w:trPr>
        <w:tc>
          <w:tcPr>
            <w:tcW w:type="dxa" w:w="4720"/>
            <w:vMerge/>
            <w:tcBorders>
              <w:end w:sz="24.0" w:val="single" w:color="#FFFFFF"/>
              <w:bottom w:sz="8.0" w:val="single" w:color="#929292"/>
            </w:tcBorders>
          </w:tcPr>
          <w:p/>
        </w:tc>
        <w:tc>
          <w:tcPr>
            <w:tcW w:type="dxa" w:w="1630"/>
            <w:tcBorders>
              <w:start w:sz="24.0" w:val="single" w:color="#FFFFFF"/>
              <w:top w:sz="8.0" w:val="single" w:color="#6C6C6C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4" w:lineRule="exact" w:before="304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>Portfolio Concentration Risk</w:t>
      </w:r>
    </w:p>
    <w:p>
      <w:pPr>
        <w:autoSpaceDN w:val="0"/>
        <w:autoSpaceDE w:val="0"/>
        <w:widowControl/>
        <w:spacing w:line="240" w:lineRule="exact" w:before="126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Portfolio concentration risk, which arises when a small group of borrowers accounts for a large share of loans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outstanding, is a key risk for IBRD. The ten countries with the highest exposures accounted for 58% of IBRD’s total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exposure as of December 31, 2024.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Concentration risk is carefully managed, in part, by applying an exposure limit to a single borrowing country for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aggregate balance of loans outstanding, the present value of guarantees provided, the undisbursed portion of DDOs,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other eligible exposures that have become effective. Under the current guidelines, IBRD’s exposure to a single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borrowing country is restricted to the lower of an Equitable Access Limit (EAL) or the Single Borrower Limit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(SBL). 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SBL framework reflects a dual-SBL system, which differentiates between countries below the Graduation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Discussion Income (GDI) threshold and those above it. Under this system, the FY25 SBL is $30.9 billion for highly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creditworthy countries below the GDI, and $22.2 billion for highly creditworthy countries above the GDI.</w:t>
      </w:r>
    </w:p>
    <w:p>
      <w:pPr>
        <w:autoSpaceDN w:val="0"/>
        <w:autoSpaceDE w:val="0"/>
        <w:widowControl/>
        <w:spacing w:line="244" w:lineRule="exact" w:before="134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>Accumulated Provision for Losses on Loans and Other Exposures</w:t>
      </w:r>
    </w:p>
    <w:p>
      <w:pPr>
        <w:autoSpaceDN w:val="0"/>
        <w:autoSpaceDE w:val="0"/>
        <w:widowControl/>
        <w:spacing w:line="240" w:lineRule="exact" w:before="126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December 31, 2024, IBRD’s accumulated provision for losses on loans and other exposures was $3.1 billion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(including $539 million of accumulated provision related to loan commitments, see Notes to Condensed Quarterly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Financial Statements - Note D - Loans and Other Exposures), which was less than 1% of the underlying exposures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($3.0 billion as of June 30, 2024, less than 1% of the underlying exposures).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December 31, 2024, 0.5% of IBRD’s total loans outstanding were in nonaccrual status, all related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Zimbabwe and Belarus. During the first six months of FY25, IBRD received $1 million ($2 million for FY24 YTD)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from borrowers in nonaccrual status as payment towards amounts overdue, none of which ($2 million for FY24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YTD) relates to interest income recognized in the Statements of Income. See Notes to Condensed Quarterly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Financial Statements, Note D - Loans and Other Exposures.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No loans in nonaccrual status to any borrowing country were restored to accrual status during the first six months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FY25.</w:t>
      </w:r>
    </w:p>
    <w:p>
      <w:pPr>
        <w:autoSpaceDN w:val="0"/>
        <w:autoSpaceDE w:val="0"/>
        <w:widowControl/>
        <w:spacing w:line="224" w:lineRule="exact" w:before="1794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22     IBRD Management's Discussion and Analysis: December 31, 2024</w:t>
      </w:r>
    </w:p>
    <w:p>
      <w:pPr>
        <w:sectPr>
          <w:pgSz w:w="12240" w:h="15840"/>
          <w:pgMar w:top="316" w:right="1370" w:bottom="1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7"/>
        <w:gridCol w:w="4717"/>
      </w:tblGrid>
      <w:tr>
        <w:trPr>
          <w:trHeight w:hRule="exact" w:val="284"/>
        </w:trPr>
        <w:tc>
          <w:tcPr>
            <w:tcW w:type="dxa" w:w="3950"/>
            <w:tcBorders>
              <w:bottom w:sz="8.0" w:val="single" w:color="#DADADA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DADAD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 xml:space="preserve">Section IV: Risk Management </w:t>
            </w:r>
          </w:p>
        </w:tc>
      </w:tr>
    </w:tbl>
    <w:p>
      <w:pPr>
        <w:autoSpaceDN w:val="0"/>
        <w:autoSpaceDE w:val="0"/>
        <w:widowControl/>
        <w:spacing w:line="244" w:lineRule="exact" w:before="118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Counterparty Credit Risk</w:t>
      </w:r>
    </w:p>
    <w:p>
      <w:pPr>
        <w:autoSpaceDN w:val="0"/>
        <w:autoSpaceDE w:val="0"/>
        <w:widowControl/>
        <w:spacing w:line="222" w:lineRule="exact" w:before="148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is exposed to commercial and non-commercial counterparty credit risk. </w:t>
      </w:r>
    </w:p>
    <w:p>
      <w:pPr>
        <w:autoSpaceDN w:val="0"/>
        <w:autoSpaceDE w:val="0"/>
        <w:widowControl/>
        <w:spacing w:line="244" w:lineRule="exact" w:before="134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>Commercial Counterparty Credit Risk</w:t>
      </w:r>
    </w:p>
    <w:p>
      <w:pPr>
        <w:autoSpaceDN w:val="0"/>
        <w:autoSpaceDE w:val="0"/>
        <w:widowControl/>
        <w:spacing w:line="240" w:lineRule="exact" w:before="126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Commercial counterparty credit risk is the risk that counterparties fail to meet their payment obligations under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terms of the contract or other financial instruments. Effective management of counterparty credit risk is vital to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success of IBRD’s funding, investment, and asset/liability management activities. The monitoring and management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of these risks is continuous as the market environment evolves.</w:t>
      </w:r>
    </w:p>
    <w:p>
      <w:pPr>
        <w:autoSpaceDN w:val="0"/>
        <w:autoSpaceDE w:val="0"/>
        <w:widowControl/>
        <w:spacing w:line="240" w:lineRule="exact" w:before="120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a result of IBRD’s use of collateral arrangements for swap transactions, its residual commercial counterparty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credit risk is concentrated in the investment portfolio, in instruments issued by sovereign governments and non-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sovereign holdings (including agencies and asset-backed securities, corporates, and time deposits).</w:t>
      </w:r>
    </w:p>
    <w:p>
      <w:pPr>
        <w:autoSpaceDN w:val="0"/>
        <w:autoSpaceDE w:val="0"/>
        <w:widowControl/>
        <w:spacing w:line="240" w:lineRule="exact" w:before="120" w:after="0"/>
        <w:ind w:left="4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shown in Table 12, 73% of IBRD's investment portfolio is rated AA or above, and the remainder predominantly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rated A. The exposures with AAA and AA rated counterparties primarily relate to sovereign debt and time deposits.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A rated counterparties principally consist of financial institutions (limited to short-term deposits and swaps)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sovereign debt. </w:t>
      </w:r>
    </w:p>
    <w:p>
      <w:pPr>
        <w:autoSpaceDN w:val="0"/>
        <w:autoSpaceDE w:val="0"/>
        <w:widowControl/>
        <w:spacing w:line="202" w:lineRule="exact" w:before="202" w:after="0"/>
        <w:ind w:left="5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12: Commercial Credit Exposure, Net of Collateral Held, by Counterparty Rating</w:t>
      </w:r>
    </w:p>
    <w:p>
      <w:pPr>
        <w:autoSpaceDN w:val="0"/>
        <w:autoSpaceDE w:val="0"/>
        <w:widowControl/>
        <w:spacing w:line="180" w:lineRule="exact" w:before="60" w:after="0"/>
        <w:ind w:left="56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60" w:after="0"/>
        <w:ind w:left="0" w:right="2726" w:firstLine="0"/>
        <w:jc w:val="right"/>
      </w:pPr>
      <w:r>
        <w:rPr>
          <w:rFonts w:ascii="Arial" w:hAnsi="Arial" w:eastAsia="Arial"/>
          <w:b w:val="0"/>
          <w:i/>
          <w:color w:val="929292"/>
          <w:sz w:val="16"/>
        </w:rPr>
        <w:t>As of December 31, 2024</w:t>
      </w:r>
    </w:p>
    <w:p>
      <w:pPr>
        <w:autoSpaceDN w:val="0"/>
        <w:autoSpaceDE w:val="0"/>
        <w:widowControl/>
        <w:spacing w:line="180" w:lineRule="exact" w:before="60" w:after="24"/>
        <w:ind w:left="0" w:right="5204" w:firstLine="0"/>
        <w:jc w:val="right"/>
      </w:pPr>
      <w:r>
        <w:rPr>
          <w:rFonts w:ascii="Arial" w:hAnsi="Arial" w:eastAsia="Arial"/>
          <w:b w:val="0"/>
          <w:i/>
          <w:color w:val="929292"/>
          <w:sz w:val="16"/>
        </w:rPr>
        <w:t>Investments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</w:tblGrid>
      <w:tr>
        <w:trPr>
          <w:trHeight w:hRule="exact" w:val="218"/>
        </w:trPr>
        <w:tc>
          <w:tcPr>
            <w:tcW w:type="dxa" w:w="2248"/>
            <w:vMerge w:val="restart"/>
            <w:tcBorders>
              <w:top w:sz="4.0" w:val="single" w:color="#929292"/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0" w:after="0"/>
              <w:ind w:left="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 xml:space="preserve">Counterparty Rating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929292"/>
                <w:sz w:val="10"/>
              </w:rPr>
              <w:t>a</w:t>
            </w:r>
          </w:p>
        </w:tc>
        <w:tc>
          <w:tcPr>
            <w:tcW w:type="dxa" w:w="216"/>
            <w:vMerge w:val="restart"/>
            <w:tcBorders>
              <w:top w:sz="4.0" w:val="single" w:color="#929292"/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76"/>
            <w:vMerge w:val="restart"/>
            <w:tcBorders>
              <w:top w:sz="4.0" w:val="single" w:color="#929292"/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2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Sovereigns</w:t>
            </w:r>
          </w:p>
        </w:tc>
        <w:tc>
          <w:tcPr>
            <w:tcW w:type="dxa" w:w="284"/>
            <w:vMerge w:val="restart"/>
            <w:tcBorders>
              <w:top w:sz="4.0" w:val="single" w:color="#929292"/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30"/>
            <w:vMerge w:val="restart"/>
            <w:tcBorders>
              <w:top w:sz="4.0" w:val="single" w:color="#929292"/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2" w:after="0"/>
              <w:ind w:left="7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Non-Sovereigns</w:t>
            </w:r>
          </w:p>
        </w:tc>
        <w:tc>
          <w:tcPr>
            <w:tcW w:type="dxa" w:w="270"/>
            <w:vMerge w:val="restart"/>
            <w:tcBorders>
              <w:top w:sz="4.0" w:val="single" w:color="#929292"/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7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 xml:space="preserve">Net Swap </w:t>
            </w:r>
          </w:p>
        </w:tc>
        <w:tc>
          <w:tcPr>
            <w:tcW w:type="dxa" w:w="1336"/>
            <w:gridSpan w:val="2"/>
            <w:vMerge w:val="restart"/>
            <w:tcBorders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Total Exposure</w:t>
            </w:r>
          </w:p>
        </w:tc>
        <w:tc>
          <w:tcPr>
            <w:tcW w:type="dxa" w:w="1330"/>
            <w:vMerge w:val="restart"/>
            <w:tcBorders>
              <w:top w:sz="4.0" w:val="single" w:color="#929292"/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% of Total</w:t>
            </w:r>
          </w:p>
        </w:tc>
      </w:tr>
      <w:tr>
        <w:trPr>
          <w:trHeight w:hRule="exact" w:val="218"/>
        </w:trPr>
        <w:tc>
          <w:tcPr>
            <w:tcW w:type="dxa" w:w="943"/>
            <w:vMerge/>
            <w:tcBorders>
              <w:top w:sz="4.0" w:val="single" w:color="#929292"/>
              <w:bottom w:sz="4.0" w:val="single" w:color="#929292"/>
            </w:tcBorders>
          </w:tcPr>
          <w:p/>
        </w:tc>
        <w:tc>
          <w:tcPr>
            <w:tcW w:type="dxa" w:w="943"/>
            <w:vMerge/>
            <w:tcBorders>
              <w:top w:sz="4.0" w:val="single" w:color="#929292"/>
              <w:bottom w:sz="4.0" w:val="single" w:color="#929292"/>
            </w:tcBorders>
          </w:tcPr>
          <w:p/>
        </w:tc>
        <w:tc>
          <w:tcPr>
            <w:tcW w:type="dxa" w:w="943"/>
            <w:vMerge/>
            <w:tcBorders>
              <w:top w:sz="4.0" w:val="single" w:color="#929292"/>
              <w:bottom w:sz="4.0" w:val="single" w:color="#929292"/>
            </w:tcBorders>
          </w:tcPr>
          <w:p/>
        </w:tc>
        <w:tc>
          <w:tcPr>
            <w:tcW w:type="dxa" w:w="943"/>
            <w:vMerge/>
            <w:tcBorders>
              <w:top w:sz="4.0" w:val="single" w:color="#929292"/>
              <w:bottom w:sz="4.0" w:val="single" w:color="#929292"/>
            </w:tcBorders>
          </w:tcPr>
          <w:p/>
        </w:tc>
        <w:tc>
          <w:tcPr>
            <w:tcW w:type="dxa" w:w="943"/>
            <w:vMerge/>
            <w:tcBorders>
              <w:top w:sz="4.0" w:val="single" w:color="#929292"/>
              <w:bottom w:sz="4.0" w:val="single" w:color="#929292"/>
            </w:tcBorders>
          </w:tcPr>
          <w:p/>
        </w:tc>
        <w:tc>
          <w:tcPr>
            <w:tcW w:type="dxa" w:w="943"/>
            <w:vMerge/>
            <w:tcBorders>
              <w:top w:sz="4.0" w:val="single" w:color="#929292"/>
              <w:bottom w:sz="4.0" w:val="single" w:color="#929292"/>
            </w:tcBorders>
          </w:tcPr>
          <w:p/>
        </w:tc>
        <w:tc>
          <w:tcPr>
            <w:tcW w:type="dxa" w:w="1064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8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Exposure</w:t>
            </w:r>
          </w:p>
        </w:tc>
        <w:tc>
          <w:tcPr>
            <w:tcW w:type="dxa" w:w="1886"/>
            <w:gridSpan w:val="2"/>
            <w:vMerge/>
            <w:tcBorders>
              <w:bottom w:sz="4.0" w:val="single" w:color="#929292"/>
            </w:tcBorders>
          </w:tcPr>
          <w:p/>
        </w:tc>
        <w:tc>
          <w:tcPr>
            <w:tcW w:type="dxa" w:w="943"/>
            <w:vMerge/>
            <w:tcBorders>
              <w:top w:sz="4.0" w:val="single" w:color="#929292"/>
              <w:bottom w:sz="4.0" w:val="single" w:color="#929292"/>
            </w:tcBorders>
          </w:tcPr>
          <w:p/>
        </w:tc>
      </w:tr>
      <w:tr>
        <w:trPr>
          <w:trHeight w:hRule="exact" w:val="222"/>
        </w:trPr>
        <w:tc>
          <w:tcPr>
            <w:tcW w:type="dxa" w:w="2248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AAA</w:t>
            </w:r>
          </w:p>
        </w:tc>
        <w:tc>
          <w:tcPr>
            <w:tcW w:type="dxa" w:w="216"/>
            <w:vMerge w:val="restart"/>
            <w:tcBorders>
              <w:top w:sz="4.0" w:val="single" w:color="#929292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6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14,178 </w:t>
            </w:r>
          </w:p>
        </w:tc>
        <w:tc>
          <w:tcPr>
            <w:tcW w:type="dxa" w:w="284"/>
            <w:vMerge w:val="restart"/>
            <w:tcBorders>
              <w:top w:sz="4.0" w:val="single" w:color="#929292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3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9,447 </w:t>
            </w:r>
          </w:p>
        </w:tc>
        <w:tc>
          <w:tcPr>
            <w:tcW w:type="dxa" w:w="270"/>
            <w:vMerge w:val="restart"/>
            <w:tcBorders>
              <w:top w:sz="4.0" w:val="single" w:color="#929292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4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96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4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23,625 </w:t>
            </w:r>
          </w:p>
        </w:tc>
        <w:tc>
          <w:tcPr>
            <w:tcW w:type="dxa" w:w="133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27 %</w:t>
            </w:r>
          </w:p>
        </w:tc>
      </w:tr>
      <w:tr>
        <w:trPr>
          <w:trHeight w:hRule="exact" w:val="240"/>
        </w:trPr>
        <w:tc>
          <w:tcPr>
            <w:tcW w:type="dxa" w:w="22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AA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4,372 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35,444 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 </w:t>
            </w:r>
          </w:p>
        </w:tc>
        <w:tc>
          <w:tcPr>
            <w:tcW w:type="dxa" w:w="13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39,837 </w:t>
            </w:r>
          </w:p>
        </w:tc>
        <w:tc>
          <w:tcPr>
            <w:tcW w:type="dxa" w:w="1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46 </w:t>
            </w:r>
          </w:p>
        </w:tc>
      </w:tr>
      <w:tr>
        <w:trPr>
          <w:trHeight w:hRule="exact" w:val="240"/>
        </w:trPr>
        <w:tc>
          <w:tcPr>
            <w:tcW w:type="dxa" w:w="22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9,737 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13,431 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152 </w:t>
            </w:r>
          </w:p>
        </w:tc>
        <w:tc>
          <w:tcPr>
            <w:tcW w:type="dxa" w:w="13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23,320 </w:t>
            </w:r>
          </w:p>
        </w:tc>
        <w:tc>
          <w:tcPr>
            <w:tcW w:type="dxa" w:w="1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27 </w:t>
            </w:r>
          </w:p>
        </w:tc>
      </w:tr>
      <w:tr>
        <w:trPr>
          <w:trHeight w:hRule="exact" w:val="240"/>
        </w:trPr>
        <w:tc>
          <w:tcPr>
            <w:tcW w:type="dxa" w:w="22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BBB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3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 </w:t>
            </w:r>
          </w:p>
        </w:tc>
        <w:tc>
          <w:tcPr>
            <w:tcW w:type="dxa" w:w="1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* </w:t>
            </w:r>
          </w:p>
        </w:tc>
      </w:tr>
      <w:tr>
        <w:trPr>
          <w:trHeight w:hRule="exact" w:val="258"/>
        </w:trPr>
        <w:tc>
          <w:tcPr>
            <w:tcW w:type="dxa" w:w="224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BB or lower/unrated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0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5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0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33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13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* </w:t>
            </w:r>
          </w:p>
        </w:tc>
      </w:tr>
      <w:tr>
        <w:trPr>
          <w:trHeight w:hRule="exact" w:val="220"/>
        </w:trPr>
        <w:tc>
          <w:tcPr>
            <w:tcW w:type="dxa" w:w="224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2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28,289 </w:t>
            </w:r>
          </w:p>
        </w:tc>
        <w:tc>
          <w:tcPr>
            <w:tcW w:type="dxa" w:w="2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58,361 </w:t>
            </w:r>
          </w:p>
        </w:tc>
        <w:tc>
          <w:tcPr>
            <w:tcW w:type="dxa" w:w="2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173 </w:t>
            </w:r>
          </w:p>
        </w:tc>
        <w:tc>
          <w:tcPr>
            <w:tcW w:type="dxa" w:w="4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86,823 </w:t>
            </w:r>
          </w:p>
        </w:tc>
        <w:tc>
          <w:tcPr>
            <w:tcW w:type="dxa" w:w="1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</w:tr>
    </w:tbl>
    <w:p>
      <w:pPr>
        <w:autoSpaceDN w:val="0"/>
        <w:autoSpaceDE w:val="0"/>
        <w:widowControl/>
        <w:spacing w:line="180" w:lineRule="exact" w:before="392" w:after="0"/>
        <w:ind w:left="0" w:right="2900" w:firstLine="0"/>
        <w:jc w:val="right"/>
      </w:pPr>
      <w:r>
        <w:rPr>
          <w:rFonts w:ascii="Arial" w:hAnsi="Arial" w:eastAsia="Arial"/>
          <w:b w:val="0"/>
          <w:i/>
          <w:color w:val="929292"/>
          <w:sz w:val="16"/>
        </w:rPr>
        <w:t xml:space="preserve"> As of June 30, 2024</w:t>
      </w:r>
    </w:p>
    <w:p>
      <w:pPr>
        <w:autoSpaceDN w:val="0"/>
        <w:autoSpaceDE w:val="0"/>
        <w:widowControl/>
        <w:spacing w:line="180" w:lineRule="exact" w:before="60" w:after="24"/>
        <w:ind w:left="0" w:right="5204" w:firstLine="0"/>
        <w:jc w:val="right"/>
      </w:pPr>
      <w:r>
        <w:rPr>
          <w:rFonts w:ascii="Arial" w:hAnsi="Arial" w:eastAsia="Arial"/>
          <w:b w:val="0"/>
          <w:i/>
          <w:color w:val="929292"/>
          <w:sz w:val="16"/>
        </w:rPr>
        <w:t>Investments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</w:tblGrid>
      <w:tr>
        <w:trPr>
          <w:trHeight w:hRule="exact" w:val="218"/>
        </w:trPr>
        <w:tc>
          <w:tcPr>
            <w:tcW w:type="dxa" w:w="2248"/>
            <w:vMerge w:val="restart"/>
            <w:tcBorders>
              <w:top w:sz="4.0" w:val="single" w:color="#929292"/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0" w:after="0"/>
              <w:ind w:left="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 xml:space="preserve">Counterparty Rating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929292"/>
                <w:sz w:val="10"/>
              </w:rPr>
              <w:t>a</w:t>
            </w:r>
          </w:p>
        </w:tc>
        <w:tc>
          <w:tcPr>
            <w:tcW w:type="dxa" w:w="216"/>
            <w:vMerge w:val="restart"/>
            <w:tcBorders>
              <w:top w:sz="4.0" w:val="single" w:color="#929292"/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76"/>
            <w:vMerge w:val="restart"/>
            <w:tcBorders>
              <w:top w:sz="4.0" w:val="single" w:color="#929292"/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2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Sovereigns</w:t>
            </w:r>
          </w:p>
        </w:tc>
        <w:tc>
          <w:tcPr>
            <w:tcW w:type="dxa" w:w="284"/>
            <w:vMerge w:val="restart"/>
            <w:tcBorders>
              <w:top w:sz="4.0" w:val="single" w:color="#929292"/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30"/>
            <w:vMerge w:val="restart"/>
            <w:tcBorders>
              <w:top w:sz="4.0" w:val="single" w:color="#929292"/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2" w:after="0"/>
              <w:ind w:left="7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Non-Sovereigns</w:t>
            </w:r>
          </w:p>
        </w:tc>
        <w:tc>
          <w:tcPr>
            <w:tcW w:type="dxa" w:w="270"/>
            <w:vMerge w:val="restart"/>
            <w:tcBorders>
              <w:top w:sz="4.0" w:val="single" w:color="#929292"/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7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 xml:space="preserve">Net Swap </w:t>
            </w:r>
          </w:p>
        </w:tc>
        <w:tc>
          <w:tcPr>
            <w:tcW w:type="dxa" w:w="1336"/>
            <w:gridSpan w:val="2"/>
            <w:vMerge w:val="restart"/>
            <w:tcBorders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Total Exposure</w:t>
            </w:r>
          </w:p>
        </w:tc>
        <w:tc>
          <w:tcPr>
            <w:tcW w:type="dxa" w:w="1330"/>
            <w:vMerge w:val="restart"/>
            <w:tcBorders>
              <w:top w:sz="4.0" w:val="single" w:color="#929292"/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% of Total</w:t>
            </w:r>
          </w:p>
        </w:tc>
      </w:tr>
      <w:tr>
        <w:trPr>
          <w:trHeight w:hRule="exact" w:val="218"/>
        </w:trPr>
        <w:tc>
          <w:tcPr>
            <w:tcW w:type="dxa" w:w="943"/>
            <w:vMerge/>
            <w:tcBorders>
              <w:top w:sz="4.0" w:val="single" w:color="#929292"/>
              <w:bottom w:sz="4.0" w:val="single" w:color="#929292"/>
            </w:tcBorders>
          </w:tcPr>
          <w:p/>
        </w:tc>
        <w:tc>
          <w:tcPr>
            <w:tcW w:type="dxa" w:w="943"/>
            <w:vMerge/>
            <w:tcBorders>
              <w:top w:sz="4.0" w:val="single" w:color="#929292"/>
              <w:bottom w:sz="4.0" w:val="single" w:color="#929292"/>
            </w:tcBorders>
          </w:tcPr>
          <w:p/>
        </w:tc>
        <w:tc>
          <w:tcPr>
            <w:tcW w:type="dxa" w:w="943"/>
            <w:vMerge/>
            <w:tcBorders>
              <w:top w:sz="4.0" w:val="single" w:color="#929292"/>
              <w:bottom w:sz="4.0" w:val="single" w:color="#929292"/>
            </w:tcBorders>
          </w:tcPr>
          <w:p/>
        </w:tc>
        <w:tc>
          <w:tcPr>
            <w:tcW w:type="dxa" w:w="943"/>
            <w:vMerge/>
            <w:tcBorders>
              <w:top w:sz="4.0" w:val="single" w:color="#929292"/>
              <w:bottom w:sz="4.0" w:val="single" w:color="#929292"/>
            </w:tcBorders>
          </w:tcPr>
          <w:p/>
        </w:tc>
        <w:tc>
          <w:tcPr>
            <w:tcW w:type="dxa" w:w="943"/>
            <w:vMerge/>
            <w:tcBorders>
              <w:top w:sz="4.0" w:val="single" w:color="#929292"/>
              <w:bottom w:sz="4.0" w:val="single" w:color="#929292"/>
            </w:tcBorders>
          </w:tcPr>
          <w:p/>
        </w:tc>
        <w:tc>
          <w:tcPr>
            <w:tcW w:type="dxa" w:w="943"/>
            <w:vMerge/>
            <w:tcBorders>
              <w:top w:sz="4.0" w:val="single" w:color="#929292"/>
              <w:bottom w:sz="4.0" w:val="single" w:color="#929292"/>
            </w:tcBorders>
          </w:tcPr>
          <w:p/>
        </w:tc>
        <w:tc>
          <w:tcPr>
            <w:tcW w:type="dxa" w:w="1064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8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Exposure</w:t>
            </w:r>
          </w:p>
        </w:tc>
        <w:tc>
          <w:tcPr>
            <w:tcW w:type="dxa" w:w="1886"/>
            <w:gridSpan w:val="2"/>
            <w:vMerge/>
            <w:tcBorders>
              <w:bottom w:sz="4.0" w:val="single" w:color="#929292"/>
            </w:tcBorders>
          </w:tcPr>
          <w:p/>
        </w:tc>
        <w:tc>
          <w:tcPr>
            <w:tcW w:type="dxa" w:w="943"/>
            <w:vMerge/>
            <w:tcBorders>
              <w:top w:sz="4.0" w:val="single" w:color="#929292"/>
              <w:bottom w:sz="4.0" w:val="single" w:color="#929292"/>
            </w:tcBorders>
          </w:tcPr>
          <w:p/>
        </w:tc>
      </w:tr>
      <w:tr>
        <w:trPr>
          <w:trHeight w:hRule="exact" w:val="222"/>
        </w:trPr>
        <w:tc>
          <w:tcPr>
            <w:tcW w:type="dxa" w:w="2248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AAA</w:t>
            </w:r>
          </w:p>
        </w:tc>
        <w:tc>
          <w:tcPr>
            <w:tcW w:type="dxa" w:w="216"/>
            <w:vMerge w:val="restart"/>
            <w:tcBorders>
              <w:top w:sz="4.0" w:val="single" w:color="#929292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6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9,583 </w:t>
            </w:r>
          </w:p>
        </w:tc>
        <w:tc>
          <w:tcPr>
            <w:tcW w:type="dxa" w:w="284"/>
            <w:vMerge w:val="restart"/>
            <w:tcBorders>
              <w:top w:sz="4.0" w:val="single" w:color="#929292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3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8,844 </w:t>
            </w:r>
          </w:p>
        </w:tc>
        <w:tc>
          <w:tcPr>
            <w:tcW w:type="dxa" w:w="270"/>
            <w:vMerge w:val="restart"/>
            <w:tcBorders>
              <w:top w:sz="4.0" w:val="single" w:color="#929292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4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96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4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18,427 </w:t>
            </w:r>
          </w:p>
        </w:tc>
        <w:tc>
          <w:tcPr>
            <w:tcW w:type="dxa" w:w="133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23 %</w:t>
            </w:r>
          </w:p>
        </w:tc>
      </w:tr>
      <w:tr>
        <w:trPr>
          <w:trHeight w:hRule="exact" w:val="240"/>
        </w:trPr>
        <w:tc>
          <w:tcPr>
            <w:tcW w:type="dxa" w:w="22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AA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6,778 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36,481 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54 </w:t>
            </w:r>
          </w:p>
        </w:tc>
        <w:tc>
          <w:tcPr>
            <w:tcW w:type="dxa" w:w="13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43,313 </w:t>
            </w:r>
          </w:p>
        </w:tc>
        <w:tc>
          <w:tcPr>
            <w:tcW w:type="dxa" w:w="1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54 </w:t>
            </w:r>
          </w:p>
        </w:tc>
      </w:tr>
      <w:tr>
        <w:trPr>
          <w:trHeight w:hRule="exact" w:val="240"/>
        </w:trPr>
        <w:tc>
          <w:tcPr>
            <w:tcW w:type="dxa" w:w="22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7,240 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11,505 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131 </w:t>
            </w:r>
          </w:p>
        </w:tc>
        <w:tc>
          <w:tcPr>
            <w:tcW w:type="dxa" w:w="13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18,876 </w:t>
            </w:r>
          </w:p>
        </w:tc>
        <w:tc>
          <w:tcPr>
            <w:tcW w:type="dxa" w:w="1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23 </w:t>
            </w:r>
          </w:p>
        </w:tc>
      </w:tr>
      <w:tr>
        <w:trPr>
          <w:trHeight w:hRule="exact" w:val="240"/>
        </w:trPr>
        <w:tc>
          <w:tcPr>
            <w:tcW w:type="dxa" w:w="22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BBB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 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3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 </w:t>
            </w:r>
          </w:p>
        </w:tc>
        <w:tc>
          <w:tcPr>
            <w:tcW w:type="dxa" w:w="1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* </w:t>
            </w:r>
          </w:p>
        </w:tc>
      </w:tr>
      <w:tr>
        <w:trPr>
          <w:trHeight w:hRule="exact" w:val="258"/>
        </w:trPr>
        <w:tc>
          <w:tcPr>
            <w:tcW w:type="dxa" w:w="224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BB or lower/unrated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0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5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0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33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13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* </w:t>
            </w:r>
          </w:p>
        </w:tc>
      </w:tr>
      <w:tr>
        <w:trPr>
          <w:trHeight w:hRule="exact" w:val="220"/>
        </w:trPr>
        <w:tc>
          <w:tcPr>
            <w:tcW w:type="dxa" w:w="224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2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23,605 </w:t>
            </w:r>
          </w:p>
        </w:tc>
        <w:tc>
          <w:tcPr>
            <w:tcW w:type="dxa" w:w="2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56,865 </w:t>
            </w:r>
          </w:p>
        </w:tc>
        <w:tc>
          <w:tcPr>
            <w:tcW w:type="dxa" w:w="2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185 </w:t>
            </w:r>
          </w:p>
        </w:tc>
        <w:tc>
          <w:tcPr>
            <w:tcW w:type="dxa" w:w="4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80,655 </w:t>
            </w:r>
          </w:p>
        </w:tc>
        <w:tc>
          <w:tcPr>
            <w:tcW w:type="dxa" w:w="1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</w:tr>
    </w:tbl>
    <w:p>
      <w:pPr>
        <w:autoSpaceDN w:val="0"/>
        <w:autoSpaceDE w:val="0"/>
        <w:widowControl/>
        <w:spacing w:line="192" w:lineRule="exact" w:before="296" w:after="0"/>
        <w:ind w:left="236" w:right="92" w:hanging="180"/>
        <w:jc w:val="both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Average rating is calculated using available ratings from the three major rating agencies; however, if ratings are not available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from each of the three rating agencies, IBRD uses the average of the ratings available from any of such rating agencies or a </w:t>
      </w:r>
      <w:r>
        <w:rPr>
          <w:rFonts w:ascii="Arial" w:hAnsi="Arial" w:eastAsia="Arial"/>
          <w:b w:val="0"/>
          <w:i/>
          <w:color w:val="000000"/>
          <w:sz w:val="16"/>
        </w:rPr>
        <w:t>single rating to the extent that an instrument or issuer (as applicable) is rated by only one rating agency.</w:t>
      </w:r>
    </w:p>
    <w:p>
      <w:pPr>
        <w:autoSpaceDN w:val="0"/>
        <w:autoSpaceDE w:val="0"/>
        <w:widowControl/>
        <w:spacing w:line="180" w:lineRule="exact" w:before="60" w:after="0"/>
        <w:ind w:left="56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*  Indicates percentage less than 0.5%.</w:t>
      </w:r>
    </w:p>
    <w:p>
      <w:pPr>
        <w:autoSpaceDN w:val="0"/>
        <w:autoSpaceDE w:val="0"/>
        <w:widowControl/>
        <w:spacing w:line="242" w:lineRule="exact" w:before="206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>Non-Commercial Counterparty Credit Risk</w:t>
      </w:r>
    </w:p>
    <w:p>
      <w:pPr>
        <w:autoSpaceDN w:val="0"/>
        <w:autoSpaceDE w:val="0"/>
        <w:widowControl/>
        <w:spacing w:line="240" w:lineRule="exact" w:before="126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addition to its derivative transactions with commercial counterparties, IBRD offers derivative-intermediation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other services to borrowing member countries, as well as to affiliated and non-affiliated organizations, to help meet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their development needs and fulfill their development mandates (Table 13).</w:t>
      </w:r>
    </w:p>
    <w:p>
      <w:pPr>
        <w:autoSpaceDN w:val="0"/>
        <w:autoSpaceDE w:val="0"/>
        <w:widowControl/>
        <w:spacing w:line="240" w:lineRule="exact" w:before="120" w:after="0"/>
        <w:ind w:left="4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has a master derivatives agreement with the International Finance Facility for Immunisation (IFFIm), under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which several transactions have been executed. IBRD has the right to call for collateral above an agreed specified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threshold. As of December 31, 2024, IBRD had not exercised this right, but may do so under the existing terms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agreement. Rather than calling for collateral, IBRD and IFFIm have agreed to manage IBRD’s exposure by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applying a risk management buffer to the gearing ratio limit. The gearing ratio limit represents the maximum amount </w:t>
      </w:r>
    </w:p>
    <w:p>
      <w:pPr>
        <w:autoSpaceDN w:val="0"/>
        <w:autoSpaceDE w:val="0"/>
        <w:widowControl/>
        <w:spacing w:line="224" w:lineRule="exact" w:before="878" w:after="0"/>
        <w:ind w:left="0" w:right="7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December 31, 2024     23</w:t>
      </w:r>
    </w:p>
    <w:p>
      <w:pPr>
        <w:sectPr>
          <w:pgSz w:w="12240" w:h="15840"/>
          <w:pgMar w:top="316" w:right="1370" w:bottom="13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7"/>
        <w:gridCol w:w="4717"/>
      </w:tblGrid>
      <w:tr>
        <w:trPr>
          <w:trHeight w:hRule="exact" w:val="284"/>
        </w:trPr>
        <w:tc>
          <w:tcPr>
            <w:tcW w:type="dxa" w:w="3950"/>
            <w:tcBorders>
              <w:bottom w:sz="8.0" w:val="single" w:color="#DADADA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DADAD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 xml:space="preserve">Section IV: Risk Management </w:t>
            </w:r>
          </w:p>
        </w:tc>
      </w:tr>
    </w:tbl>
    <w:p>
      <w:pPr>
        <w:autoSpaceDN w:val="0"/>
        <w:autoSpaceDE w:val="0"/>
        <w:widowControl/>
        <w:spacing w:line="240" w:lineRule="exact" w:before="108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IFFIm’s net financial obligations less cash and liquid assets, as a percentage of the net present value of its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financial assets.</w:t>
      </w:r>
    </w:p>
    <w:p>
      <w:pPr>
        <w:autoSpaceDN w:val="0"/>
        <w:autoSpaceDE w:val="0"/>
        <w:widowControl/>
        <w:spacing w:line="202" w:lineRule="exact" w:before="202" w:after="0"/>
        <w:ind w:left="5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13: Non-Commercial Counterparty Credit Risk</w:t>
      </w:r>
    </w:p>
    <w:p>
      <w:pPr>
        <w:autoSpaceDN w:val="0"/>
        <w:autoSpaceDE w:val="0"/>
        <w:widowControl/>
        <w:spacing w:line="180" w:lineRule="exact" w:before="60" w:after="0"/>
        <w:ind w:left="56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166" w:after="24"/>
        <w:ind w:left="56" w:right="0" w:firstLine="0"/>
        <w:jc w:val="left"/>
      </w:pPr>
      <w:r>
        <w:rPr>
          <w:rFonts w:ascii="Arial" w:hAnsi="Arial" w:eastAsia="Arial"/>
          <w:b w:val="0"/>
          <w:i/>
          <w:color w:val="929292"/>
          <w:sz w:val="16"/>
        </w:rPr>
        <w:t>Exposures as of December 31,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7"/>
        <w:gridCol w:w="1887"/>
        <w:gridCol w:w="1887"/>
        <w:gridCol w:w="1887"/>
        <w:gridCol w:w="1887"/>
      </w:tblGrid>
      <w:tr>
        <w:trPr>
          <w:trHeight w:hRule="exact" w:val="220"/>
        </w:trPr>
        <w:tc>
          <w:tcPr>
            <w:tcW w:type="dxa" w:w="1724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 xml:space="preserve">Non-Commercial </w:t>
            </w:r>
          </w:p>
        </w:tc>
        <w:tc>
          <w:tcPr>
            <w:tcW w:type="dxa" w:w="182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3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 xml:space="preserve">Instrument </w:t>
            </w:r>
          </w:p>
        </w:tc>
        <w:tc>
          <w:tcPr>
            <w:tcW w:type="dxa" w:w="3400"/>
            <w:vMerge w:val="restart"/>
            <w:tcBorders>
              <w:top w:sz="4.0" w:val="single" w:color="#929292"/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2" w:after="0"/>
              <w:ind w:left="60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Purpose of derivative transaction</w:t>
            </w:r>
          </w:p>
        </w:tc>
        <w:tc>
          <w:tcPr>
            <w:tcW w:type="dxa" w:w="1220"/>
            <w:vMerge w:val="restart"/>
            <w:tcBorders>
              <w:top w:sz="4.0" w:val="single" w:color="#929292"/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2" w:after="0"/>
              <w:ind w:left="0" w:right="13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Notional</w:t>
            </w:r>
          </w:p>
        </w:tc>
        <w:tc>
          <w:tcPr>
            <w:tcW w:type="dxa" w:w="1204"/>
            <w:vMerge w:val="restart"/>
            <w:tcBorders>
              <w:top w:sz="4.0" w:val="single" w:color="#929292"/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Net Exposure</w:t>
            </w:r>
          </w:p>
        </w:tc>
      </w:tr>
      <w:tr>
        <w:trPr>
          <w:trHeight w:hRule="exact" w:val="216"/>
        </w:trPr>
        <w:tc>
          <w:tcPr>
            <w:tcW w:type="dxa" w:w="1724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Counterparty</w:t>
            </w:r>
          </w:p>
        </w:tc>
        <w:tc>
          <w:tcPr>
            <w:tcW w:type="dxa" w:w="182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43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used</w:t>
            </w:r>
          </w:p>
        </w:tc>
        <w:tc>
          <w:tcPr>
            <w:tcW w:type="dxa" w:w="1887"/>
            <w:vMerge/>
            <w:tcBorders>
              <w:top w:sz="4.0" w:val="single" w:color="#929292"/>
              <w:bottom w:sz="4.0" w:val="single" w:color="#929292"/>
            </w:tcBorders>
          </w:tcPr>
          <w:p/>
        </w:tc>
        <w:tc>
          <w:tcPr>
            <w:tcW w:type="dxa" w:w="1887"/>
            <w:vMerge/>
            <w:tcBorders>
              <w:top w:sz="4.0" w:val="single" w:color="#929292"/>
              <w:bottom w:sz="4.0" w:val="single" w:color="#929292"/>
            </w:tcBorders>
          </w:tcPr>
          <w:p/>
        </w:tc>
        <w:tc>
          <w:tcPr>
            <w:tcW w:type="dxa" w:w="1887"/>
            <w:vMerge/>
            <w:tcBorders>
              <w:top w:sz="4.0" w:val="single" w:color="#929292"/>
              <w:bottom w:sz="4.0" w:val="single" w:color="#929292"/>
            </w:tcBorders>
          </w:tcPr>
          <w:p/>
        </w:tc>
      </w:tr>
    </w:tbl>
    <w:p>
      <w:pPr>
        <w:autoSpaceDN w:val="0"/>
        <w:autoSpaceDE w:val="0"/>
        <w:widowControl/>
        <w:spacing w:line="178" w:lineRule="exact" w:before="28" w:after="8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Borrowing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2"/>
        <w:gridCol w:w="1572"/>
        <w:gridCol w:w="1572"/>
        <w:gridCol w:w="1572"/>
        <w:gridCol w:w="1572"/>
        <w:gridCol w:w="1572"/>
      </w:tblGrid>
      <w:tr>
        <w:trPr>
          <w:trHeight w:hRule="exact" w:val="204"/>
        </w:trPr>
        <w:tc>
          <w:tcPr>
            <w:tcW w:type="dxa" w:w="2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Member Countries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Derivatives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Assist borrowing member countries with managing risks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6,798 </w:t>
            </w:r>
          </w:p>
        </w:tc>
        <w:tc>
          <w:tcPr>
            <w:tcW w:type="dxa" w:w="6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</w:tr>
      <w:tr>
        <w:trPr>
          <w:trHeight w:hRule="exact" w:val="250"/>
        </w:trPr>
        <w:tc>
          <w:tcPr>
            <w:tcW w:type="dxa" w:w="20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Non-Affiliated Organization</w:t>
            </w:r>
          </w:p>
        </w:tc>
        <w:tc>
          <w:tcPr>
            <w:tcW w:type="dxa" w:w="11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Derivatives</w:t>
            </w:r>
          </w:p>
        </w:tc>
        <w:tc>
          <w:tcPr>
            <w:tcW w:type="dxa" w:w="44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Assist IFFIm with managing financial risks</w:t>
            </w:r>
          </w:p>
        </w:tc>
        <w:tc>
          <w:tcPr>
            <w:tcW w:type="dxa" w:w="5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1,978 </w:t>
            </w:r>
          </w:p>
        </w:tc>
        <w:tc>
          <w:tcPr>
            <w:tcW w:type="dxa" w:w="1572"/>
            <w:vMerge/>
            <w:tcBorders>
              <w:bottom w:sz="8.0" w:val="single" w:color="#000000"/>
            </w:tcBorders>
          </w:tcPr>
          <w:p/>
        </w:tc>
        <w:tc>
          <w:tcPr>
            <w:tcW w:type="dxa" w:w="6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20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8,776 </w:t>
            </w:r>
          </w:p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 </w:t>
            </w:r>
          </w:p>
        </w:tc>
      </w:tr>
    </w:tbl>
    <w:p>
      <w:pPr>
        <w:autoSpaceDN w:val="0"/>
        <w:autoSpaceDE w:val="0"/>
        <w:widowControl/>
        <w:spacing w:line="244" w:lineRule="exact" w:before="358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Changes in Credit Spreads</w:t>
      </w:r>
    </w:p>
    <w:p>
      <w:pPr>
        <w:autoSpaceDN w:val="0"/>
        <w:autoSpaceDE w:val="0"/>
        <w:widowControl/>
        <w:spacing w:line="240" w:lineRule="exact" w:before="128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sensitivity of IBRD’s portfolios to credit represents the change in fair value corresponding to changes in credit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spreads.</w:t>
      </w:r>
    </w:p>
    <w:p>
      <w:pPr>
        <w:autoSpaceDN w:val="0"/>
        <w:tabs>
          <w:tab w:pos="724" w:val="left"/>
        </w:tabs>
        <w:autoSpaceDE w:val="0"/>
        <w:widowControl/>
        <w:spacing w:line="238" w:lineRule="exact" w:before="124" w:after="0"/>
        <w:ind w:left="36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◦</w:t>
      </w:r>
      <w:r>
        <w:tab/>
      </w:r>
      <w:r>
        <w:rPr>
          <w:rFonts w:ascii="TimesNewRoman" w:hAnsi="TimesNewRoman" w:eastAsia="TimesNewRoman"/>
          <w:b w:val="0"/>
          <w:i/>
          <w:color w:val="000000"/>
          <w:sz w:val="20"/>
        </w:rPr>
        <w:t>Investments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: IBRD purchases investment-grade securities for its liquid asset portfolio. Credit risk is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controlled through appropriate eligibility criteria (see investment eligibility criteria in IBRD’s MD&amp;A as of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June 30, 2024) and a consultative loss limit.</w:t>
      </w:r>
    </w:p>
    <w:p>
      <w:pPr>
        <w:autoSpaceDN w:val="0"/>
        <w:tabs>
          <w:tab w:pos="724" w:val="left"/>
        </w:tabs>
        <w:autoSpaceDE w:val="0"/>
        <w:widowControl/>
        <w:spacing w:line="238" w:lineRule="exact" w:before="64" w:after="0"/>
        <w:ind w:left="36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◦</w:t>
      </w:r>
      <w:r>
        <w:tab/>
      </w:r>
      <w:r>
        <w:rPr>
          <w:rFonts w:ascii="TimesNewRoman" w:hAnsi="TimesNewRoman" w:eastAsia="TimesNewRoman"/>
          <w:b w:val="0"/>
          <w:i/>
          <w:color w:val="000000"/>
          <w:sz w:val="20"/>
        </w:rPr>
        <w:t>Borrowings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: IBRD’s own credit risk reflects the cost of funding relative to applicable reference rates.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Changes in IBRD’s credit spreads result in unrealized mark-to-market gains/losses, recorded as Net Change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 DVA on Fair Value Option elected liabilities in the Condensed Statements of Comprehensive Income.</w:t>
      </w:r>
    </w:p>
    <w:p>
      <w:pPr>
        <w:autoSpaceDN w:val="0"/>
        <w:tabs>
          <w:tab w:pos="724" w:val="left"/>
        </w:tabs>
        <w:autoSpaceDE w:val="0"/>
        <w:widowControl/>
        <w:spacing w:line="240" w:lineRule="exact" w:before="62" w:after="0"/>
        <w:ind w:left="36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◦</w:t>
      </w:r>
      <w:r>
        <w:tab/>
      </w:r>
      <w:r>
        <w:rPr>
          <w:rFonts w:ascii="TimesNewRoman" w:hAnsi="TimesNewRoman" w:eastAsia="TimesNewRoman"/>
          <w:b w:val="0"/>
          <w:i/>
          <w:color w:val="000000"/>
          <w:sz w:val="20"/>
        </w:rPr>
        <w:t>Loans: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 IBRD’s fair value model represents a hypothetical exit price of the loan portfolio. It incorporates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Credit Default Swaps (CDS) spreads as an indicator of the credit risk for each borrower. IBRD does not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hedge its sovereign credit exposure, but Management assesses its credit risk through a loan-loss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provisioning framework. The loan loss provision represents the expected losses inherent in its accrual and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nonaccrual portfolios. IBRD’s country credit risk is managed by using individual country exposure limits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and by monitoring its credit-risk-bearing capacity.</w:t>
      </w:r>
    </w:p>
    <w:p>
      <w:pPr>
        <w:autoSpaceDN w:val="0"/>
        <w:tabs>
          <w:tab w:pos="724" w:val="left"/>
        </w:tabs>
        <w:autoSpaceDE w:val="0"/>
        <w:widowControl/>
        <w:spacing w:line="238" w:lineRule="exact" w:before="64" w:after="0"/>
        <w:ind w:left="36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◦</w:t>
      </w:r>
      <w:r>
        <w:tab/>
      </w:r>
      <w:r>
        <w:rPr>
          <w:rFonts w:ascii="TimesNewRoman" w:hAnsi="TimesNewRoman" w:eastAsia="TimesNewRoman"/>
          <w:b w:val="0"/>
          <w:i/>
          <w:color w:val="000000"/>
          <w:sz w:val="20"/>
        </w:rPr>
        <w:t>Derivatives: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 IBRD uses derivatives to manage exposures to currency and interest rate risks in its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investment, loan, other ALM and borrowing portfolios. It is therefore exposed to commercial counterparty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credit risk on these instruments.</w:t>
      </w:r>
    </w:p>
    <w:p>
      <w:pPr>
        <w:autoSpaceDN w:val="0"/>
        <w:autoSpaceDE w:val="0"/>
        <w:widowControl/>
        <w:spacing w:line="268" w:lineRule="exact" w:before="196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Market Risk</w:t>
      </w:r>
    </w:p>
    <w:p>
      <w:pPr>
        <w:autoSpaceDN w:val="0"/>
        <w:autoSpaceDE w:val="0"/>
        <w:widowControl/>
        <w:spacing w:line="240" w:lineRule="exact" w:before="124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is exposed to changes in interest and exchange rates, and it uses various strategies to minimize its exposure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market risk.</w:t>
      </w:r>
    </w:p>
    <w:p>
      <w:pPr>
        <w:autoSpaceDN w:val="0"/>
        <w:autoSpaceDE w:val="0"/>
        <w:widowControl/>
        <w:spacing w:line="244" w:lineRule="exact" w:before="132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Interest Rate Risk</w:t>
      </w:r>
    </w:p>
    <w:p>
      <w:pPr>
        <w:autoSpaceDN w:val="0"/>
        <w:autoSpaceDE w:val="0"/>
        <w:widowControl/>
        <w:spacing w:line="240" w:lineRule="exact" w:before="128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Under its current interest rate risk management strategy, IBRD seeks to match the interest rate sensitivity of its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assets (loan and investment trading portfolios) with those of its liabilities (borrowing portfolio) by using derivatives,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such as interest rate swaps. These derivatives effectively convert IBRD’s financial assets and liabilities into variable-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rate instruments. After considering the effects of these derivatives, virtually the entire loan and borrowing portfolios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are carried at variable interest rates.</w:t>
      </w:r>
    </w:p>
    <w:p>
      <w:pPr>
        <w:autoSpaceDN w:val="0"/>
        <w:autoSpaceDE w:val="0"/>
        <w:widowControl/>
        <w:spacing w:line="244" w:lineRule="exact" w:before="136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2"/>
        </w:rPr>
        <w:t>Loans to borrowing countries</w:t>
      </w:r>
    </w:p>
    <w:p>
      <w:pPr>
        <w:autoSpaceDN w:val="0"/>
        <w:autoSpaceDE w:val="0"/>
        <w:widowControl/>
        <w:spacing w:line="220" w:lineRule="exact" w:before="144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Under IBRD’s loan agreements, if an interest rate yields a negative rate, the interest rate charged is zero.</w:t>
      </w:r>
    </w:p>
    <w:p>
      <w:pPr>
        <w:autoSpaceDN w:val="0"/>
        <w:autoSpaceDE w:val="0"/>
        <w:widowControl/>
        <w:spacing w:line="244" w:lineRule="exact" w:before="136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2"/>
        </w:rPr>
        <w:t>Liquid Asset Portfolio</w:t>
      </w:r>
    </w:p>
    <w:p>
      <w:pPr>
        <w:autoSpaceDN w:val="0"/>
        <w:autoSpaceDE w:val="0"/>
        <w:widowControl/>
        <w:spacing w:line="240" w:lineRule="exact" w:before="124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existing guidelines allow for the investment in a wide variety of credit products in both developed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emerging market economies (see investment eligibility criteria in IBRD’s MD&amp;A as of June 30, 2024). </w:t>
      </w:r>
    </w:p>
    <w:p>
      <w:pPr>
        <w:autoSpaceDN w:val="0"/>
        <w:autoSpaceDE w:val="0"/>
        <w:widowControl/>
        <w:spacing w:line="240" w:lineRule="exact" w:before="12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interest rate risk on IBRD’s liquid asset portfolio, including the risk that the value of assets in the portfolio will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fluctuate in response to changes in market interest rates, is managed within specified duration-mismatch limits.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liquid asset portfolio has spread exposure because IBRD holds instruments other than short-term bank deposits. </w:t>
      </w:r>
    </w:p>
    <w:p>
      <w:pPr>
        <w:autoSpaceDN w:val="0"/>
        <w:autoSpaceDE w:val="0"/>
        <w:widowControl/>
        <w:spacing w:line="224" w:lineRule="exact" w:before="1046" w:after="0"/>
        <w:ind w:left="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24     IBRD Management's Discussion and Analysis: December 31, 2024</w:t>
      </w:r>
    </w:p>
    <w:p>
      <w:pPr>
        <w:sectPr>
          <w:pgSz w:w="12240" w:h="15840"/>
          <w:pgMar w:top="316" w:right="1370" w:bottom="13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7"/>
        <w:gridCol w:w="4717"/>
      </w:tblGrid>
      <w:tr>
        <w:trPr>
          <w:trHeight w:hRule="exact" w:val="284"/>
        </w:trPr>
        <w:tc>
          <w:tcPr>
            <w:tcW w:type="dxa" w:w="3950"/>
            <w:tcBorders>
              <w:bottom w:sz="8.0" w:val="single" w:color="#DADADA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DADAD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 xml:space="preserve">Section IV: Risk Management </w:t>
            </w:r>
          </w:p>
        </w:tc>
      </w:tr>
    </w:tbl>
    <w:p>
      <w:pPr>
        <w:autoSpaceDN w:val="0"/>
        <w:autoSpaceDE w:val="0"/>
        <w:widowControl/>
        <w:spacing w:line="240" w:lineRule="exact" w:before="108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These investments generally yield positive returns over the risk-free reference rate (SOFR) but can generate mark-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to-market gains or losses if the credit spread moves.</w:t>
      </w:r>
    </w:p>
    <w:p>
      <w:pPr>
        <w:autoSpaceDN w:val="0"/>
        <w:autoSpaceDE w:val="0"/>
        <w:widowControl/>
        <w:spacing w:line="244" w:lineRule="exact" w:before="134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>Fixed Spread Loan Refinancing Risk</w:t>
      </w:r>
    </w:p>
    <w:p>
      <w:pPr>
        <w:autoSpaceDN w:val="0"/>
        <w:autoSpaceDE w:val="0"/>
        <w:widowControl/>
        <w:spacing w:line="240" w:lineRule="exact" w:before="126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While IBRD no longer offers loans on fixed spread terms, refinancing risk for funding fixed-spread loans in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portfolio relates to the potential impact of any future deterioration in IBRD's funding spread relative to what was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computed in the fixed-spread when the loan was initially disbursed. IBRD does not match the maturity of its funding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with that of its fixed spread loans as this would result in significantly higher financing costs for all loans. Instead,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IBRD targets a shorter average funding maturity and manages the refinancing risk by charging a risk premium.</w:t>
      </w:r>
    </w:p>
    <w:p>
      <w:pPr>
        <w:autoSpaceDN w:val="0"/>
        <w:autoSpaceDE w:val="0"/>
        <w:widowControl/>
        <w:spacing w:line="244" w:lineRule="exact" w:before="134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>Other Interest Rate Risks</w:t>
      </w:r>
    </w:p>
    <w:p>
      <w:pPr>
        <w:autoSpaceDN w:val="0"/>
        <w:autoSpaceDE w:val="0"/>
        <w:widowControl/>
        <w:spacing w:line="240" w:lineRule="exact" w:before="126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Interest rate risk also arises from other variables, including differences in timing between the contractual maturities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or re-pricing of IBRD’s assets, liabilities, and derivative instruments. On variable-rate assets and liabilities, IBRD 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exposed to timing mismatches between the reset dates on its variable-rate receivables and payables. IBRD monitors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these exposures and may execute overlay interest rate swaps to reduce sizable timing mismatches.</w:t>
      </w:r>
    </w:p>
    <w:p>
      <w:pPr>
        <w:autoSpaceDN w:val="0"/>
        <w:autoSpaceDE w:val="0"/>
        <w:widowControl/>
        <w:spacing w:line="244" w:lineRule="exact" w:before="130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 xml:space="preserve">Exchange Rate Risk </w:t>
      </w:r>
    </w:p>
    <w:p>
      <w:pPr>
        <w:autoSpaceDN w:val="0"/>
        <w:autoSpaceDE w:val="0"/>
        <w:widowControl/>
        <w:spacing w:line="240" w:lineRule="exact" w:before="112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holds the majority of its assets and liabilities in U.S. dollars and euro. However, the reported levels of its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assets, liabilities, income, and expenses in the financial statements are affected by exchange rate movements in all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currencies in which IBRD transacts, relative to its reporting currency, the U.S. dollar. While IBRD’s equity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could be affected by exchange rate movements, IBRD’s risk management policies work to minimize the exchange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rate risk in its capital adequacy, by immunizing the Equity-to-Loans ratio against exchange rate movements.</w:t>
      </w:r>
    </w:p>
    <w:p>
      <w:pPr>
        <w:autoSpaceDN w:val="0"/>
        <w:autoSpaceDE w:val="0"/>
        <w:widowControl/>
        <w:spacing w:line="240" w:lineRule="exact" w:before="12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To minimize exchange rate risk, IBRD matches its borrowing obligations in any one currency (after derivatives)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with assets in the same currency. In addition, IBRD undertakes periodic currency conversions to align the currency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composition of its equity with that of its outstanding loans across major currencies. Together, these policies are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designed to minimize the impact of exchange rate fluctuations on the Equity-to-Loans ratio; thereby preserving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ability to better absorb unexpected losses from arrears on loan repayments, regardless of exchange rate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movements. As a result, exchange rate movements during the period generally do not have an impact on the overall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Equity-to-Loans ratio.</w:t>
      </w:r>
    </w:p>
    <w:p>
      <w:pPr>
        <w:autoSpaceDN w:val="0"/>
        <w:autoSpaceDE w:val="0"/>
        <w:widowControl/>
        <w:spacing w:line="242" w:lineRule="exact" w:before="132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Liquidity Risk</w:t>
      </w:r>
    </w:p>
    <w:p>
      <w:pPr>
        <w:autoSpaceDN w:val="0"/>
        <w:autoSpaceDE w:val="0"/>
        <w:widowControl/>
        <w:spacing w:line="240" w:lineRule="exact" w:before="13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Liquidity risk arises in the general funding of IBRD’s activities and in managing its financial position. It includes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risk of IBRD being unable to fund its portfolio of assets at appropriate maturities and rates, and the risk of being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unable to liquidate a position in a timely manner at a reasonable price.</w:t>
      </w:r>
    </w:p>
    <w:p>
      <w:pPr>
        <w:autoSpaceDN w:val="0"/>
        <w:autoSpaceDE w:val="0"/>
        <w:widowControl/>
        <w:spacing w:line="240" w:lineRule="exact" w:before="120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Under IBRD’s liquidity management guidelines, liquid asset holdings are kept at or above a specified Prudential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Minimum to safeguard against cash flow interruptions.</w:t>
      </w:r>
    </w:p>
    <w:p>
      <w:pPr>
        <w:autoSpaceDN w:val="0"/>
        <w:autoSpaceDE w:val="0"/>
        <w:widowControl/>
        <w:spacing w:line="240" w:lineRule="exact" w:before="120" w:after="0"/>
        <w:ind w:left="4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Target Liquidity Level represents twelve-months’ coverage as calculated at the start of every fiscal year.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Prudential Minimum is defined as 80% of the Target Liquidity Level. The maximum guideline of 150% of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Target Liquidity Level continues to function as a guideline rather than a hard ceiling (Table 14).</w:t>
      </w:r>
    </w:p>
    <w:p>
      <w:pPr>
        <w:autoSpaceDN w:val="0"/>
        <w:autoSpaceDE w:val="0"/>
        <w:widowControl/>
        <w:spacing w:line="202" w:lineRule="exact" w:before="202" w:after="30"/>
        <w:ind w:left="5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14: Liquidity Levels for FY25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58"/>
        <w:gridCol w:w="2358"/>
        <w:gridCol w:w="2358"/>
        <w:gridCol w:w="2358"/>
      </w:tblGrid>
      <w:tr>
        <w:trPr>
          <w:trHeight w:hRule="exact" w:val="238"/>
        </w:trPr>
        <w:tc>
          <w:tcPr>
            <w:tcW w:type="dxa" w:w="4024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In billions of U.S. dollars</w:t>
            </w:r>
          </w:p>
        </w:tc>
        <w:tc>
          <w:tcPr>
            <w:tcW w:type="dxa" w:w="2324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29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% of Target Liquidity Level</w:t>
            </w:r>
          </w:p>
        </w:tc>
      </w:tr>
      <w:tr>
        <w:trPr>
          <w:trHeight w:hRule="exact" w:val="238"/>
        </w:trPr>
        <w:tc>
          <w:tcPr>
            <w:tcW w:type="dxa" w:w="4024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Target Liquidity Level</w:t>
            </w:r>
          </w:p>
        </w:tc>
        <w:tc>
          <w:tcPr>
            <w:tcW w:type="dxa" w:w="880"/>
            <w:vMerge w:val="restart"/>
            <w:tcBorders>
              <w:top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214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65.0 </w:t>
            </w:r>
          </w:p>
        </w:tc>
        <w:tc>
          <w:tcPr>
            <w:tcW w:type="dxa" w:w="2324"/>
            <w:vMerge w:val="restart"/>
            <w:tcBorders>
              <w:top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0" w:after="0"/>
              <w:ind w:left="0" w:right="8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150%</w:t>
            </w:r>
          </w:p>
        </w:tc>
      </w:tr>
      <w:tr>
        <w:trPr>
          <w:trHeight w:hRule="exact" w:val="210"/>
        </w:trPr>
        <w:tc>
          <w:tcPr>
            <w:tcW w:type="dxa" w:w="4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Guideline Maximum Liquidity Level</w:t>
            </w:r>
          </w:p>
        </w:tc>
        <w:tc>
          <w:tcPr>
            <w:tcW w:type="dxa" w:w="2358"/>
            <w:vMerge/>
            <w:tcBorders>
              <w:top w:sz="4.0" w:val="single" w:color="#929292"/>
            </w:tcBorders>
          </w:tcPr>
          <w:p/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97.5 </w:t>
            </w:r>
          </w:p>
        </w:tc>
        <w:tc>
          <w:tcPr>
            <w:tcW w:type="dxa" w:w="2358"/>
            <w:vMerge/>
            <w:tcBorders>
              <w:top w:sz="4.0" w:val="single" w:color="#929292"/>
            </w:tcBorders>
          </w:tcPr>
          <w:p/>
        </w:tc>
      </w:tr>
      <w:tr>
        <w:trPr>
          <w:trHeight w:hRule="exact" w:val="270"/>
        </w:trPr>
        <w:tc>
          <w:tcPr>
            <w:tcW w:type="dxa" w:w="4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Prudential Minimum Liquidity Level</w:t>
            </w:r>
          </w:p>
        </w:tc>
        <w:tc>
          <w:tcPr>
            <w:tcW w:type="dxa" w:w="880"/>
            <w:vMerge w:val="restart"/>
            <w:tcBorders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98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52.0 </w:t>
            </w:r>
          </w:p>
        </w:tc>
        <w:tc>
          <w:tcPr>
            <w:tcW w:type="dxa" w:w="23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" w:after="0"/>
              <w:ind w:left="0" w:right="9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80%</w:t>
            </w:r>
          </w:p>
        </w:tc>
      </w:tr>
      <w:tr>
        <w:trPr>
          <w:trHeight w:hRule="exact" w:val="242"/>
        </w:trPr>
        <w:tc>
          <w:tcPr>
            <w:tcW w:type="dxa" w:w="4024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Liquid Asset Portfolio as of December 31, 2024</w:t>
            </w:r>
          </w:p>
        </w:tc>
        <w:tc>
          <w:tcPr>
            <w:tcW w:type="dxa" w:w="2358"/>
            <w:vMerge/>
            <w:tcBorders>
              <w:bottom w:sz="4.0" w:val="single" w:color="#929292"/>
            </w:tcBorders>
          </w:tcPr>
          <w:p/>
        </w:tc>
        <w:tc>
          <w:tcPr>
            <w:tcW w:type="dxa" w:w="214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87.6 </w:t>
            </w:r>
          </w:p>
        </w:tc>
        <w:tc>
          <w:tcPr>
            <w:tcW w:type="dxa" w:w="2324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8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135%</w:t>
            </w:r>
          </w:p>
        </w:tc>
      </w:tr>
    </w:tbl>
    <w:p>
      <w:pPr>
        <w:autoSpaceDN w:val="0"/>
        <w:autoSpaceDE w:val="0"/>
        <w:widowControl/>
        <w:spacing w:line="240" w:lineRule="exact" w:before="164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FY25 Target Liquidity Level is $6.0 billion higher than the prior year, due to the higher projected debt service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 FY25.</w:t>
      </w:r>
    </w:p>
    <w:p>
      <w:pPr>
        <w:autoSpaceDN w:val="0"/>
        <w:autoSpaceDE w:val="0"/>
        <w:widowControl/>
        <w:spacing w:line="224" w:lineRule="exact" w:before="2250" w:after="0"/>
        <w:ind w:left="0" w:right="7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December 31, 2024     25</w:t>
      </w:r>
    </w:p>
    <w:p>
      <w:pPr>
        <w:sectPr>
          <w:pgSz w:w="12240" w:h="15840"/>
          <w:pgMar w:top="316" w:right="1370" w:bottom="13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5"/>
        <w:gridCol w:w="4715"/>
      </w:tblGrid>
      <w:tr>
        <w:trPr>
          <w:trHeight w:hRule="exact" w:val="284"/>
        </w:trPr>
        <w:tc>
          <w:tcPr>
            <w:tcW w:type="dxa" w:w="3950"/>
            <w:tcBorders>
              <w:bottom w:sz="8.0" w:val="single" w:color="#DADADA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DADAD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 xml:space="preserve">Section IV: Risk Management </w:t>
            </w:r>
          </w:p>
        </w:tc>
      </w:tr>
    </w:tbl>
    <w:p>
      <w:pPr>
        <w:autoSpaceDN w:val="0"/>
        <w:autoSpaceDE w:val="0"/>
        <w:widowControl/>
        <w:spacing w:line="244" w:lineRule="exact" w:before="118" w:after="0"/>
        <w:ind w:left="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 xml:space="preserve">Operational Risk </w:t>
      </w:r>
    </w:p>
    <w:p>
      <w:pPr>
        <w:autoSpaceDN w:val="0"/>
        <w:autoSpaceDE w:val="0"/>
        <w:widowControl/>
        <w:spacing w:line="240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Operational risk is defined as the risk of financial loss, or damage to IBRD’s reputation resulting from inadequate 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failed internal processes, people and systems, or from external events. 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recognizes the importance of operational risk management activities, which are embedded in its financial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operations. As part of its business activities, IBRD is exposed to a range of operational risks including physical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security, staff health and safety, information security and data privacy, business continuity, and third-party risks.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approach to identifying and managing operational risk includes a dedicated program for these risks and 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robust process that includes assessing and prioritizing operational risks, monitoring and reporting relevant key risk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indicators, aggregating and analyzing internal and external events, and identifying emerging risks that may affect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business units and developing risk response and mitigating actions.</w:t>
      </w:r>
    </w:p>
    <w:p>
      <w:pPr>
        <w:autoSpaceDN w:val="0"/>
        <w:autoSpaceDE w:val="0"/>
        <w:widowControl/>
        <w:spacing w:line="224" w:lineRule="exact" w:before="1166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26     IBRD Management's Discussion and Analysis: December 31, 2024</w:t>
      </w:r>
    </w:p>
    <w:p>
      <w:pPr>
        <w:sectPr>
          <w:pgSz w:w="12240" w:h="15840"/>
          <w:pgMar w:top="316" w:right="1370" w:bottom="1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19"/>
        <w:gridCol w:w="4719"/>
      </w:tblGrid>
      <w:tr>
        <w:trPr>
          <w:trHeight w:hRule="exact" w:val="284"/>
        </w:trPr>
        <w:tc>
          <w:tcPr>
            <w:tcW w:type="dxa" w:w="3950"/>
            <w:tcBorders>
              <w:bottom w:sz="8.0" w:val="single" w:color="#DADADA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DADAD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V: Governance</w:t>
            </w:r>
          </w:p>
        </w:tc>
      </w:tr>
    </w:tbl>
    <w:p>
      <w:pPr>
        <w:autoSpaceDN w:val="0"/>
        <w:autoSpaceDE w:val="0"/>
        <w:widowControl/>
        <w:spacing w:line="312" w:lineRule="exact" w:before="184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Section V: Governance</w:t>
      </w:r>
    </w:p>
    <w:p>
      <w:pPr>
        <w:autoSpaceDN w:val="0"/>
        <w:autoSpaceDE w:val="0"/>
        <w:widowControl/>
        <w:spacing w:line="298" w:lineRule="exact" w:before="17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Senior Management Changes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Lakshmi Shyam-Sunder, WBG Chief Risk Officer and Vice President, retired in January 2025. Dennis McLaughlin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was appointed to this role effective January 2, 2025.</w:t>
      </w:r>
    </w:p>
    <w:p>
      <w:pPr>
        <w:autoSpaceDN w:val="0"/>
        <w:autoSpaceDE w:val="0"/>
        <w:widowControl/>
        <w:spacing w:line="224" w:lineRule="exact" w:before="12866" w:after="0"/>
        <w:ind w:left="0" w:right="6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December 31, 2024     27</w:t>
      </w:r>
    </w:p>
    <w:p>
      <w:pPr>
        <w:sectPr>
          <w:pgSz w:w="12240" w:h="15840"/>
          <w:pgMar w:top="316" w:right="1372" w:bottom="1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INTERNATIONAL BANK FOR RECONSTRUCTION AND DEVELOPMENT </w:t>
      </w:r>
      <w:r>
        <w:rPr>
          <w:rFonts w:ascii="ArialMT" w:hAnsi="ArialMT" w:eastAsia="ArialMT"/>
          <w:b w:val="0"/>
          <w:i w:val="0"/>
          <w:color w:val="000000"/>
          <w:sz w:val="28"/>
        </w:rPr>
        <w:t>(IBRD)</w:t>
      </w:r>
    </w:p>
    <w:p>
      <w:pPr>
        <w:autoSpaceDN w:val="0"/>
        <w:autoSpaceDE w:val="0"/>
        <w:widowControl/>
        <w:spacing w:line="280" w:lineRule="exact" w:before="416" w:after="0"/>
        <w:ind w:left="0" w:right="76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CONTENTS </w:t>
      </w:r>
      <w:r>
        <w:br/>
      </w:r>
      <w:r>
        <w:rPr>
          <w:rFonts w:ascii="Arial" w:hAnsi="Arial" w:eastAsia="Arial"/>
          <w:b w:val="0"/>
          <w:i/>
          <w:color w:val="000000"/>
          <w:sz w:val="20"/>
        </w:rPr>
        <w:t>December 31, 2024</w:t>
      </w:r>
    </w:p>
    <w:p>
      <w:pPr>
        <w:autoSpaceDN w:val="0"/>
        <w:autoSpaceDE w:val="0"/>
        <w:widowControl/>
        <w:spacing w:line="314" w:lineRule="exact" w:before="35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>CONDENSED QUARTERLY FINANCIAL STATEMENTS (UNAUDITED)</w:t>
      </w:r>
    </w:p>
    <w:p>
      <w:pPr>
        <w:autoSpaceDN w:val="0"/>
        <w:tabs>
          <w:tab w:pos="9190" w:val="left"/>
        </w:tabs>
        <w:autoSpaceDE w:val="0"/>
        <w:widowControl/>
        <w:spacing w:line="404" w:lineRule="exact" w:before="430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CONDENSED BALANCE SHEETS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29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CONDENSED STATEMENTS OF INCOME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31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CONDENSED STATEMENTS OF COMPREHENSIVE INCOME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32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CONDENSED STATEMENTS OF CHANGES IN RETAINED EARNINGS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32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CONDENSED STATEMENTS OF CASH FLOWS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33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NOTES TO CONDENSED QUARTERLY FINANCIAL STATEMENTS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34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INDEPENDENT AUDITOR'S REVIEW REPORT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63</w:t>
      </w:r>
    </w:p>
    <w:p>
      <w:pPr>
        <w:autoSpaceDN w:val="0"/>
        <w:autoSpaceDE w:val="0"/>
        <w:widowControl/>
        <w:spacing w:line="224" w:lineRule="exact" w:before="794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28    IBRD Condensed Quarterly Financial Statements: December 31, 2024 (Unaudited) </w:t>
      </w:r>
    </w:p>
    <w:p>
      <w:pPr>
        <w:sectPr>
          <w:pgSz w:w="12240" w:h="15840"/>
          <w:pgMar w:top="696" w:right="1368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260" w:lineRule="exact" w:before="54" w:after="578"/>
        <w:ind w:left="0" w:right="504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CONDENSED BALANCE SHEETS </w:t>
      </w:r>
      <w:r>
        <w:br/>
      </w:r>
      <w:r>
        <w:rPr>
          <w:rFonts w:ascii="Arial" w:hAnsi="Arial" w:eastAsia="Arial"/>
          <w:b w:val="0"/>
          <w:i/>
          <w:color w:val="000000"/>
          <w:sz w:val="20"/>
        </w:rPr>
        <w:t>Expressed 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30.0" w:type="dxa"/>
      </w:tblPr>
      <w:tblGrid>
        <w:gridCol w:w="4708"/>
        <w:gridCol w:w="4708"/>
      </w:tblGrid>
      <w:tr>
        <w:trPr>
          <w:trHeight w:hRule="exact" w:val="506"/>
        </w:trPr>
        <w:tc>
          <w:tcPr>
            <w:tcW w:type="dxa" w:w="17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December 31, 2024 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(Unaudited)</w:t>
            </w:r>
          </w:p>
        </w:tc>
        <w:tc>
          <w:tcPr>
            <w:tcW w:type="dxa" w:w="17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4" w:after="0"/>
              <w:ind w:left="288" w:right="144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June 30, 2024 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(Unaudited)</w:t>
            </w:r>
          </w:p>
        </w:tc>
      </w:tr>
    </w:tbl>
    <w:p>
      <w:pPr>
        <w:autoSpaceDN w:val="0"/>
        <w:autoSpaceDE w:val="0"/>
        <w:widowControl/>
        <w:spacing w:line="202" w:lineRule="exact" w:before="24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Assets</w:t>
      </w:r>
    </w:p>
    <w:p>
      <w:pPr>
        <w:autoSpaceDN w:val="0"/>
        <w:autoSpaceDE w:val="0"/>
        <w:widowControl/>
        <w:spacing w:line="200" w:lineRule="exact" w:before="54" w:after="28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Due from banks—Notes C and J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354"/>
        <w:gridCol w:w="2354"/>
        <w:gridCol w:w="2354"/>
        <w:gridCol w:w="2354"/>
      </w:tblGrid>
      <w:tr>
        <w:trPr>
          <w:trHeight w:hRule="exact" w:val="244"/>
        </w:trPr>
        <w:tc>
          <w:tcPr>
            <w:tcW w:type="dxa" w:w="58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Unrestricted cash</w:t>
            </w:r>
          </w:p>
        </w:tc>
        <w:tc>
          <w:tcPr>
            <w:tcW w:type="dxa" w:w="7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416 $ </w:t>
            </w:r>
          </w:p>
        </w:tc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410 </w:t>
            </w:r>
          </w:p>
        </w:tc>
      </w:tr>
      <w:tr>
        <w:trPr>
          <w:trHeight w:hRule="exact" w:val="268"/>
        </w:trPr>
        <w:tc>
          <w:tcPr>
            <w:tcW w:type="dxa" w:w="58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Restricted cash</w:t>
            </w:r>
          </w:p>
        </w:tc>
        <w:tc>
          <w:tcPr>
            <w:tcW w:type="dxa" w:w="2354"/>
            <w:vMerge/>
            <w:tcBorders>
              <w:bottom w:sz="8.0" w:val="single" w:color="#000000"/>
            </w:tcBorders>
          </w:tcPr>
          <w:p/>
        </w:tc>
        <w:tc>
          <w:tcPr>
            <w:tcW w:type="dxa" w:w="17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8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9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80 </w:t>
            </w:r>
          </w:p>
        </w:tc>
      </w:tr>
      <w:tr>
        <w:trPr>
          <w:trHeight w:hRule="exact" w:val="256"/>
        </w:trPr>
        <w:tc>
          <w:tcPr>
            <w:tcW w:type="dxa" w:w="58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8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496 </w:t>
            </w:r>
          </w:p>
        </w:tc>
        <w:tc>
          <w:tcPr>
            <w:tcW w:type="dxa" w:w="9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490 </w:t>
            </w:r>
          </w:p>
        </w:tc>
      </w:tr>
    </w:tbl>
    <w:p>
      <w:pPr>
        <w:autoSpaceDN w:val="0"/>
        <w:tabs>
          <w:tab w:pos="232" w:val="left"/>
        </w:tabs>
        <w:autoSpaceDE w:val="0"/>
        <w:widowControl/>
        <w:spacing w:line="216" w:lineRule="exact" w:before="26" w:after="8"/>
        <w:ind w:left="52" w:right="3456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Investments-Trading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(including securities transferred under repurchase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or securities lending agreements of $105 million—December 31, 2024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3139"/>
        <w:gridCol w:w="3139"/>
        <w:gridCol w:w="3139"/>
      </w:tblGrid>
      <w:tr>
        <w:trPr>
          <w:trHeight w:hRule="exact" w:val="350"/>
        </w:trPr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and $255 million—June 30, 2024)—Notes C and J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5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88,977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82,728 </w:t>
            </w:r>
          </w:p>
        </w:tc>
      </w:tr>
      <w:tr>
        <w:trPr>
          <w:trHeight w:hRule="exact" w:val="520"/>
        </w:trPr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8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Securities purchased under resale agreements—Notes C and J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8" w:after="0"/>
              <w:ind w:left="0" w:right="5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88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8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79 </w:t>
            </w:r>
          </w:p>
        </w:tc>
      </w:tr>
      <w:tr>
        <w:trPr>
          <w:trHeight w:hRule="exact" w:val="418"/>
        </w:trPr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8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Derivative assets, net—Notes H</w:t>
            </w: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and J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8" w:after="0"/>
              <w:ind w:left="0" w:right="5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390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8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456 </w:t>
            </w:r>
          </w:p>
        </w:tc>
      </w:tr>
    </w:tbl>
    <w:p>
      <w:pPr>
        <w:autoSpaceDN w:val="0"/>
        <w:autoSpaceDE w:val="0"/>
        <w:widowControl/>
        <w:spacing w:line="200" w:lineRule="exact" w:before="250" w:after="28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Loans outstanding—Notes D, H and J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139"/>
        <w:gridCol w:w="3139"/>
        <w:gridCol w:w="3139"/>
      </w:tblGrid>
      <w:tr>
        <w:trPr>
          <w:trHeight w:hRule="exact" w:val="264"/>
        </w:trPr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Total loans approved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5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353,011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348,248 </w:t>
            </w:r>
          </w:p>
        </w:tc>
      </w:tr>
    </w:tbl>
    <w:p>
      <w:pPr>
        <w:autoSpaceDN w:val="0"/>
        <w:tabs>
          <w:tab w:pos="502" w:val="left"/>
        </w:tabs>
        <w:autoSpaceDE w:val="0"/>
        <w:widowControl/>
        <w:spacing w:line="216" w:lineRule="exact" w:before="20" w:after="8"/>
        <w:ind w:left="322" w:right="37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Less: Undisbursed balance (including signed loan commitments of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>$72,571 million—December 31, 2024 and $66,761 million—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3139"/>
        <w:gridCol w:w="3139"/>
        <w:gridCol w:w="3139"/>
      </w:tblGrid>
      <w:tr>
        <w:trPr>
          <w:trHeight w:hRule="exact" w:val="238"/>
        </w:trPr>
        <w:tc>
          <w:tcPr>
            <w:tcW w:type="dxa" w:w="56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June 30, 2024)</w:t>
            </w:r>
          </w:p>
        </w:tc>
        <w:tc>
          <w:tcPr>
            <w:tcW w:type="dxa" w:w="175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(80,903) </w:t>
            </w:r>
          </w:p>
        </w:tc>
        <w:tc>
          <w:tcPr>
            <w:tcW w:type="dxa" w:w="17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(85,058) </w:t>
            </w:r>
          </w:p>
        </w:tc>
      </w:tr>
      <w:tr>
        <w:trPr>
          <w:trHeight w:hRule="exact" w:val="252"/>
        </w:trPr>
        <w:tc>
          <w:tcPr>
            <w:tcW w:type="dxa" w:w="56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4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Loans outstanding</w:t>
            </w:r>
          </w:p>
        </w:tc>
        <w:tc>
          <w:tcPr>
            <w:tcW w:type="dxa" w:w="175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272,108 </w:t>
            </w:r>
          </w:p>
        </w:tc>
        <w:tc>
          <w:tcPr>
            <w:tcW w:type="dxa" w:w="17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263,190 </w:t>
            </w:r>
          </w:p>
        </w:tc>
      </w:tr>
    </w:tbl>
    <w:p>
      <w:pPr>
        <w:autoSpaceDN w:val="0"/>
        <w:autoSpaceDE w:val="0"/>
        <w:widowControl/>
        <w:spacing w:line="200" w:lineRule="exact" w:before="28" w:after="26"/>
        <w:ind w:left="3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Less: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354"/>
        <w:gridCol w:w="2354"/>
        <w:gridCol w:w="2354"/>
        <w:gridCol w:w="2354"/>
      </w:tblGrid>
      <w:tr>
        <w:trPr>
          <w:trHeight w:hRule="exact" w:val="256"/>
        </w:trPr>
        <w:tc>
          <w:tcPr>
            <w:tcW w:type="dxa" w:w="5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Accumulated provision for loan losses</w:t>
            </w:r>
          </w:p>
        </w:tc>
        <w:tc>
          <w:tcPr>
            <w:tcW w:type="dxa" w:w="59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(2,515)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(2,360) </w:t>
            </w:r>
          </w:p>
        </w:tc>
      </w:tr>
      <w:tr>
        <w:trPr>
          <w:trHeight w:hRule="exact" w:val="258"/>
        </w:trPr>
        <w:tc>
          <w:tcPr>
            <w:tcW w:type="dxa" w:w="59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Deferred loan income</w:t>
            </w:r>
          </w:p>
        </w:tc>
        <w:tc>
          <w:tcPr>
            <w:tcW w:type="dxa" w:w="2354"/>
            <w:vMerge/>
            <w:tcBorders>
              <w:bottom w:sz="8.0" w:val="single" w:color="#000000"/>
            </w:tcBorders>
          </w:tcPr>
          <w:p/>
        </w:tc>
        <w:tc>
          <w:tcPr>
            <w:tcW w:type="dxa" w:w="17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5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(632) </w:t>
            </w:r>
          </w:p>
        </w:tc>
        <w:tc>
          <w:tcPr>
            <w:tcW w:type="dxa" w:w="11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(594) </w:t>
            </w:r>
          </w:p>
        </w:tc>
      </w:tr>
      <w:tr>
        <w:trPr>
          <w:trHeight w:hRule="exact" w:val="362"/>
        </w:trPr>
        <w:tc>
          <w:tcPr>
            <w:tcW w:type="dxa" w:w="59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5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Net loans outstanding</w:t>
            </w:r>
          </w:p>
        </w:tc>
        <w:tc>
          <w:tcPr>
            <w:tcW w:type="dxa" w:w="59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3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268,961 </w:t>
            </w:r>
          </w:p>
        </w:tc>
        <w:tc>
          <w:tcPr>
            <w:tcW w:type="dxa" w:w="11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260,236 </w:t>
            </w:r>
          </w:p>
        </w:tc>
      </w:tr>
      <w:tr>
        <w:trPr>
          <w:trHeight w:hRule="exact" w:val="658"/>
        </w:trPr>
        <w:tc>
          <w:tcPr>
            <w:tcW w:type="dxa" w:w="59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Other assets—Notes C, D, H and J</w:t>
            </w:r>
          </w:p>
        </w:tc>
        <w:tc>
          <w:tcPr>
            <w:tcW w:type="dxa" w:w="235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7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2" w:after="0"/>
              <w:ind w:left="0" w:right="6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13,411 </w:t>
            </w:r>
          </w:p>
        </w:tc>
        <w:tc>
          <w:tcPr>
            <w:tcW w:type="dxa" w:w="11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12,623 </w:t>
            </w:r>
          </w:p>
        </w:tc>
      </w:tr>
      <w:tr>
        <w:trPr>
          <w:trHeight w:hRule="exact" w:val="234"/>
        </w:trPr>
        <w:tc>
          <w:tcPr>
            <w:tcW w:type="dxa" w:w="59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Total assets</w:t>
            </w:r>
          </w:p>
        </w:tc>
        <w:tc>
          <w:tcPr>
            <w:tcW w:type="dxa" w:w="5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7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372,323 $ </w:t>
            </w:r>
          </w:p>
        </w:tc>
        <w:tc>
          <w:tcPr>
            <w:tcW w:type="dxa" w:w="11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356,612 </w:t>
            </w:r>
          </w:p>
        </w:tc>
      </w:tr>
      <w:tr>
        <w:trPr>
          <w:trHeight w:hRule="exact" w:val="52"/>
        </w:trPr>
        <w:tc>
          <w:tcPr>
            <w:tcW w:type="dxa" w:w="59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4" w:lineRule="exact" w:before="5052" w:after="0"/>
        <w:ind w:left="154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Condensed Quarterly Financial Statements: December 31, 2024 (Unaudited)     29</w:t>
      </w:r>
    </w:p>
    <w:p>
      <w:pPr>
        <w:sectPr>
          <w:pgSz w:w="12240" w:h="15840"/>
          <w:pgMar w:top="696" w:right="138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930.0" w:type="dxa"/>
      </w:tblPr>
      <w:tblGrid>
        <w:gridCol w:w="4708"/>
        <w:gridCol w:w="4708"/>
      </w:tblGrid>
      <w:tr>
        <w:trPr>
          <w:trHeight w:hRule="exact" w:val="446"/>
        </w:trPr>
        <w:tc>
          <w:tcPr>
            <w:tcW w:type="dxa" w:w="17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December 31, 2024 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(Unaudited)</w:t>
            </w:r>
          </w:p>
        </w:tc>
        <w:tc>
          <w:tcPr>
            <w:tcW w:type="dxa" w:w="17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288" w:right="144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June 30, 2024 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(Unaudited)</w:t>
            </w:r>
          </w:p>
        </w:tc>
      </w:tr>
    </w:tbl>
    <w:p>
      <w:pPr>
        <w:autoSpaceDN w:val="0"/>
        <w:autoSpaceDE w:val="0"/>
        <w:widowControl/>
        <w:spacing w:line="202" w:lineRule="exact" w:before="24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Liabilities</w:t>
      </w:r>
    </w:p>
    <w:p>
      <w:pPr>
        <w:autoSpaceDN w:val="0"/>
        <w:autoSpaceDE w:val="0"/>
        <w:widowControl/>
        <w:spacing w:line="200" w:lineRule="exact" w:before="54" w:after="28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Borrowings—Notes E and J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354"/>
        <w:gridCol w:w="2354"/>
        <w:gridCol w:w="2354"/>
        <w:gridCol w:w="2354"/>
      </w:tblGrid>
      <w:tr>
        <w:trPr>
          <w:trHeight w:hRule="exact" w:val="236"/>
        </w:trPr>
        <w:tc>
          <w:tcPr>
            <w:tcW w:type="dxa" w:w="58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Borrowings, at fair value</w:t>
            </w:r>
          </w:p>
        </w:tc>
        <w:tc>
          <w:tcPr>
            <w:tcW w:type="dxa" w:w="59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279,848 $ 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261,790 </w:t>
            </w:r>
          </w:p>
        </w:tc>
      </w:tr>
      <w:tr>
        <w:trPr>
          <w:trHeight w:hRule="exact" w:val="276"/>
        </w:trPr>
        <w:tc>
          <w:tcPr>
            <w:tcW w:type="dxa" w:w="58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Borrowings, at amortized cost</w:t>
            </w:r>
          </w:p>
        </w:tc>
        <w:tc>
          <w:tcPr>
            <w:tcW w:type="dxa" w:w="2354"/>
            <w:vMerge/>
            <w:tcBorders>
              <w:bottom w:sz="8.0" w:val="single" w:color="#000000"/>
            </w:tcBorders>
          </w:tcPr>
          <w:p/>
        </w:tc>
        <w:tc>
          <w:tcPr>
            <w:tcW w:type="dxa" w:w="17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6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187 </w:t>
            </w:r>
          </w:p>
        </w:tc>
        <w:tc>
          <w:tcPr>
            <w:tcW w:type="dxa" w:w="11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</w:tr>
      <w:tr>
        <w:trPr>
          <w:trHeight w:hRule="exact" w:val="254"/>
        </w:trPr>
        <w:tc>
          <w:tcPr>
            <w:tcW w:type="dxa" w:w="58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3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280,035 </w:t>
            </w:r>
          </w:p>
        </w:tc>
        <w:tc>
          <w:tcPr>
            <w:tcW w:type="dxa" w:w="11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261,790 </w:t>
            </w:r>
          </w:p>
        </w:tc>
      </w:tr>
    </w:tbl>
    <w:p>
      <w:pPr>
        <w:autoSpaceDN w:val="0"/>
        <w:tabs>
          <w:tab w:pos="232" w:val="left"/>
        </w:tabs>
        <w:autoSpaceDE w:val="0"/>
        <w:widowControl/>
        <w:spacing w:line="216" w:lineRule="exact" w:before="284" w:after="8"/>
        <w:ind w:left="52" w:right="3456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 xml:space="preserve">Securities sold under repurchase agreements, securities lent under </w:t>
      </w:r>
      <w:r>
        <w:tab/>
      </w:r>
      <w:r>
        <w:rPr>
          <w:rFonts w:ascii="Arial" w:hAnsi="Arial" w:eastAsia="Arial"/>
          <w:b/>
          <w:i/>
          <w:color w:val="000000"/>
          <w:sz w:val="18"/>
        </w:rPr>
        <w:t xml:space="preserve">securities lending agreements, and payable for cash collateral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3139"/>
        <w:gridCol w:w="3139"/>
        <w:gridCol w:w="3139"/>
      </w:tblGrid>
      <w:tr>
        <w:trPr>
          <w:trHeight w:hRule="exact" w:val="346"/>
        </w:trPr>
        <w:tc>
          <w:tcPr>
            <w:tcW w:type="dxa" w:w="5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21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received—Notes C and J</w:t>
            </w:r>
          </w:p>
        </w:tc>
        <w:tc>
          <w:tcPr>
            <w:tcW w:type="dxa" w:w="17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105 </w:t>
            </w:r>
          </w:p>
        </w:tc>
        <w:tc>
          <w:tcPr>
            <w:tcW w:type="dxa" w:w="1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256 </w:t>
            </w:r>
          </w:p>
        </w:tc>
      </w:tr>
      <w:tr>
        <w:trPr>
          <w:trHeight w:hRule="exact" w:val="520"/>
        </w:trPr>
        <w:tc>
          <w:tcPr>
            <w:tcW w:type="dxa" w:w="5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Derivative liabilities, net—Notes H and J</w:t>
            </w:r>
          </w:p>
        </w:tc>
        <w:tc>
          <w:tcPr>
            <w:tcW w:type="dxa" w:w="17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19,388 </w:t>
            </w:r>
          </w:p>
        </w:tc>
        <w:tc>
          <w:tcPr>
            <w:tcW w:type="dxa" w:w="1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22,728 </w:t>
            </w:r>
          </w:p>
        </w:tc>
      </w:tr>
      <w:tr>
        <w:trPr>
          <w:trHeight w:hRule="exact" w:val="646"/>
        </w:trPr>
        <w:tc>
          <w:tcPr>
            <w:tcW w:type="dxa" w:w="59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Other liabilities—Notes C, D, H and J</w:t>
            </w:r>
          </w:p>
        </w:tc>
        <w:tc>
          <w:tcPr>
            <w:tcW w:type="dxa" w:w="17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8,077 </w:t>
            </w:r>
          </w:p>
        </w:tc>
        <w:tc>
          <w:tcPr>
            <w:tcW w:type="dxa" w:w="17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8,354 </w:t>
            </w:r>
          </w:p>
        </w:tc>
      </w:tr>
      <w:tr>
        <w:trPr>
          <w:trHeight w:hRule="exact" w:val="314"/>
        </w:trPr>
        <w:tc>
          <w:tcPr>
            <w:tcW w:type="dxa" w:w="59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Total liabilities</w:t>
            </w:r>
          </w:p>
        </w:tc>
        <w:tc>
          <w:tcPr>
            <w:tcW w:type="dxa" w:w="171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307,605 </w:t>
            </w:r>
          </w:p>
        </w:tc>
        <w:tc>
          <w:tcPr>
            <w:tcW w:type="dxa" w:w="172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293,128 </w:t>
            </w:r>
          </w:p>
        </w:tc>
      </w:tr>
    </w:tbl>
    <w:p>
      <w:pPr>
        <w:autoSpaceDN w:val="0"/>
        <w:autoSpaceDE w:val="0"/>
        <w:widowControl/>
        <w:spacing w:line="202" w:lineRule="exact" w:before="280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Equity</w:t>
      </w:r>
    </w:p>
    <w:p>
      <w:pPr>
        <w:autoSpaceDN w:val="0"/>
        <w:autoSpaceDE w:val="0"/>
        <w:widowControl/>
        <w:spacing w:line="200" w:lineRule="exact" w:before="144" w:after="0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Capital stock—Note B</w:t>
      </w:r>
    </w:p>
    <w:p>
      <w:pPr>
        <w:autoSpaceDN w:val="0"/>
        <w:tabs>
          <w:tab w:pos="592" w:val="left"/>
        </w:tabs>
        <w:autoSpaceDE w:val="0"/>
        <w:widowControl/>
        <w:spacing w:line="216" w:lineRule="exact" w:before="48" w:after="0"/>
        <w:ind w:left="412" w:right="38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Authorized capital (2,783,873 shares—December 31, 2024 and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>June 30, 2024)</w:t>
      </w:r>
    </w:p>
    <w:p>
      <w:pPr>
        <w:autoSpaceDN w:val="0"/>
        <w:autoSpaceDE w:val="0"/>
        <w:widowControl/>
        <w:spacing w:line="200" w:lineRule="exact" w:before="64" w:after="8"/>
        <w:ind w:left="41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Subscribed capital (2,699,755 shares—December 31, 2024, and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139"/>
        <w:gridCol w:w="3139"/>
        <w:gridCol w:w="3139"/>
      </w:tblGrid>
      <w:tr>
        <w:trPr>
          <w:trHeight w:hRule="exact" w:val="222"/>
        </w:trPr>
        <w:tc>
          <w:tcPr>
            <w:tcW w:type="dxa" w:w="5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2,678,098 shares—June 30, 2024)</w:t>
            </w:r>
          </w:p>
        </w:tc>
        <w:tc>
          <w:tcPr>
            <w:tcW w:type="dxa" w:w="1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325,685 </w:t>
            </w:r>
          </w:p>
        </w:tc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323,072 </w:t>
            </w:r>
          </w:p>
        </w:tc>
      </w:tr>
      <w:tr>
        <w:trPr>
          <w:trHeight w:hRule="exact" w:val="270"/>
        </w:trPr>
        <w:tc>
          <w:tcPr>
            <w:tcW w:type="dxa" w:w="5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Less: Uncalled portion of subscriptions</w:t>
            </w:r>
          </w:p>
        </w:tc>
        <w:tc>
          <w:tcPr>
            <w:tcW w:type="dxa" w:w="175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(302,923) </w:t>
            </w:r>
          </w:p>
        </w:tc>
        <w:tc>
          <w:tcPr>
            <w:tcW w:type="dxa" w:w="17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(300,620) </w:t>
            </w:r>
          </w:p>
        </w:tc>
      </w:tr>
      <w:tr>
        <w:trPr>
          <w:trHeight w:hRule="exact" w:val="286"/>
        </w:trPr>
        <w:tc>
          <w:tcPr>
            <w:tcW w:type="dxa" w:w="5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4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Paid-in capital</w:t>
            </w:r>
          </w:p>
        </w:tc>
        <w:tc>
          <w:tcPr>
            <w:tcW w:type="dxa" w:w="175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22,762 </w:t>
            </w:r>
          </w:p>
        </w:tc>
        <w:tc>
          <w:tcPr>
            <w:tcW w:type="dxa" w:w="17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22,452 </w:t>
            </w:r>
          </w:p>
        </w:tc>
      </w:tr>
    </w:tbl>
    <w:p>
      <w:pPr>
        <w:autoSpaceDN w:val="0"/>
        <w:autoSpaceDE w:val="0"/>
        <w:widowControl/>
        <w:spacing w:line="202" w:lineRule="exact" w:before="258" w:after="6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 xml:space="preserve">Nonnegotiable, non-interest-bearing demand obligations 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354"/>
        <w:gridCol w:w="2354"/>
        <w:gridCol w:w="2354"/>
        <w:gridCol w:w="2354"/>
      </w:tblGrid>
      <w:tr>
        <w:trPr>
          <w:trHeight w:hRule="exact" w:val="278"/>
        </w:trPr>
        <w:tc>
          <w:tcPr>
            <w:tcW w:type="dxa" w:w="5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21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account of subscribed capital</w:t>
            </w:r>
          </w:p>
        </w:tc>
        <w:tc>
          <w:tcPr>
            <w:tcW w:type="dxa" w:w="59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5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(307)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(310) </w:t>
            </w:r>
          </w:p>
        </w:tc>
      </w:tr>
      <w:tr>
        <w:trPr>
          <w:trHeight w:hRule="exact" w:val="380"/>
        </w:trPr>
        <w:tc>
          <w:tcPr>
            <w:tcW w:type="dxa" w:w="5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Receivable amounts to maintain value of currency holdings</w:t>
            </w:r>
          </w:p>
        </w:tc>
        <w:tc>
          <w:tcPr>
            <w:tcW w:type="dxa" w:w="2354"/>
            <w:vMerge/>
            <w:tcBorders>
              <w:bottom w:sz="8.0" w:val="single" w:color="#000000"/>
            </w:tcBorders>
          </w:tcPr>
          <w:p/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5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(289)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(337) </w:t>
            </w:r>
          </w:p>
        </w:tc>
      </w:tr>
      <w:tr>
        <w:trPr>
          <w:trHeight w:hRule="exact" w:val="380"/>
        </w:trPr>
        <w:tc>
          <w:tcPr>
            <w:tcW w:type="dxa" w:w="5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Deferred amounts to maintain value of currency holdings</w:t>
            </w:r>
          </w:p>
        </w:tc>
        <w:tc>
          <w:tcPr>
            <w:tcW w:type="dxa" w:w="2354"/>
            <w:vMerge/>
            <w:tcBorders>
              <w:bottom w:sz="8.0" w:val="single" w:color="#000000"/>
            </w:tcBorders>
          </w:tcPr>
          <w:p/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0" w:after="0"/>
              <w:ind w:left="0" w:right="5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(632)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(558) </w:t>
            </w:r>
          </w:p>
        </w:tc>
      </w:tr>
      <w:tr>
        <w:trPr>
          <w:trHeight w:hRule="exact" w:val="380"/>
        </w:trPr>
        <w:tc>
          <w:tcPr>
            <w:tcW w:type="dxa" w:w="5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Retained earnings—Note G</w:t>
            </w:r>
          </w:p>
        </w:tc>
        <w:tc>
          <w:tcPr>
            <w:tcW w:type="dxa" w:w="2354"/>
            <w:vMerge/>
            <w:tcBorders>
              <w:bottom w:sz="8.0" w:val="single" w:color="#000000"/>
            </w:tcBorders>
          </w:tcPr>
          <w:p/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0" w:right="6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38,242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38,283 </w:t>
            </w:r>
          </w:p>
        </w:tc>
      </w:tr>
      <w:tr>
        <w:trPr>
          <w:trHeight w:hRule="exact" w:val="576"/>
        </w:trPr>
        <w:tc>
          <w:tcPr>
            <w:tcW w:type="dxa" w:w="59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9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Accumulated other comprehensive income—Note I</w:t>
            </w:r>
          </w:p>
        </w:tc>
        <w:tc>
          <w:tcPr>
            <w:tcW w:type="dxa" w:w="2354"/>
            <w:vMerge/>
            <w:tcBorders>
              <w:bottom w:sz="8.0" w:val="single" w:color="#000000"/>
            </w:tcBorders>
          </w:tcPr>
          <w:p/>
        </w:tc>
        <w:tc>
          <w:tcPr>
            <w:tcW w:type="dxa" w:w="17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9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4,942 </w:t>
            </w:r>
          </w:p>
        </w:tc>
        <w:tc>
          <w:tcPr>
            <w:tcW w:type="dxa" w:w="11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9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3,954 </w:t>
            </w:r>
          </w:p>
        </w:tc>
      </w:tr>
      <w:tr>
        <w:trPr>
          <w:trHeight w:hRule="exact" w:val="300"/>
        </w:trPr>
        <w:tc>
          <w:tcPr>
            <w:tcW w:type="dxa" w:w="59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Total equity</w:t>
            </w:r>
          </w:p>
        </w:tc>
        <w:tc>
          <w:tcPr>
            <w:tcW w:type="dxa" w:w="5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6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64,718 </w:t>
            </w:r>
          </w:p>
        </w:tc>
        <w:tc>
          <w:tcPr>
            <w:tcW w:type="dxa" w:w="11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63,484 </w:t>
            </w:r>
          </w:p>
        </w:tc>
      </w:tr>
      <w:tr>
        <w:trPr>
          <w:trHeight w:hRule="exact" w:val="294"/>
        </w:trPr>
        <w:tc>
          <w:tcPr>
            <w:tcW w:type="dxa" w:w="59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Total liabilities and equity</w:t>
            </w:r>
          </w:p>
        </w:tc>
        <w:tc>
          <w:tcPr>
            <w:tcW w:type="dxa" w:w="5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7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372,323 $ </w:t>
            </w:r>
          </w:p>
        </w:tc>
        <w:tc>
          <w:tcPr>
            <w:tcW w:type="dxa" w:w="11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356,612 </w:t>
            </w:r>
          </w:p>
        </w:tc>
      </w:tr>
      <w:tr>
        <w:trPr>
          <w:trHeight w:hRule="exact" w:val="52"/>
        </w:trPr>
        <w:tc>
          <w:tcPr>
            <w:tcW w:type="dxa" w:w="59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494" w:after="0"/>
        <w:ind w:left="0" w:right="0" w:firstLine="0"/>
        <w:jc w:val="center"/>
      </w:pPr>
      <w:r>
        <w:rPr>
          <w:rFonts w:ascii="Arial" w:hAnsi="Arial" w:eastAsia="Arial"/>
          <w:b/>
          <w:i/>
          <w:color w:val="000000"/>
          <w:sz w:val="18"/>
        </w:rPr>
        <w:t>The Notes to the Condensed Quarterly Financial Statements are an integral part of these Statements.</w:t>
      </w:r>
    </w:p>
    <w:p>
      <w:pPr>
        <w:autoSpaceDN w:val="0"/>
        <w:autoSpaceDE w:val="0"/>
        <w:widowControl/>
        <w:spacing w:line="224" w:lineRule="exact" w:before="278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30     IBRD Condensed Quarterly Financial Statements: December 31, 2024 (Unaudited)</w:t>
      </w:r>
    </w:p>
    <w:p>
      <w:pPr>
        <w:sectPr>
          <w:pgSz w:w="12240" w:h="15840"/>
          <w:pgMar w:top="844" w:right="138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>CONDENSED STATEMENTS OF INCOME</w:t>
      </w:r>
    </w:p>
    <w:p>
      <w:pPr>
        <w:autoSpaceDN w:val="0"/>
        <w:autoSpaceDE w:val="0"/>
        <w:widowControl/>
        <w:spacing w:line="224" w:lineRule="exact" w:before="36" w:after="37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>Expressed 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36.0" w:type="dxa"/>
      </w:tblPr>
      <w:tblGrid>
        <w:gridCol w:w="2354"/>
        <w:gridCol w:w="2354"/>
        <w:gridCol w:w="2354"/>
        <w:gridCol w:w="2354"/>
      </w:tblGrid>
      <w:tr>
        <w:trPr>
          <w:trHeight w:hRule="exact" w:val="722"/>
        </w:trPr>
        <w:tc>
          <w:tcPr>
            <w:tcW w:type="dxa" w:w="18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Three Months Ended 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December 31,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(Unaudited)</w:t>
            </w:r>
          </w:p>
        </w:tc>
        <w:tc>
          <w:tcPr>
            <w:tcW w:type="dxa" w:w="181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6" w:after="0"/>
              <w:ind w:left="144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Six Months Ended 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December 31,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(Unaudited)</w:t>
            </w:r>
          </w:p>
        </w:tc>
      </w:tr>
      <w:tr>
        <w:trPr>
          <w:trHeight w:hRule="exact" w:val="256"/>
        </w:trPr>
        <w:tc>
          <w:tcPr>
            <w:tcW w:type="dxa" w:w="8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2024</w:t>
            </w:r>
          </w:p>
        </w:tc>
        <w:tc>
          <w:tcPr>
            <w:tcW w:type="dxa" w:w="9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23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2023</w:t>
            </w:r>
          </w:p>
        </w:tc>
        <w:tc>
          <w:tcPr>
            <w:tcW w:type="dxa" w:w="9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20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2024</w:t>
            </w:r>
          </w:p>
        </w:tc>
        <w:tc>
          <w:tcPr>
            <w:tcW w:type="dxa" w:w="91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20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2023</w:t>
            </w:r>
          </w:p>
        </w:tc>
      </w:tr>
    </w:tbl>
    <w:p>
      <w:pPr>
        <w:autoSpaceDN w:val="0"/>
        <w:autoSpaceDE w:val="0"/>
        <w:widowControl/>
        <w:spacing w:line="202" w:lineRule="exact" w:before="24" w:after="26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Interest revenue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236"/>
        </w:trPr>
        <w:tc>
          <w:tcPr>
            <w:tcW w:type="dxa" w:w="57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Loans, net—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 D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$ 3,854 </w:t>
            </w:r>
          </w:p>
        </w:tc>
        <w:tc>
          <w:tcPr>
            <w:tcW w:type="dxa" w:w="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$ 3,920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$ 8,079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$ 7,615 </w:t>
            </w:r>
          </w:p>
        </w:tc>
      </w:tr>
      <w:tr>
        <w:trPr>
          <w:trHeight w:hRule="exact" w:val="260"/>
        </w:trPr>
        <w:tc>
          <w:tcPr>
            <w:tcW w:type="dxa" w:w="57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6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Other asset / liability management derivatives, net—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Notes F and J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6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(345) </w:t>
            </w:r>
          </w:p>
        </w:tc>
        <w:tc>
          <w:tcPr>
            <w:tcW w:type="dxa" w:w="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6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(446)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6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(761)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(868) </w:t>
            </w:r>
          </w:p>
        </w:tc>
      </w:tr>
      <w:tr>
        <w:trPr>
          <w:trHeight w:hRule="exact" w:val="260"/>
        </w:trPr>
        <w:tc>
          <w:tcPr>
            <w:tcW w:type="dxa" w:w="57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Investments-Trading, net—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Notes C and F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1,151 </w:t>
            </w:r>
          </w:p>
        </w:tc>
        <w:tc>
          <w:tcPr>
            <w:tcW w:type="dxa" w:w="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1,069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2,296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2,137 </w:t>
            </w:r>
          </w:p>
        </w:tc>
      </w:tr>
      <w:tr>
        <w:trPr>
          <w:trHeight w:hRule="exact" w:val="360"/>
        </w:trPr>
        <w:tc>
          <w:tcPr>
            <w:tcW w:type="dxa" w:w="57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Other, net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 </w:t>
            </w:r>
          </w:p>
        </w:tc>
      </w:tr>
      <w:tr>
        <w:trPr>
          <w:trHeight w:hRule="exact" w:val="356"/>
        </w:trPr>
        <w:tc>
          <w:tcPr>
            <w:tcW w:type="dxa" w:w="571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6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Borrowing expenses, net—Note E</w:t>
            </w:r>
          </w:p>
        </w:tc>
        <w:tc>
          <w:tcPr>
            <w:tcW w:type="dxa" w:w="9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6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(3,788) </w:t>
            </w:r>
          </w:p>
        </w:tc>
        <w:tc>
          <w:tcPr>
            <w:tcW w:type="dxa" w:w="2704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6" w:after="0"/>
              <w:ind w:left="2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(3,772)  (7,855)  (7,334) </w:t>
            </w:r>
          </w:p>
        </w:tc>
      </w:tr>
      <w:tr>
        <w:trPr>
          <w:trHeight w:hRule="exact" w:val="331"/>
        </w:trPr>
        <w:tc>
          <w:tcPr>
            <w:tcW w:type="dxa" w:w="57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Interest revenue, net of borrowing expenses</w:t>
            </w:r>
          </w:p>
        </w:tc>
        <w:tc>
          <w:tcPr>
            <w:tcW w:type="dxa" w:w="9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873 </w:t>
            </w:r>
          </w:p>
        </w:tc>
        <w:tc>
          <w:tcPr>
            <w:tcW w:type="dxa" w:w="9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772 </w:t>
            </w:r>
          </w:p>
        </w:tc>
        <w:tc>
          <w:tcPr>
            <w:tcW w:type="dxa" w:w="9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1,760 </w:t>
            </w:r>
          </w:p>
        </w:tc>
        <w:tc>
          <w:tcPr>
            <w:tcW w:type="dxa" w:w="8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1,551 </w:t>
            </w:r>
          </w:p>
        </w:tc>
      </w:tr>
    </w:tbl>
    <w:p>
      <w:pPr>
        <w:autoSpaceDN w:val="0"/>
        <w:autoSpaceDE w:val="0"/>
        <w:widowControl/>
        <w:spacing w:line="202" w:lineRule="exact" w:before="332" w:after="8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 xml:space="preserve">Provision for losses on loans and other exposures, (charge)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268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1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release —Note D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(387)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237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(193)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30 </w:t>
            </w:r>
          </w:p>
        </w:tc>
      </w:tr>
    </w:tbl>
    <w:p>
      <w:pPr>
        <w:autoSpaceDN w:val="0"/>
        <w:autoSpaceDE w:val="0"/>
        <w:widowControl/>
        <w:spacing w:line="202" w:lineRule="exact" w:before="308" w:after="28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Non-interest revenue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244"/>
        </w:trPr>
        <w:tc>
          <w:tcPr>
            <w:tcW w:type="dxa" w:w="5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Revenue from externally funded activities—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 H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233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237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417 </w:t>
            </w:r>
          </w:p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401 </w:t>
            </w:r>
          </w:p>
        </w:tc>
      </w:tr>
      <w:tr>
        <w:trPr>
          <w:trHeight w:hRule="exact" w:val="260"/>
        </w:trPr>
        <w:tc>
          <w:tcPr>
            <w:tcW w:type="dxa" w:w="5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Commitment charges—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 D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40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37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72 </w:t>
            </w:r>
          </w:p>
        </w:tc>
      </w:tr>
      <w:tr>
        <w:trPr>
          <w:trHeight w:hRule="exact" w:val="262"/>
        </w:trPr>
        <w:tc>
          <w:tcPr>
            <w:tcW w:type="dxa" w:w="55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Other, net</w:t>
            </w:r>
          </w:p>
        </w:tc>
        <w:tc>
          <w:tcPr>
            <w:tcW w:type="dxa" w:w="8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9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10 </w:t>
            </w:r>
          </w:p>
        </w:tc>
        <w:tc>
          <w:tcPr>
            <w:tcW w:type="dxa" w:w="9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9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22 </w:t>
            </w:r>
          </w:p>
        </w:tc>
      </w:tr>
      <w:tr>
        <w:trPr>
          <w:trHeight w:hRule="exact" w:val="256"/>
        </w:trPr>
        <w:tc>
          <w:tcPr>
            <w:tcW w:type="dxa" w:w="55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8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285 </w:t>
            </w:r>
          </w:p>
        </w:tc>
        <w:tc>
          <w:tcPr>
            <w:tcW w:type="dxa" w:w="9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284 </w:t>
            </w:r>
          </w:p>
        </w:tc>
        <w:tc>
          <w:tcPr>
            <w:tcW w:type="dxa" w:w="9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517 </w:t>
            </w:r>
          </w:p>
        </w:tc>
        <w:tc>
          <w:tcPr>
            <w:tcW w:type="dxa" w:w="91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495 </w:t>
            </w:r>
          </w:p>
        </w:tc>
      </w:tr>
    </w:tbl>
    <w:p>
      <w:pPr>
        <w:autoSpaceDN w:val="0"/>
        <w:autoSpaceDE w:val="0"/>
        <w:widowControl/>
        <w:spacing w:line="202" w:lineRule="exact" w:before="338" w:after="26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Non-interest expenses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236"/>
        </w:trPr>
        <w:tc>
          <w:tcPr>
            <w:tcW w:type="dxa" w:w="5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Administrative—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Notes H and K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(575) </w:t>
            </w:r>
          </w:p>
        </w:tc>
        <w:tc>
          <w:tcPr>
            <w:tcW w:type="dxa" w:w="27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(552)  (1,151)  (1,081) </w:t>
            </w:r>
          </w:p>
        </w:tc>
      </w:tr>
      <w:tr>
        <w:trPr>
          <w:trHeight w:hRule="exact" w:val="260"/>
        </w:trPr>
        <w:tc>
          <w:tcPr>
            <w:tcW w:type="dxa" w:w="5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6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Contributions to special programs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6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(16) </w:t>
            </w:r>
          </w:p>
        </w:tc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6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(14)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(17)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(15) </w:t>
            </w:r>
          </w:p>
        </w:tc>
      </w:tr>
      <w:tr>
        <w:trPr>
          <w:trHeight w:hRule="exact" w:val="272"/>
        </w:trPr>
        <w:tc>
          <w:tcPr>
            <w:tcW w:type="dxa" w:w="57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Other, net—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 K</w:t>
            </w:r>
          </w:p>
        </w:tc>
        <w:tc>
          <w:tcPr>
            <w:tcW w:type="dxa" w:w="9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33 </w:t>
            </w:r>
          </w:p>
        </w:tc>
        <w:tc>
          <w:tcPr>
            <w:tcW w:type="dxa" w:w="10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41 </w:t>
            </w:r>
          </w:p>
        </w:tc>
        <w:tc>
          <w:tcPr>
            <w:tcW w:type="dxa" w:w="9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2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71 </w:t>
            </w:r>
          </w:p>
        </w:tc>
        <w:tc>
          <w:tcPr>
            <w:tcW w:type="dxa" w:w="7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83 </w:t>
            </w:r>
          </w:p>
        </w:tc>
      </w:tr>
      <w:tr>
        <w:trPr>
          <w:trHeight w:hRule="exact" w:val="256"/>
        </w:trPr>
        <w:tc>
          <w:tcPr>
            <w:tcW w:type="dxa" w:w="57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5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9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(558) </w:t>
            </w:r>
          </w:p>
        </w:tc>
        <w:tc>
          <w:tcPr>
            <w:tcW w:type="dxa" w:w="2704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4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(525)  (1,097)  (1,013) </w:t>
            </w:r>
          </w:p>
        </w:tc>
      </w:tr>
      <w:tr>
        <w:trPr>
          <w:trHeight w:hRule="exact" w:val="600"/>
        </w:trPr>
        <w:tc>
          <w:tcPr>
            <w:tcW w:type="dxa" w:w="57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8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Board of Governors-approved and other transfers—Note G</w:t>
            </w:r>
          </w:p>
        </w:tc>
        <w:tc>
          <w:tcPr>
            <w:tcW w:type="dxa" w:w="9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8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0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8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(291) </w:t>
            </w:r>
          </w:p>
        </w:tc>
        <w:tc>
          <w:tcPr>
            <w:tcW w:type="dxa" w:w="9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(815) </w:t>
            </w:r>
          </w:p>
        </w:tc>
        <w:tc>
          <w:tcPr>
            <w:tcW w:type="dxa" w:w="7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(371) </w:t>
            </w:r>
          </w:p>
        </w:tc>
      </w:tr>
    </w:tbl>
    <w:p>
      <w:pPr>
        <w:autoSpaceDN w:val="0"/>
        <w:autoSpaceDE w:val="0"/>
        <w:widowControl/>
        <w:spacing w:line="200" w:lineRule="exact" w:before="318" w:after="8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 xml:space="preserve">Non-functional currency translation adjustment gains (losses),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268"/>
        </w:trPr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net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3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10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(16)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(37)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(8) </w:t>
            </w:r>
          </w:p>
        </w:tc>
      </w:tr>
    </w:tbl>
    <w:p>
      <w:pPr>
        <w:autoSpaceDN w:val="0"/>
        <w:autoSpaceDE w:val="0"/>
        <w:widowControl/>
        <w:spacing w:line="202" w:lineRule="exact" w:before="318" w:after="8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 xml:space="preserve">Unrealized mark-to-market (losses) gains on Investments-Trading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268"/>
        </w:trPr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1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portfolio, net—Notes F and J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3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(36)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66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(43)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26 </w:t>
            </w:r>
          </w:p>
        </w:tc>
      </w:tr>
    </w:tbl>
    <w:p>
      <w:pPr>
        <w:autoSpaceDN w:val="0"/>
        <w:autoSpaceDE w:val="0"/>
        <w:widowControl/>
        <w:spacing w:line="200" w:lineRule="exact" w:before="318" w:after="8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 xml:space="preserve">Unrealized mark-to-market gains (losses) on non-trading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rHeight w:hRule="exact" w:val="492"/>
        </w:trPr>
        <w:tc>
          <w:tcPr>
            <w:tcW w:type="dxa" w:w="57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1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portfolios, net—Notes F and J</w:t>
            </w:r>
          </w:p>
        </w:tc>
        <w:tc>
          <w:tcPr>
            <w:tcW w:type="dxa" w:w="3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290 </w:t>
            </w:r>
          </w:p>
        </w:tc>
        <w:tc>
          <w:tcPr>
            <w:tcW w:type="dxa" w:w="4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(853) </w:t>
            </w:r>
          </w:p>
        </w:tc>
        <w:tc>
          <w:tcPr>
            <w:tcW w:type="dxa" w:w="9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(133) </w:t>
            </w:r>
          </w:p>
        </w:tc>
        <w:tc>
          <w:tcPr>
            <w:tcW w:type="dxa" w:w="5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(353) </w:t>
            </w:r>
          </w:p>
        </w:tc>
      </w:tr>
      <w:tr>
        <w:trPr>
          <w:trHeight w:hRule="exact" w:val="236"/>
        </w:trPr>
        <w:tc>
          <w:tcPr>
            <w:tcW w:type="dxa" w:w="57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Net Income (loss)</w:t>
            </w:r>
          </w:p>
        </w:tc>
        <w:tc>
          <w:tcPr>
            <w:tcW w:type="dxa" w:w="3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5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477 </w:t>
            </w:r>
          </w:p>
        </w:tc>
        <w:tc>
          <w:tcPr>
            <w:tcW w:type="dxa" w:w="4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9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(326) $ </w:t>
            </w:r>
          </w:p>
        </w:tc>
        <w:tc>
          <w:tcPr>
            <w:tcW w:type="dxa" w:w="9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(41) $ </w:t>
            </w:r>
          </w:p>
        </w:tc>
        <w:tc>
          <w:tcPr>
            <w:tcW w:type="dxa" w:w="5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357 </w:t>
            </w:r>
          </w:p>
        </w:tc>
      </w:tr>
      <w:tr>
        <w:trPr>
          <w:trHeight w:hRule="exact" w:val="50"/>
        </w:trPr>
        <w:tc>
          <w:tcPr>
            <w:tcW w:type="dxa" w:w="57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2" w:lineRule="exact" w:before="1046" w:after="0"/>
        <w:ind w:left="0" w:right="0" w:firstLine="0"/>
        <w:jc w:val="center"/>
      </w:pPr>
      <w:r>
        <w:rPr>
          <w:rFonts w:ascii="Arial" w:hAnsi="Arial" w:eastAsia="Arial"/>
          <w:b/>
          <w:i/>
          <w:color w:val="000000"/>
          <w:sz w:val="18"/>
        </w:rPr>
        <w:t>The Notes to the Condensed Quarterly Financial Statements are an integral part of these Statements.</w:t>
      </w:r>
    </w:p>
    <w:p>
      <w:pPr>
        <w:autoSpaceDN w:val="0"/>
        <w:autoSpaceDE w:val="0"/>
        <w:widowControl/>
        <w:spacing w:line="224" w:lineRule="exact" w:before="826" w:after="0"/>
        <w:ind w:left="154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Condensed Quarterly Financial Statements: December 31, 2024 (Unaudited)     31</w:t>
      </w:r>
    </w:p>
    <w:p>
      <w:pPr>
        <w:sectPr>
          <w:pgSz w:w="12240" w:h="15840"/>
          <w:pgMar w:top="696" w:right="138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>CONDENSED STATEMENTS OF COMPREHENSIVE INCOME</w:t>
      </w:r>
    </w:p>
    <w:p>
      <w:pPr>
        <w:autoSpaceDN w:val="0"/>
        <w:autoSpaceDE w:val="0"/>
        <w:widowControl/>
        <w:spacing w:line="224" w:lineRule="exact" w:before="36" w:after="706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>Expressed 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>
        <w:trPr>
          <w:trHeight w:hRule="exact" w:val="250"/>
        </w:trPr>
        <w:tc>
          <w:tcPr>
            <w:tcW w:type="dxa" w:w="490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1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0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8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Three Months Ended </w:t>
            </w:r>
          </w:p>
        </w:tc>
        <w:tc>
          <w:tcPr>
            <w:tcW w:type="dxa" w:w="2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91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8" w:after="0"/>
              <w:ind w:left="9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Six Months Ended </w:t>
            </w:r>
          </w:p>
        </w:tc>
      </w:tr>
      <w:tr>
        <w:trPr>
          <w:trHeight w:hRule="exact" w:val="220"/>
        </w:trPr>
        <w:tc>
          <w:tcPr>
            <w:tcW w:type="dxa" w:w="1046"/>
            <w:vMerge/>
            <w:tcBorders>
              <w:bottom w:sz="8.0" w:val="single" w:color="#000000"/>
            </w:tcBorders>
          </w:tcPr>
          <w:p/>
        </w:tc>
        <w:tc>
          <w:tcPr>
            <w:tcW w:type="dxa" w:w="1046"/>
            <w:vMerge/>
            <w:tcBorders>
              <w:bottom w:sz="8.0" w:val="single" w:color="#000000"/>
            </w:tcBorders>
          </w:tcPr>
          <w:p/>
        </w:tc>
        <w:tc>
          <w:tcPr>
            <w:tcW w:type="dxa" w:w="20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" w:after="0"/>
              <w:ind w:left="30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December 31, </w:t>
            </w:r>
          </w:p>
        </w:tc>
        <w:tc>
          <w:tcPr>
            <w:tcW w:type="dxa" w:w="1046"/>
            <w:vMerge/>
            <w:tcBorders>
              <w:bottom w:sz="8.0" w:val="single" w:color="#000000"/>
            </w:tcBorders>
          </w:tcPr>
          <w:p/>
        </w:tc>
        <w:tc>
          <w:tcPr>
            <w:tcW w:type="dxa" w:w="191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" w:after="0"/>
              <w:ind w:left="2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December 31, </w:t>
            </w:r>
          </w:p>
        </w:tc>
      </w:tr>
      <w:tr>
        <w:trPr>
          <w:trHeight w:hRule="exact" w:val="254"/>
        </w:trPr>
        <w:tc>
          <w:tcPr>
            <w:tcW w:type="dxa" w:w="1046"/>
            <w:vMerge/>
            <w:tcBorders>
              <w:bottom w:sz="8.0" w:val="single" w:color="#000000"/>
            </w:tcBorders>
          </w:tcPr>
          <w:p/>
        </w:tc>
        <w:tc>
          <w:tcPr>
            <w:tcW w:type="dxa" w:w="1046"/>
            <w:vMerge/>
            <w:tcBorders>
              <w:bottom w:sz="8.0" w:val="single" w:color="#000000"/>
            </w:tcBorders>
          </w:tcPr>
          <w:p/>
        </w:tc>
        <w:tc>
          <w:tcPr>
            <w:tcW w:type="dxa" w:w="2064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39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(Unaudited)</w:t>
            </w:r>
          </w:p>
        </w:tc>
        <w:tc>
          <w:tcPr>
            <w:tcW w:type="dxa" w:w="1046"/>
            <w:vMerge/>
            <w:tcBorders>
              <w:bottom w:sz="8.0" w:val="single" w:color="#000000"/>
            </w:tcBorders>
          </w:tcPr>
          <w:p/>
        </w:tc>
        <w:tc>
          <w:tcPr>
            <w:tcW w:type="dxa" w:w="191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35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(Unaudited)</w:t>
            </w:r>
          </w:p>
        </w:tc>
      </w:tr>
      <w:tr>
        <w:trPr>
          <w:trHeight w:hRule="exact" w:val="374"/>
        </w:trPr>
        <w:tc>
          <w:tcPr>
            <w:tcW w:type="dxa" w:w="49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4" w:after="0"/>
              <w:ind w:left="9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2024</w:t>
            </w:r>
          </w:p>
        </w:tc>
        <w:tc>
          <w:tcPr>
            <w:tcW w:type="dxa" w:w="8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4" w:after="0"/>
              <w:ind w:left="5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2023</w:t>
            </w:r>
          </w:p>
        </w:tc>
        <w:tc>
          <w:tcPr>
            <w:tcW w:type="dxa" w:w="2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4" w:after="0"/>
              <w:ind w:left="5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2024</w:t>
            </w:r>
          </w:p>
        </w:tc>
        <w:tc>
          <w:tcPr>
            <w:tcW w:type="dxa" w:w="7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4" w:after="0"/>
              <w:ind w:left="5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2023</w:t>
            </w:r>
          </w:p>
        </w:tc>
      </w:tr>
      <w:tr>
        <w:trPr>
          <w:trHeight w:hRule="exact" w:val="780"/>
        </w:trPr>
        <w:tc>
          <w:tcPr>
            <w:tcW w:type="dxa" w:w="49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1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Net income (loss)</w:t>
            </w:r>
          </w:p>
        </w:tc>
        <w:tc>
          <w:tcPr>
            <w:tcW w:type="dxa" w:w="2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9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1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477 </w:t>
            </w:r>
          </w:p>
        </w:tc>
        <w:tc>
          <w:tcPr>
            <w:tcW w:type="dxa" w:w="2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8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10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(326) </w:t>
            </w:r>
          </w:p>
        </w:tc>
        <w:tc>
          <w:tcPr>
            <w:tcW w:type="dxa" w:w="2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8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10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(41) </w:t>
            </w:r>
          </w:p>
        </w:tc>
        <w:tc>
          <w:tcPr>
            <w:tcW w:type="dxa" w:w="2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7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1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357 </w:t>
            </w:r>
          </w:p>
        </w:tc>
      </w:tr>
    </w:tbl>
    <w:p>
      <w:pPr>
        <w:autoSpaceDN w:val="0"/>
        <w:autoSpaceDE w:val="0"/>
        <w:widowControl/>
        <w:spacing w:line="202" w:lineRule="exact" w:before="114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Other comprehensive (loss) income —</w:t>
      </w:r>
      <w:r>
        <w:rPr>
          <w:rFonts w:ascii="Arial" w:hAnsi="Arial" w:eastAsia="Arial"/>
          <w:b/>
          <w:i/>
          <w:color w:val="000000"/>
          <w:sz w:val="18"/>
        </w:rPr>
        <w:t>Note I</w:t>
      </w:r>
    </w:p>
    <w:p>
      <w:pPr>
        <w:autoSpaceDN w:val="0"/>
        <w:autoSpaceDE w:val="0"/>
        <w:widowControl/>
        <w:spacing w:line="202" w:lineRule="exact" w:before="62" w:after="8"/>
        <w:ind w:left="29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Amortization of unrecognized net actuarial gains 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240"/>
        </w:trPr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pension plans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3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(16)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(18)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(32)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(34) </w:t>
            </w:r>
          </w:p>
        </w:tc>
      </w:tr>
    </w:tbl>
    <w:p>
      <w:pPr>
        <w:autoSpaceDN w:val="0"/>
        <w:autoSpaceDE w:val="0"/>
        <w:widowControl/>
        <w:spacing w:line="202" w:lineRule="exact" w:before="30" w:after="8"/>
        <w:ind w:left="29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Amortization of unrecognized prior service costs 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240"/>
        </w:trPr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pension plans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4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02" w:lineRule="exact" w:before="30" w:after="8"/>
        <w:ind w:left="29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Net change in Debit Valuation Adjustment (DVA) on Fair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240"/>
        </w:trPr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Value Option elected liabilities—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 J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3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893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883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1,407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828 </w:t>
            </w:r>
          </w:p>
        </w:tc>
      </w:tr>
    </w:tbl>
    <w:p>
      <w:pPr>
        <w:autoSpaceDN w:val="0"/>
        <w:autoSpaceDE w:val="0"/>
        <w:widowControl/>
        <w:spacing w:line="202" w:lineRule="exact" w:before="30" w:after="8"/>
        <w:ind w:left="29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Currency translation adjustments on functional currency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>
        <w:trPr>
          <w:trHeight w:hRule="exact" w:val="236"/>
        </w:trPr>
        <w:tc>
          <w:tcPr>
            <w:tcW w:type="dxa" w:w="49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(losses) gains</w:t>
            </w:r>
          </w:p>
        </w:tc>
        <w:tc>
          <w:tcPr>
            <w:tcW w:type="dxa" w:w="3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(947) </w:t>
            </w:r>
          </w:p>
        </w:tc>
        <w:tc>
          <w:tcPr>
            <w:tcW w:type="dxa" w:w="3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520 </w:t>
            </w:r>
          </w:p>
        </w:tc>
        <w:tc>
          <w:tcPr>
            <w:tcW w:type="dxa" w:w="3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(391) </w:t>
            </w:r>
          </w:p>
        </w:tc>
        <w:tc>
          <w:tcPr>
            <w:tcW w:type="dxa" w:w="3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262 </w:t>
            </w:r>
          </w:p>
        </w:tc>
      </w:tr>
      <w:tr>
        <w:trPr>
          <w:trHeight w:hRule="exact" w:val="376"/>
        </w:trPr>
        <w:tc>
          <w:tcPr>
            <w:tcW w:type="dxa" w:w="49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6" w:after="0"/>
              <w:ind w:left="3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Total other comprehensive (loss) income</w:t>
            </w:r>
          </w:p>
        </w:tc>
        <w:tc>
          <w:tcPr>
            <w:tcW w:type="dxa" w:w="3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6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(68) </w:t>
            </w:r>
          </w:p>
        </w:tc>
        <w:tc>
          <w:tcPr>
            <w:tcW w:type="dxa" w:w="3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1,387 </w:t>
            </w:r>
          </w:p>
        </w:tc>
        <w:tc>
          <w:tcPr>
            <w:tcW w:type="dxa" w:w="3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6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988 </w:t>
            </w:r>
          </w:p>
        </w:tc>
        <w:tc>
          <w:tcPr>
            <w:tcW w:type="dxa" w:w="3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6" w:after="0"/>
              <w:ind w:left="1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1,060 </w:t>
            </w:r>
          </w:p>
        </w:tc>
      </w:tr>
      <w:tr>
        <w:trPr>
          <w:trHeight w:hRule="exact" w:val="354"/>
        </w:trPr>
        <w:tc>
          <w:tcPr>
            <w:tcW w:type="dxa" w:w="49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Total comprehensive income</w:t>
            </w:r>
          </w:p>
        </w:tc>
        <w:tc>
          <w:tcPr>
            <w:tcW w:type="dxa" w:w="3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7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2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409 </w:t>
            </w:r>
          </w:p>
        </w:tc>
        <w:tc>
          <w:tcPr>
            <w:tcW w:type="dxa" w:w="3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8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1,061 </w:t>
            </w:r>
          </w:p>
        </w:tc>
        <w:tc>
          <w:tcPr>
            <w:tcW w:type="dxa" w:w="3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7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2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947 </w:t>
            </w:r>
          </w:p>
        </w:tc>
        <w:tc>
          <w:tcPr>
            <w:tcW w:type="dxa" w:w="3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6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2" w:after="0"/>
              <w:ind w:left="1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1,417 </w:t>
            </w:r>
          </w:p>
        </w:tc>
      </w:tr>
    </w:tbl>
    <w:p>
      <w:pPr>
        <w:autoSpaceDN w:val="0"/>
        <w:autoSpaceDE w:val="0"/>
        <w:widowControl/>
        <w:spacing w:line="312" w:lineRule="exact" w:before="86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>CONDENSED STATEMENTS OF CHANGES IN RETAINED EARNINGS</w:t>
      </w:r>
    </w:p>
    <w:p>
      <w:pPr>
        <w:autoSpaceDN w:val="0"/>
        <w:autoSpaceDE w:val="0"/>
        <w:widowControl/>
        <w:spacing w:line="222" w:lineRule="exact" w:before="38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>Expressed in millions of U.S. dollars</w:t>
      </w:r>
    </w:p>
    <w:p>
      <w:pPr>
        <w:autoSpaceDN w:val="0"/>
        <w:autoSpaceDE w:val="0"/>
        <w:widowControl/>
        <w:spacing w:line="216" w:lineRule="exact" w:before="744" w:after="18"/>
        <w:ind w:left="6336" w:right="288" w:firstLine="0"/>
        <w:jc w:val="center"/>
      </w:pPr>
      <w:r>
        <w:rPr>
          <w:rFonts w:ascii="Arial" w:hAnsi="Arial" w:eastAsia="Arial"/>
          <w:b w:val="0"/>
          <w:i/>
          <w:color w:val="000000"/>
          <w:sz w:val="18"/>
        </w:rPr>
        <w:t xml:space="preserve">Six Months Ended December 31, </w:t>
      </w:r>
      <w:r>
        <w:br/>
      </w:r>
      <w:r>
        <w:rPr>
          <w:rFonts w:ascii="Arial" w:hAnsi="Arial" w:eastAsia="Arial"/>
          <w:b w:val="0"/>
          <w:i/>
          <w:color w:val="000000"/>
          <w:sz w:val="18"/>
        </w:rPr>
        <w:t>(Unaudited)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256"/>
        </w:trPr>
        <w:tc>
          <w:tcPr>
            <w:tcW w:type="dxa" w:w="60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8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2024</w:t>
            </w:r>
          </w:p>
        </w:tc>
        <w:tc>
          <w:tcPr>
            <w:tcW w:type="dxa" w:w="3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7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2023</w:t>
            </w:r>
          </w:p>
        </w:tc>
      </w:tr>
      <w:tr>
        <w:trPr>
          <w:trHeight w:hRule="exact" w:val="302"/>
        </w:trPr>
        <w:tc>
          <w:tcPr>
            <w:tcW w:type="dxa" w:w="60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Retained earnings at the beginning of the fiscal year</w:t>
            </w:r>
          </w:p>
        </w:tc>
        <w:tc>
          <w:tcPr>
            <w:tcW w:type="dxa" w:w="36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4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38,283 </w:t>
            </w:r>
          </w:p>
        </w:tc>
        <w:tc>
          <w:tcPr>
            <w:tcW w:type="dxa" w:w="37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1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36,141 </w:t>
            </w:r>
          </w:p>
        </w:tc>
      </w:tr>
      <w:tr>
        <w:trPr>
          <w:trHeight w:hRule="exact" w:val="328"/>
        </w:trPr>
        <w:tc>
          <w:tcPr>
            <w:tcW w:type="dxa" w:w="60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(loss) income for the period</w:t>
            </w:r>
          </w:p>
        </w:tc>
        <w:tc>
          <w:tcPr>
            <w:tcW w:type="dxa" w:w="1883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4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2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(41) </w:t>
            </w:r>
          </w:p>
        </w:tc>
        <w:tc>
          <w:tcPr>
            <w:tcW w:type="dxa" w:w="1883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357 </w:t>
            </w:r>
          </w:p>
        </w:tc>
      </w:tr>
      <w:tr>
        <w:trPr>
          <w:trHeight w:hRule="exact" w:val="386"/>
        </w:trPr>
        <w:tc>
          <w:tcPr>
            <w:tcW w:type="dxa" w:w="60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Retained earnings at the end of the period</w:t>
            </w:r>
          </w:p>
        </w:tc>
        <w:tc>
          <w:tcPr>
            <w:tcW w:type="dxa" w:w="3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4" w:after="0"/>
              <w:ind w:left="0" w:right="3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38,242 </w:t>
            </w:r>
          </w:p>
        </w:tc>
        <w:tc>
          <w:tcPr>
            <w:tcW w:type="dxa" w:w="3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4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1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4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36,498 </w:t>
            </w:r>
          </w:p>
        </w:tc>
      </w:tr>
    </w:tbl>
    <w:p>
      <w:pPr>
        <w:autoSpaceDN w:val="0"/>
        <w:autoSpaceDE w:val="0"/>
        <w:widowControl/>
        <w:spacing w:line="200" w:lineRule="exact" w:before="894" w:after="0"/>
        <w:ind w:left="0" w:right="0" w:firstLine="0"/>
        <w:jc w:val="center"/>
      </w:pPr>
      <w:r>
        <w:rPr>
          <w:rFonts w:ascii="Arial" w:hAnsi="Arial" w:eastAsia="Arial"/>
          <w:b/>
          <w:i/>
          <w:color w:val="000000"/>
          <w:sz w:val="18"/>
        </w:rPr>
        <w:t>The Notes to the Condensed Quarterly Financial Statements are an integral part of these Statements.</w:t>
      </w:r>
    </w:p>
    <w:p>
      <w:pPr>
        <w:autoSpaceDN w:val="0"/>
        <w:autoSpaceDE w:val="0"/>
        <w:widowControl/>
        <w:spacing w:line="224" w:lineRule="exact" w:before="233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32     IBRD Condensed Quarterly Financial Statements: December 31, 2024 (Unaudited)</w:t>
      </w:r>
    </w:p>
    <w:p>
      <w:pPr>
        <w:sectPr>
          <w:pgSz w:w="12240" w:h="15840"/>
          <w:pgMar w:top="696" w:right="138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260" w:lineRule="exact" w:before="54" w:after="0"/>
        <w:ind w:left="0" w:right="331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CONDENSED STATEMENTS OF CASH FLOWS </w:t>
      </w:r>
      <w:r>
        <w:rPr>
          <w:rFonts w:ascii="Arial" w:hAnsi="Arial" w:eastAsia="Arial"/>
          <w:b w:val="0"/>
          <w:i/>
          <w:color w:val="000000"/>
          <w:sz w:val="20"/>
        </w:rPr>
        <w:t>Expressed in millions of U.S. dollars</w:t>
      </w:r>
    </w:p>
    <w:p>
      <w:pPr>
        <w:autoSpaceDN w:val="0"/>
        <w:autoSpaceDE w:val="0"/>
        <w:widowControl/>
        <w:spacing w:line="216" w:lineRule="exact" w:before="70" w:after="20"/>
        <w:ind w:left="6480" w:right="144" w:firstLine="0"/>
        <w:jc w:val="center"/>
      </w:pPr>
      <w:r>
        <w:rPr>
          <w:rFonts w:ascii="Arial" w:hAnsi="Arial" w:eastAsia="Arial"/>
          <w:b w:val="0"/>
          <w:i/>
          <w:color w:val="000000"/>
          <w:sz w:val="18"/>
        </w:rPr>
        <w:t xml:space="preserve">Six Months Ended December 31, </w:t>
      </w:r>
      <w:r>
        <w:br/>
      </w:r>
      <w:r>
        <w:rPr>
          <w:rFonts w:ascii="Arial" w:hAnsi="Arial" w:eastAsia="Arial"/>
          <w:b w:val="0"/>
          <w:i/>
          <w:color w:val="000000"/>
          <w:sz w:val="18"/>
        </w:rPr>
        <w:t>(Unaudited)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364.0" w:type="dxa"/>
      </w:tblPr>
      <w:tblGrid>
        <w:gridCol w:w="4708"/>
        <w:gridCol w:w="4708"/>
      </w:tblGrid>
      <w:tr>
        <w:trPr>
          <w:trHeight w:hRule="exact" w:val="254"/>
        </w:trPr>
        <w:tc>
          <w:tcPr>
            <w:tcW w:type="dxa" w:w="14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2024</w:t>
            </w:r>
          </w:p>
        </w:tc>
        <w:tc>
          <w:tcPr>
            <w:tcW w:type="dxa" w:w="15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50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2023</w:t>
            </w:r>
          </w:p>
        </w:tc>
      </w:tr>
    </w:tbl>
    <w:p>
      <w:pPr>
        <w:autoSpaceDN w:val="0"/>
        <w:autoSpaceDE w:val="0"/>
        <w:widowControl/>
        <w:spacing w:line="200" w:lineRule="exact" w:before="16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Cash flows from investing activities</w:t>
      </w:r>
    </w:p>
    <w:p>
      <w:pPr>
        <w:autoSpaceDN w:val="0"/>
        <w:autoSpaceDE w:val="0"/>
        <w:widowControl/>
        <w:spacing w:line="202" w:lineRule="exact" w:before="54" w:after="26"/>
        <w:ind w:left="2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Loans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242"/>
        </w:trPr>
        <w:tc>
          <w:tcPr>
            <w:tcW w:type="dxa" w:w="6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Disbursements</w:t>
            </w:r>
          </w:p>
        </w:tc>
        <w:tc>
          <w:tcPr>
            <w:tcW w:type="dxa" w:w="4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1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(17,649) </w:t>
            </w:r>
          </w:p>
        </w:tc>
        <w:tc>
          <w:tcPr>
            <w:tcW w:type="dxa" w:w="4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(18,064) </w:t>
            </w:r>
          </w:p>
        </w:tc>
      </w:tr>
      <w:tr>
        <w:trPr>
          <w:trHeight w:hRule="exact" w:val="260"/>
        </w:trPr>
        <w:tc>
          <w:tcPr>
            <w:tcW w:type="dxa" w:w="6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Principal repayments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11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6,976 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7,069 </w:t>
            </w:r>
          </w:p>
        </w:tc>
      </w:tr>
      <w:tr>
        <w:trPr>
          <w:trHeight w:hRule="exact" w:val="260"/>
        </w:trPr>
        <w:tc>
          <w:tcPr>
            <w:tcW w:type="dxa" w:w="6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Principal prepayments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11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130 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36 </w:t>
            </w:r>
          </w:p>
        </w:tc>
      </w:tr>
      <w:tr>
        <w:trPr>
          <w:trHeight w:hRule="exact" w:val="240"/>
        </w:trPr>
        <w:tc>
          <w:tcPr>
            <w:tcW w:type="dxa" w:w="6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Loan origination fees received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11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24 </w:t>
            </w:r>
          </w:p>
        </w:tc>
      </w:tr>
      <w:tr>
        <w:trPr>
          <w:trHeight w:hRule="exact" w:val="260"/>
        </w:trPr>
        <w:tc>
          <w:tcPr>
            <w:tcW w:type="dxa" w:w="6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derivatives-loans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11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44 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39 </w:t>
            </w:r>
          </w:p>
        </w:tc>
      </w:tr>
      <w:tr>
        <w:trPr>
          <w:trHeight w:hRule="exact" w:val="270"/>
        </w:trPr>
        <w:tc>
          <w:tcPr>
            <w:tcW w:type="dxa" w:w="62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Other investing activities, net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11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(102) 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9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(54) </w:t>
            </w:r>
          </w:p>
        </w:tc>
      </w:tr>
      <w:tr>
        <w:trPr>
          <w:trHeight w:hRule="exact" w:val="255"/>
        </w:trPr>
        <w:tc>
          <w:tcPr>
            <w:tcW w:type="dxa" w:w="62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4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cash used in investing activities</w:t>
            </w:r>
          </w:p>
        </w:tc>
        <w:tc>
          <w:tcPr>
            <w:tcW w:type="dxa" w:w="4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2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(10,585) </w:t>
            </w:r>
          </w:p>
        </w:tc>
        <w:tc>
          <w:tcPr>
            <w:tcW w:type="dxa" w:w="4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(10,950) </w:t>
            </w:r>
          </w:p>
        </w:tc>
      </w:tr>
    </w:tbl>
    <w:p>
      <w:pPr>
        <w:autoSpaceDN w:val="0"/>
        <w:autoSpaceDE w:val="0"/>
        <w:widowControl/>
        <w:spacing w:line="202" w:lineRule="exact" w:before="26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Cash flows from financing activities</w:t>
      </w:r>
    </w:p>
    <w:p>
      <w:pPr>
        <w:autoSpaceDN w:val="0"/>
        <w:autoSpaceDE w:val="0"/>
        <w:widowControl/>
        <w:spacing w:line="200" w:lineRule="exact" w:before="54" w:after="26"/>
        <w:ind w:left="2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Medium and long-term borrowings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139"/>
        <w:gridCol w:w="3139"/>
        <w:gridCol w:w="3139"/>
      </w:tblGrid>
      <w:tr>
        <w:trPr>
          <w:trHeight w:hRule="exact" w:val="248"/>
        </w:trPr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New issues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4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29,219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19,277 </w:t>
            </w:r>
          </w:p>
        </w:tc>
      </w:tr>
      <w:tr>
        <w:trPr>
          <w:trHeight w:hRule="exact" w:val="262"/>
        </w:trPr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Retirements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4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(15,825)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(16,092) </w:t>
            </w:r>
          </w:p>
        </w:tc>
      </w:tr>
    </w:tbl>
    <w:p>
      <w:pPr>
        <w:autoSpaceDN w:val="0"/>
        <w:autoSpaceDE w:val="0"/>
        <w:widowControl/>
        <w:spacing w:line="202" w:lineRule="exact" w:before="28" w:after="28"/>
        <w:ind w:left="2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Short-term borrowings (original maturities greater than 90 days)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139"/>
        <w:gridCol w:w="3139"/>
        <w:gridCol w:w="3139"/>
      </w:tblGrid>
      <w:tr>
        <w:trPr>
          <w:trHeight w:hRule="exact" w:val="240"/>
        </w:trPr>
        <w:tc>
          <w:tcPr>
            <w:tcW w:type="dxa" w:w="6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New issues</w:t>
            </w:r>
          </w:p>
        </w:tc>
        <w:tc>
          <w:tcPr>
            <w:tcW w:type="dxa" w:w="1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13,127 </w:t>
            </w:r>
          </w:p>
        </w:tc>
        <w:tc>
          <w:tcPr>
            <w:tcW w:type="dxa" w:w="1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11,663 </w:t>
            </w:r>
          </w:p>
        </w:tc>
      </w:tr>
      <w:tr>
        <w:trPr>
          <w:trHeight w:hRule="exact" w:val="260"/>
        </w:trPr>
        <w:tc>
          <w:tcPr>
            <w:tcW w:type="dxa" w:w="6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Retirements</w:t>
            </w:r>
          </w:p>
        </w:tc>
        <w:tc>
          <w:tcPr>
            <w:tcW w:type="dxa" w:w="1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(9,363) </w:t>
            </w:r>
          </w:p>
        </w:tc>
        <w:tc>
          <w:tcPr>
            <w:tcW w:type="dxa" w:w="1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(11,080) </w:t>
            </w:r>
          </w:p>
        </w:tc>
      </w:tr>
      <w:tr>
        <w:trPr>
          <w:trHeight w:hRule="exact" w:val="260"/>
        </w:trPr>
        <w:tc>
          <w:tcPr>
            <w:tcW w:type="dxa" w:w="6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short-term borrowings (original maturities less than 90 days)</w:t>
            </w:r>
          </w:p>
        </w:tc>
        <w:tc>
          <w:tcPr>
            <w:tcW w:type="dxa" w:w="1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2,168 </w:t>
            </w:r>
          </w:p>
        </w:tc>
        <w:tc>
          <w:tcPr>
            <w:tcW w:type="dxa" w:w="1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1,316 </w:t>
            </w:r>
          </w:p>
        </w:tc>
      </w:tr>
      <w:tr>
        <w:trPr>
          <w:trHeight w:hRule="exact" w:val="240"/>
        </w:trPr>
        <w:tc>
          <w:tcPr>
            <w:tcW w:type="dxa" w:w="6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derivatives-borrowings</w:t>
            </w:r>
          </w:p>
        </w:tc>
        <w:tc>
          <w:tcPr>
            <w:tcW w:type="dxa" w:w="1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289 </w:t>
            </w:r>
          </w:p>
        </w:tc>
        <w:tc>
          <w:tcPr>
            <w:tcW w:type="dxa" w:w="1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(219) </w:t>
            </w:r>
          </w:p>
        </w:tc>
      </w:tr>
      <w:tr>
        <w:trPr>
          <w:trHeight w:hRule="exact" w:val="260"/>
        </w:trPr>
        <w:tc>
          <w:tcPr>
            <w:tcW w:type="dxa" w:w="6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Capital subscriptions</w:t>
            </w:r>
          </w:p>
        </w:tc>
        <w:tc>
          <w:tcPr>
            <w:tcW w:type="dxa" w:w="1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310 </w:t>
            </w:r>
          </w:p>
        </w:tc>
        <w:tc>
          <w:tcPr>
            <w:tcW w:type="dxa" w:w="1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568 </w:t>
            </w:r>
          </w:p>
        </w:tc>
      </w:tr>
      <w:tr>
        <w:trPr>
          <w:trHeight w:hRule="exact" w:val="270"/>
        </w:trPr>
        <w:tc>
          <w:tcPr>
            <w:tcW w:type="dxa" w:w="62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Other financing activities, net</w:t>
            </w:r>
          </w:p>
        </w:tc>
        <w:tc>
          <w:tcPr>
            <w:tcW w:type="dxa" w:w="1592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(8) </w:t>
            </w:r>
          </w:p>
        </w:tc>
        <w:tc>
          <w:tcPr>
            <w:tcW w:type="dxa" w:w="14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 </w:t>
            </w:r>
          </w:p>
        </w:tc>
      </w:tr>
      <w:tr>
        <w:trPr>
          <w:trHeight w:hRule="exact" w:val="254"/>
        </w:trPr>
        <w:tc>
          <w:tcPr>
            <w:tcW w:type="dxa" w:w="62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4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cash provided by financing activities</w:t>
            </w:r>
          </w:p>
        </w:tc>
        <w:tc>
          <w:tcPr>
            <w:tcW w:type="dxa" w:w="159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19,917 </w:t>
            </w:r>
          </w:p>
        </w:tc>
        <w:tc>
          <w:tcPr>
            <w:tcW w:type="dxa" w:w="14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5,441 </w:t>
            </w:r>
          </w:p>
        </w:tc>
      </w:tr>
    </w:tbl>
    <w:p>
      <w:pPr>
        <w:autoSpaceDN w:val="0"/>
        <w:autoSpaceDE w:val="0"/>
        <w:widowControl/>
        <w:spacing w:line="202" w:lineRule="exact" w:before="26" w:after="28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Cash flows from operating activities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139"/>
        <w:gridCol w:w="3139"/>
        <w:gridCol w:w="3139"/>
      </w:tblGrid>
      <w:tr>
        <w:trPr>
          <w:trHeight w:hRule="exact" w:val="252"/>
        </w:trPr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(loss) income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5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(41)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357 </w:t>
            </w:r>
          </w:p>
        </w:tc>
      </w:tr>
    </w:tbl>
    <w:p>
      <w:pPr>
        <w:autoSpaceDN w:val="0"/>
        <w:autoSpaceDE w:val="0"/>
        <w:widowControl/>
        <w:spacing w:line="202" w:lineRule="exact" w:before="28" w:after="28"/>
        <w:ind w:left="2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Adjustments to reconcile net income to net cash used in operating activities: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139"/>
        <w:gridCol w:w="3139"/>
        <w:gridCol w:w="3139"/>
      </w:tblGrid>
      <w:tr>
        <w:trPr>
          <w:trHeight w:hRule="exact" w:val="250"/>
        </w:trPr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Unrealized mark-to-market losses on non-trading portfolios, net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6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133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353 </w:t>
            </w:r>
          </w:p>
        </w:tc>
      </w:tr>
      <w:tr>
        <w:trPr>
          <w:trHeight w:hRule="exact" w:val="240"/>
        </w:trPr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Non-functional currency translation adjustment losses, net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6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37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 </w:t>
            </w:r>
          </w:p>
        </w:tc>
      </w:tr>
      <w:tr>
        <w:trPr>
          <w:trHeight w:hRule="exact" w:val="260"/>
        </w:trPr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Depreciation and amortization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6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303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314 </w:t>
            </w:r>
          </w:p>
        </w:tc>
      </w:tr>
      <w:tr>
        <w:trPr>
          <w:trHeight w:hRule="exact" w:val="270"/>
        </w:trPr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Provision for losses on loans and other exposures charge (release)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6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193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(30) </w:t>
            </w:r>
          </w:p>
        </w:tc>
      </w:tr>
    </w:tbl>
    <w:p>
      <w:pPr>
        <w:autoSpaceDN w:val="0"/>
        <w:autoSpaceDE w:val="0"/>
        <w:widowControl/>
        <w:spacing w:line="200" w:lineRule="exact" w:before="26" w:after="26"/>
        <w:ind w:left="2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Changes in: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238"/>
        </w:trPr>
        <w:tc>
          <w:tcPr>
            <w:tcW w:type="dxa" w:w="6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Investment portfolio</w:t>
            </w:r>
          </w:p>
        </w:tc>
        <w:tc>
          <w:tcPr>
            <w:tcW w:type="dxa" w:w="51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(8,266) </w:t>
            </w:r>
          </w:p>
        </w:tc>
        <w:tc>
          <w:tcPr>
            <w:tcW w:type="dxa" w:w="54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4,901 </w:t>
            </w:r>
          </w:p>
        </w:tc>
      </w:tr>
      <w:tr>
        <w:trPr>
          <w:trHeight w:hRule="exact" w:val="276"/>
        </w:trPr>
        <w:tc>
          <w:tcPr>
            <w:tcW w:type="dxa" w:w="63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Other assets and liabilities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10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(1,682) 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9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(542) </w:t>
            </w:r>
          </w:p>
        </w:tc>
      </w:tr>
      <w:tr>
        <w:trPr>
          <w:trHeight w:hRule="exact" w:val="254"/>
        </w:trPr>
        <w:tc>
          <w:tcPr>
            <w:tcW w:type="dxa" w:w="63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5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cash (used in) provided by operating activities</w:t>
            </w:r>
          </w:p>
        </w:tc>
        <w:tc>
          <w:tcPr>
            <w:tcW w:type="dxa" w:w="5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(9,323) </w:t>
            </w:r>
          </w:p>
        </w:tc>
        <w:tc>
          <w:tcPr>
            <w:tcW w:type="dxa" w:w="5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5,361 </w:t>
            </w:r>
          </w:p>
        </w:tc>
      </w:tr>
      <w:tr>
        <w:trPr>
          <w:trHeight w:hRule="exact" w:val="256"/>
        </w:trPr>
        <w:tc>
          <w:tcPr>
            <w:tcW w:type="dxa" w:w="63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Effect of exchange rate changes on unrestricted and restricted cash</w:t>
            </w:r>
          </w:p>
        </w:tc>
        <w:tc>
          <w:tcPr>
            <w:tcW w:type="dxa" w:w="5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(3) </w:t>
            </w:r>
          </w:p>
        </w:tc>
        <w:tc>
          <w:tcPr>
            <w:tcW w:type="dxa" w:w="5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(5) </w:t>
            </w:r>
          </w:p>
        </w:tc>
      </w:tr>
      <w:tr>
        <w:trPr>
          <w:trHeight w:hRule="exact" w:val="234"/>
        </w:trPr>
        <w:tc>
          <w:tcPr>
            <w:tcW w:type="dxa" w:w="63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Net increase (decrease) in unrestricted and restricted cash</w:t>
            </w:r>
          </w:p>
        </w:tc>
        <w:tc>
          <w:tcPr>
            <w:tcW w:type="dxa" w:w="51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54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(153) </w:t>
            </w:r>
          </w:p>
        </w:tc>
      </w:tr>
      <w:tr>
        <w:trPr>
          <w:trHeight w:hRule="exact" w:val="276"/>
        </w:trPr>
        <w:tc>
          <w:tcPr>
            <w:tcW w:type="dxa" w:w="63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Unrestricted and restricted cash at the beginning of the fiscal year</w:t>
            </w:r>
          </w:p>
        </w:tc>
        <w:tc>
          <w:tcPr>
            <w:tcW w:type="dxa" w:w="1883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490 </w:t>
            </w:r>
          </w:p>
        </w:tc>
        <w:tc>
          <w:tcPr>
            <w:tcW w:type="dxa" w:w="1883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547 </w:t>
            </w:r>
          </w:p>
        </w:tc>
      </w:tr>
      <w:tr>
        <w:trPr>
          <w:trHeight w:hRule="exact" w:val="244"/>
        </w:trPr>
        <w:tc>
          <w:tcPr>
            <w:tcW w:type="dxa" w:w="63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Unrestricted and restricted cash at the end of the period</w:t>
            </w:r>
          </w:p>
        </w:tc>
        <w:tc>
          <w:tcPr>
            <w:tcW w:type="dxa" w:w="5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0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496 </w:t>
            </w:r>
          </w:p>
        </w:tc>
        <w:tc>
          <w:tcPr>
            <w:tcW w:type="dxa" w:w="5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9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394 </w:t>
            </w:r>
          </w:p>
        </w:tc>
      </w:tr>
    </w:tbl>
    <w:p>
      <w:pPr>
        <w:autoSpaceDN w:val="0"/>
        <w:autoSpaceDE w:val="0"/>
        <w:widowControl/>
        <w:spacing w:line="200" w:lineRule="exact" w:before="36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Supplemental disclosure</w:t>
      </w:r>
    </w:p>
    <w:p>
      <w:pPr>
        <w:autoSpaceDN w:val="0"/>
        <w:tabs>
          <w:tab w:pos="322" w:val="left"/>
        </w:tabs>
        <w:autoSpaceDE w:val="0"/>
        <w:widowControl/>
        <w:spacing w:line="216" w:lineRule="exact" w:before="36" w:after="12"/>
        <w:ind w:left="142" w:right="360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Increase (decrease) in ending balances resulting from exchange rate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>fluctuations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224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4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Loans outstanding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0" w:right="3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(1,668) 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1,053 </w:t>
            </w:r>
          </w:p>
        </w:tc>
      </w:tr>
      <w:tr>
        <w:trPr>
          <w:trHeight w:hRule="exact" w:val="260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4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Investment portfolio</w:t>
            </w:r>
          </w:p>
        </w:tc>
        <w:tc>
          <w:tcPr>
            <w:tcW w:type="dxa" w:w="1883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(29) </w:t>
            </w:r>
          </w:p>
        </w:tc>
        <w:tc>
          <w:tcPr>
            <w:tcW w:type="dxa" w:w="1883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43 </w:t>
            </w:r>
          </w:p>
        </w:tc>
      </w:tr>
      <w:tr>
        <w:trPr>
          <w:trHeight w:hRule="exact" w:val="260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4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Borrowing portfolio</w:t>
            </w:r>
          </w:p>
        </w:tc>
        <w:tc>
          <w:tcPr>
            <w:tcW w:type="dxa" w:w="1883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(1,119) </w:t>
            </w:r>
          </w:p>
        </w:tc>
        <w:tc>
          <w:tcPr>
            <w:tcW w:type="dxa" w:w="1883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770 </w:t>
            </w:r>
          </w:p>
        </w:tc>
      </w:tr>
      <w:tr>
        <w:trPr>
          <w:trHeight w:hRule="exact" w:val="240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Capitalized loan origination fees included in total loans</w:t>
            </w:r>
          </w:p>
        </w:tc>
        <w:tc>
          <w:tcPr>
            <w:tcW w:type="dxa" w:w="1883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41 </w:t>
            </w:r>
          </w:p>
        </w:tc>
        <w:tc>
          <w:tcPr>
            <w:tcW w:type="dxa" w:w="1883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41 </w:t>
            </w:r>
          </w:p>
        </w:tc>
      </w:tr>
      <w:tr>
        <w:trPr>
          <w:trHeight w:hRule="exact" w:val="306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Interest paid on borrowing portfolio</w:t>
            </w:r>
          </w:p>
        </w:tc>
        <w:tc>
          <w:tcPr>
            <w:tcW w:type="dxa" w:w="1883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8,336 </w:t>
            </w:r>
          </w:p>
        </w:tc>
        <w:tc>
          <w:tcPr>
            <w:tcW w:type="dxa" w:w="1883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6,736 </w:t>
            </w:r>
          </w:p>
        </w:tc>
      </w:tr>
    </w:tbl>
    <w:p>
      <w:pPr>
        <w:autoSpaceDN w:val="0"/>
        <w:autoSpaceDE w:val="0"/>
        <w:widowControl/>
        <w:spacing w:line="202" w:lineRule="exact" w:before="238" w:after="0"/>
        <w:ind w:left="0" w:right="0" w:firstLine="0"/>
        <w:jc w:val="center"/>
      </w:pPr>
      <w:r>
        <w:rPr>
          <w:rFonts w:ascii="Arial" w:hAnsi="Arial" w:eastAsia="Arial"/>
          <w:b/>
          <w:i/>
          <w:color w:val="000000"/>
          <w:sz w:val="18"/>
        </w:rPr>
        <w:t>The Notes to the Condensed Quarterly Financial Statements are an integral part of these Statements.</w:t>
      </w:r>
    </w:p>
    <w:p>
      <w:pPr>
        <w:autoSpaceDN w:val="0"/>
        <w:autoSpaceDE w:val="0"/>
        <w:widowControl/>
        <w:spacing w:line="224" w:lineRule="exact" w:before="530" w:after="0"/>
        <w:ind w:left="154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Condensed Quarterly Financial Statements: December 31, 2024 (Unaudited)     33</w:t>
      </w:r>
    </w:p>
    <w:p>
      <w:pPr>
        <w:sectPr>
          <w:pgSz w:w="12240" w:h="15840"/>
          <w:pgMar w:top="696" w:right="138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>NOTES TO CONDENSED QUARTERLY FINANCIAL STATEMENTS</w:t>
      </w:r>
    </w:p>
    <w:p>
      <w:pPr>
        <w:autoSpaceDN w:val="0"/>
        <w:autoSpaceDE w:val="0"/>
        <w:widowControl/>
        <w:spacing w:line="246" w:lineRule="exact" w:before="15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NOTE A—SUMMARY OF SIGNIFICANT ACCOUNTING AND RELATED POLICIES</w:t>
      </w:r>
    </w:p>
    <w:p>
      <w:pPr>
        <w:autoSpaceDN w:val="0"/>
        <w:autoSpaceDE w:val="0"/>
        <w:widowControl/>
        <w:spacing w:line="244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Basis of Preparation</w:t>
      </w:r>
    </w:p>
    <w:p>
      <w:pPr>
        <w:autoSpaceDN w:val="0"/>
        <w:autoSpaceDE w:val="0"/>
        <w:widowControl/>
        <w:spacing w:line="240" w:lineRule="exact" w:before="13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These unaudited condensed quarterly financial statements and notes should be read in conjunction with the June 30,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2024 audited financial statements and notes included therein. The condensed comparative information that has been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derived from the June 30, 2024 audited financial statements has not been audited. In the opinion of management,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condensed quarterly financial statements reflect all adjustments necessary for a fair presentation of IBRD’s financial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position and results of operations in accordance with accounting principles generally accepted in the United States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America (U.S. GAAP).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 makes estimates and assumptions that affect the reported amounts of assets and liabilities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disclosure of contingent assets and liabilities at the date of the condensed quarterly financial statements and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reported amounts of income and expenses during the reporting periods. Due to the inherent uncertainty involved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making those estimates, actual results could differ from those estimates. Areas in which significant estimates have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been made include, but are not limited to, the provision for losses on loans and other exposures, the valuation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certain instruments carried at fair value, and the valuation of pension and other postretirement plan-related liabilities.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results of operations for the first six months of the current fiscal year are not necessarily indicative of results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full year.</w:t>
      </w:r>
    </w:p>
    <w:p>
      <w:pPr>
        <w:autoSpaceDN w:val="0"/>
        <w:autoSpaceDE w:val="0"/>
        <w:widowControl/>
        <w:spacing w:line="244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Accounting and Reporting Developments</w:t>
      </w:r>
    </w:p>
    <w:p>
      <w:pPr>
        <w:autoSpaceDN w:val="0"/>
        <w:autoSpaceDE w:val="0"/>
        <w:widowControl/>
        <w:spacing w:line="222" w:lineRule="exact" w:before="14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Evaluated Accounting Standards: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June 2022, the Financial Accounting Standards Board (FASB) issued Accounting Standard Update (ASU)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2022-03, Fair Value Measurement (Topic 820) </w:t>
      </w:r>
      <w:r>
        <w:rPr>
          <w:rFonts w:ascii="TimesNewRoman" w:hAnsi="TimesNewRoman" w:eastAsia="TimesNewRoman"/>
          <w:b w:val="0"/>
          <w:i/>
          <w:color w:val="000000"/>
          <w:sz w:val="20"/>
        </w:rPr>
        <w:t xml:space="preserve">Fair Value Measurement of Equity Securities Subject to Contractual </w:t>
      </w:r>
      <w:r>
        <w:rPr>
          <w:rFonts w:ascii="TimesNewRoman" w:hAnsi="TimesNewRoman" w:eastAsia="TimesNewRoman"/>
          <w:b w:val="0"/>
          <w:i/>
          <w:color w:val="000000"/>
          <w:sz w:val="20"/>
        </w:rPr>
        <w:t>Sale Restrictions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, which clarifies that a contractual restriction on the sale of an equity security is not considered part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the unit of account of the equity security and should not be factored in when measuring fair value. The ASU also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clarifies that an entity cannot, as a separate unit of account, recognize and measure a contractual sale restriction.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ASU requires certain disclosures for equity securities subject to contractual sale restrictions. For IBRD, the ASU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became effective from the quarter ended September 30, 2024 and the adoption of the ASU did not have a material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impact on IBRD's financial statements. </w:t>
      </w:r>
    </w:p>
    <w:p>
      <w:pPr>
        <w:autoSpaceDN w:val="0"/>
        <w:autoSpaceDE w:val="0"/>
        <w:widowControl/>
        <w:spacing w:line="222" w:lineRule="exact" w:before="13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Accounting Standards Under Evaluation:</w:t>
      </w:r>
    </w:p>
    <w:p>
      <w:pPr>
        <w:autoSpaceDN w:val="0"/>
        <w:autoSpaceDE w:val="0"/>
        <w:widowControl/>
        <w:spacing w:line="224" w:lineRule="exact" w:before="136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November 2024, the FASB issued ASU 2024-03, </w:t>
      </w:r>
      <w:r>
        <w:rPr>
          <w:rFonts w:ascii="TimesNewRoman" w:hAnsi="TimesNewRoman" w:eastAsia="TimesNewRoman"/>
          <w:b w:val="0"/>
          <w:i/>
          <w:color w:val="000000"/>
          <w:sz w:val="20"/>
        </w:rPr>
        <w:t>Income Statement—Reporting Comprehensive Income—</w:t>
      </w:r>
      <w:r>
        <w:rPr>
          <w:rFonts w:ascii="TimesNewRoman" w:hAnsi="TimesNewRoman" w:eastAsia="TimesNewRoman"/>
          <w:b w:val="0"/>
          <w:i/>
          <w:color w:val="000000"/>
          <w:sz w:val="20"/>
        </w:rPr>
        <w:t>Expense Disaggregation Disclosures (Subtopic 220-40)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, which requires disaggregated disclosure of income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statement expenses for public business entities. The ASU does not change the expense captions an entity presents 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face of the income statement; rather, it requires disaggregation of certain expense captions into specified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categories in disclosures within the notes to the financial statements. In January 2025, the FASB issued ASU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2025-01, </w:t>
      </w:r>
      <w:r>
        <w:rPr>
          <w:rFonts w:ascii="TimesNewRoman" w:hAnsi="TimesNewRoman" w:eastAsia="TimesNewRoman"/>
          <w:b w:val="0"/>
          <w:i/>
          <w:color w:val="000000"/>
          <w:sz w:val="20"/>
        </w:rPr>
        <w:t xml:space="preserve">Income Statement—Reporting Comprehensive Income—Expense Disaggregation Disclosures (Subtopic </w:t>
      </w:r>
      <w:r>
        <w:rPr>
          <w:rFonts w:ascii="TimesNewRoman" w:hAnsi="TimesNewRoman" w:eastAsia="TimesNewRoman"/>
          <w:b w:val="0"/>
          <w:i/>
          <w:color w:val="000000"/>
          <w:sz w:val="20"/>
        </w:rPr>
        <w:t>220-40): Clarifying the Effective Date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 which clarifies the effective date of ASU 2024-03. For IBRD, the ASUs will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be effective for the annual period ending June 30, 2028 (annual statements of fiscal year 2028, and interim reporting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periods thereafter). IBRD is currently evaluating the impact of the ASUs on its financial statements.</w:t>
      </w:r>
    </w:p>
    <w:p>
      <w:pPr>
        <w:autoSpaceDN w:val="0"/>
        <w:autoSpaceDE w:val="0"/>
        <w:widowControl/>
        <w:spacing w:line="224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November 2023, the FASB issued ASU 2023-07, </w:t>
      </w:r>
      <w:r>
        <w:rPr>
          <w:rFonts w:ascii="TimesNewRoman" w:hAnsi="TimesNewRoman" w:eastAsia="TimesNewRoman"/>
          <w:b w:val="0"/>
          <w:i/>
          <w:color w:val="000000"/>
          <w:sz w:val="20"/>
        </w:rPr>
        <w:t xml:space="preserve">Segment Reporting (Topic 280): Improvements to Reportable </w:t>
      </w:r>
      <w:r>
        <w:rPr>
          <w:rFonts w:ascii="TimesNewRoman" w:hAnsi="TimesNewRoman" w:eastAsia="TimesNewRoman"/>
          <w:b w:val="0"/>
          <w:i/>
          <w:color w:val="000000"/>
          <w:sz w:val="20"/>
        </w:rPr>
        <w:t xml:space="preserve">Segment Disclosures,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which requires additional segment disclosures for public entities, including those with a single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reportable segment, such as the significant segment expenses that are regularly provided to the chief operating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decision maker (CODM), the title and position of the CODM, as well as an explanation of how the CODM uses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reported measure of segment profit or loss. All existing annual disclosures about segment profit or loss must be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provided on an interim basis in addition to disclosure of significant segment expenses. For IBRD, the ASU will be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effective for the annual period ending June 30, 2025 (annual statements of fiscal year 2025). IBRD is currently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evaluating the impact of the ASU on its financial statements.</w:t>
      </w:r>
    </w:p>
    <w:p>
      <w:pPr>
        <w:autoSpaceDN w:val="0"/>
        <w:autoSpaceDE w:val="0"/>
        <w:widowControl/>
        <w:spacing w:line="224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October 2023, the FASB issued ASU 2023-06, </w:t>
      </w:r>
      <w:r>
        <w:rPr>
          <w:rFonts w:ascii="TimesNewRoman" w:hAnsi="TimesNewRoman" w:eastAsia="TimesNewRoman"/>
          <w:b w:val="0"/>
          <w:i/>
          <w:color w:val="000000"/>
          <w:sz w:val="20"/>
        </w:rPr>
        <w:t xml:space="preserve">Disclosure Improvements: Codification Amendments in Response </w:t>
      </w:r>
      <w:r>
        <w:rPr>
          <w:rFonts w:ascii="TimesNewRoman" w:hAnsi="TimesNewRoman" w:eastAsia="TimesNewRoman"/>
          <w:b w:val="0"/>
          <w:i/>
          <w:color w:val="000000"/>
          <w:sz w:val="20"/>
        </w:rPr>
        <w:t>to the SEC’s Disclosure Update and Simplification Initiative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. The new guidance is intended to align U.S. GAAP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requirements with those of the SEC and to facilitate the application of U.S. GAAP for all entities. If by June 30, </w:t>
      </w:r>
    </w:p>
    <w:p>
      <w:pPr>
        <w:autoSpaceDN w:val="0"/>
        <w:autoSpaceDE w:val="0"/>
        <w:widowControl/>
        <w:spacing w:line="224" w:lineRule="exact" w:before="81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34     IBRD Condensed Quarterly Financial Statements: December 31, 2024 (Unaudited)</w:t>
      </w:r>
    </w:p>
    <w:p>
      <w:pPr>
        <w:sectPr>
          <w:pgSz w:w="12240" w:h="15840"/>
          <w:pgMar w:top="696" w:right="137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2027, the SEC has not removed the applicable SEC requirement, the related ASU amendment will not become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effective. IBRD is currently evaluating the impact of the ASU on its financial statements.</w:t>
      </w:r>
    </w:p>
    <w:p>
      <w:pPr>
        <w:autoSpaceDN w:val="0"/>
        <w:autoSpaceDE w:val="0"/>
        <w:widowControl/>
        <w:spacing w:line="222" w:lineRule="exact" w:before="12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Accounting for Borrowings at Amortized Cost</w:t>
      </w:r>
    </w:p>
    <w:p>
      <w:pPr>
        <w:autoSpaceDN w:val="0"/>
        <w:autoSpaceDE w:val="0"/>
        <w:widowControl/>
        <w:spacing w:line="230" w:lineRule="exact" w:before="114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October 2024, IBRD issued hybrid capital in the legal form of debt, that has characteristics of both debt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equity. Hybrid capital is reported at amortized cost and included in Borrowings on the Condensed Balance Sheets.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This financial instrument also contains interest cancellation and principal write down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 features.</w:t>
      </w:r>
    </w:p>
    <w:p>
      <w:pPr>
        <w:autoSpaceDN w:val="0"/>
        <w:autoSpaceDE w:val="0"/>
        <w:widowControl/>
        <w:spacing w:line="224" w:lineRule="exact" w:before="14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Hybrid capital is available to IBRD’s shareholders, who may also enter into separate agreements with IBRD that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allow them to redeem the hybrid capital to satisfy the payment condition for their paid-in portion of any future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capital increase to which the shareholder has subscribed. In addition, certain agreements include an option, at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IBRD's discretion, to redeem the instrument at par after an initial period of 5 years.</w:t>
      </w:r>
    </w:p>
    <w:p>
      <w:pPr>
        <w:autoSpaceDN w:val="0"/>
        <w:autoSpaceDE w:val="0"/>
        <w:widowControl/>
        <w:spacing w:line="224" w:lineRule="exact" w:before="138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Hybrid capital is subordinated to IBRD’s unsubordinated debt issuances, senior to IBRD equity and pari-passu with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all other subordinated issuances. Hybrid capital carries coupon rates similar to those of IBRD’s senior medium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long-term bonds. Interest on the hybrid capital is cancellable at the sole discretion of IBRD or mandatorily upon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occurrence of a trigger event (linked to the ratio of non-performing loans over usable equity and to the ratio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reported equity-to-assets).</w:t>
      </w:r>
    </w:p>
    <w:p>
      <w:pPr>
        <w:autoSpaceDN w:val="0"/>
        <w:autoSpaceDE w:val="0"/>
        <w:widowControl/>
        <w:spacing w:line="224" w:lineRule="exact" w:before="134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Hybrid capital principal is automatically cancelled in the event IBRD makes a call to its members for callable capital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for the sole purposes of meeting IBRD's liabilities.</w:t>
      </w:r>
    </w:p>
    <w:p>
      <w:pPr>
        <w:autoSpaceDN w:val="0"/>
        <w:autoSpaceDE w:val="0"/>
        <w:widowControl/>
        <w:spacing w:line="246" w:lineRule="exact" w:before="23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NOTE B—CAPITAL STOCK</w:t>
      </w:r>
    </w:p>
    <w:p>
      <w:pPr>
        <w:autoSpaceDN w:val="0"/>
        <w:autoSpaceDE w:val="0"/>
        <w:widowControl/>
        <w:spacing w:line="222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 provides a summary of changes in IBRD’s authorized and subscribed shares: </w:t>
      </w:r>
    </w:p>
    <w:p>
      <w:pPr>
        <w:autoSpaceDN w:val="0"/>
        <w:autoSpaceDE w:val="0"/>
        <w:widowControl/>
        <w:spacing w:line="222" w:lineRule="exact" w:before="136" w:after="5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B1: IBRD's Shares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7"/>
        <w:gridCol w:w="3147"/>
        <w:gridCol w:w="3147"/>
      </w:tblGrid>
      <w:tr>
        <w:trPr>
          <w:trHeight w:hRule="exact" w:val="24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Authorized shares</w:t>
            </w:r>
          </w:p>
        </w:tc>
        <w:tc>
          <w:tcPr>
            <w:tcW w:type="dxa" w:w="16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Subscribed shares</w:t>
            </w:r>
          </w:p>
        </w:tc>
      </w:tr>
      <w:tr>
        <w:trPr>
          <w:trHeight w:hRule="exact" w:val="230"/>
        </w:trPr>
        <w:tc>
          <w:tcPr>
            <w:tcW w:type="dxa" w:w="60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 of June 30, 2023</w:t>
            </w:r>
          </w:p>
        </w:tc>
        <w:tc>
          <w:tcPr>
            <w:tcW w:type="dxa" w:w="16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2,783,873 </w:t>
            </w:r>
          </w:p>
        </w:tc>
        <w:tc>
          <w:tcPr>
            <w:tcW w:type="dxa" w:w="16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2,634,728 </w:t>
            </w:r>
          </w:p>
        </w:tc>
      </w:tr>
      <w:tr>
        <w:trPr>
          <w:trHeight w:hRule="exact" w:val="250"/>
        </w:trPr>
        <w:tc>
          <w:tcPr>
            <w:tcW w:type="dxa" w:w="60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General Capital Increase/Selective Capital Increase (GCI/SCI)</w:t>
            </w:r>
          </w:p>
        </w:tc>
        <w:tc>
          <w:tcPr>
            <w:tcW w:type="dxa" w:w="16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6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43,370 </w:t>
            </w:r>
          </w:p>
        </w:tc>
      </w:tr>
      <w:tr>
        <w:trPr>
          <w:trHeight w:hRule="exact" w:val="230"/>
        </w:trPr>
        <w:tc>
          <w:tcPr>
            <w:tcW w:type="dxa" w:w="60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 of June 30, 2024</w:t>
            </w:r>
          </w:p>
        </w:tc>
        <w:tc>
          <w:tcPr>
            <w:tcW w:type="dxa" w:w="16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2,783,873 </w:t>
            </w:r>
          </w:p>
        </w:tc>
        <w:tc>
          <w:tcPr>
            <w:tcW w:type="dxa" w:w="16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2,678,098 </w:t>
            </w:r>
          </w:p>
        </w:tc>
      </w:tr>
      <w:tr>
        <w:trPr>
          <w:trHeight w:hRule="exact" w:val="250"/>
        </w:trPr>
        <w:tc>
          <w:tcPr>
            <w:tcW w:type="dxa" w:w="60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GCI/SCI</w:t>
            </w:r>
          </w:p>
        </w:tc>
        <w:tc>
          <w:tcPr>
            <w:tcW w:type="dxa" w:w="16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6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21,657 </w:t>
            </w:r>
          </w:p>
        </w:tc>
      </w:tr>
      <w:tr>
        <w:trPr>
          <w:trHeight w:hRule="exact" w:val="22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 of December 31, 2024</w:t>
            </w:r>
          </w:p>
        </w:tc>
        <w:tc>
          <w:tcPr>
            <w:tcW w:type="dxa" w:w="16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2,783,873 </w:t>
            </w:r>
          </w:p>
        </w:tc>
        <w:tc>
          <w:tcPr>
            <w:tcW w:type="dxa" w:w="16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2,699,755 </w:t>
            </w:r>
          </w:p>
        </w:tc>
      </w:tr>
    </w:tbl>
    <w:p>
      <w:pPr>
        <w:autoSpaceDN w:val="0"/>
        <w:autoSpaceDE w:val="0"/>
        <w:widowControl/>
        <w:spacing w:line="240" w:lineRule="exact" w:before="41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 provides a summary of the changes in subscribed capital, uncalled portion of subscriptions,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paid-in capital:</w:t>
      </w:r>
    </w:p>
    <w:p>
      <w:pPr>
        <w:autoSpaceDN w:val="0"/>
        <w:autoSpaceDE w:val="0"/>
        <w:widowControl/>
        <w:spacing w:line="222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B2: IBRD's Capital</w:t>
      </w:r>
    </w:p>
    <w:p>
      <w:pPr>
        <w:autoSpaceDN w:val="0"/>
        <w:autoSpaceDE w:val="0"/>
        <w:widowControl/>
        <w:spacing w:line="180" w:lineRule="exact" w:before="9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4" w:after="6"/>
        <w:ind w:left="0" w:right="1736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Uncalled portion of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50.0" w:type="dxa"/>
      </w:tblPr>
      <w:tblGrid>
        <w:gridCol w:w="3147"/>
        <w:gridCol w:w="3147"/>
        <w:gridCol w:w="3147"/>
      </w:tblGrid>
      <w:tr>
        <w:trPr>
          <w:trHeight w:hRule="exact" w:val="166"/>
        </w:trPr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25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Subscribed capital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subscriptions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34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Paid-in capital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60"/>
        <w:ind w:left="0" w:right="0"/>
      </w:pPr>
    </w:p>
    <w:p>
      <w:pPr>
        <w:sectPr>
          <w:pgSz w:w="12240" w:h="15840"/>
          <w:pgMar w:top="700" w:right="1370" w:bottom="360" w:left="1430" w:header="720" w:footer="720" w:gutter="0"/>
          <w:cols/>
          <w:docGrid w:linePitch="360"/>
        </w:sectPr>
      </w:pPr>
    </w:p>
    <w:p>
      <w:pPr>
        <w:autoSpaceDN w:val="0"/>
        <w:tabs>
          <w:tab w:pos="242" w:val="left"/>
        </w:tabs>
        <w:autoSpaceDE w:val="0"/>
        <w:widowControl/>
        <w:spacing w:line="228" w:lineRule="exact" w:before="0" w:after="0"/>
        <w:ind w:left="62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As of June 30, 2023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GCI/SCI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As of June 30, 2024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GCI/SCI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>As of December 31, 2024</w:t>
      </w:r>
    </w:p>
    <w:p>
      <w:pPr>
        <w:sectPr>
          <w:type w:val="continuous"/>
          <w:pgSz w:w="12240" w:h="15840"/>
          <w:pgMar w:top="700" w:right="1370" w:bottom="360" w:left="1430" w:header="720" w:footer="720" w:gutter="0"/>
          <w:cols w:num="2" w:equalWidth="0">
            <w:col w:w="3240" w:space="0"/>
            <w:col w:w="620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6.0000000000002" w:type="dxa"/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240"/>
        </w:trPr>
        <w:tc>
          <w:tcPr>
            <w:tcW w:type="dxa" w:w="424"/>
            <w:tcBorders>
              <w:top w:sz="8.0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96"/>
            <w:tcBorders>
              <w:top w:sz="8.0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317,840 </w:t>
            </w:r>
          </w:p>
        </w:tc>
        <w:tc>
          <w:tcPr>
            <w:tcW w:type="dxa" w:w="484"/>
            <w:tcBorders>
              <w:top w:sz="8.0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10"/>
            <w:tcBorders>
              <w:top w:sz="8.0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(296,021) </w:t>
            </w:r>
          </w:p>
        </w:tc>
        <w:tc>
          <w:tcPr>
            <w:tcW w:type="dxa" w:w="510"/>
            <w:tcBorders>
              <w:top w:sz="8.0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0"/>
            <w:tcBorders>
              <w:top w:sz="8.0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21,819 </w:t>
            </w:r>
          </w:p>
        </w:tc>
      </w:tr>
      <w:tr>
        <w:trPr>
          <w:trHeight w:hRule="exact" w:val="240"/>
        </w:trPr>
        <w:tc>
          <w:tcPr>
            <w:tcW w:type="dxa" w:w="424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9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5,232 </w:t>
            </w:r>
          </w:p>
        </w:tc>
        <w:tc>
          <w:tcPr>
            <w:tcW w:type="dxa" w:w="484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(4,599) </w:t>
            </w:r>
          </w:p>
        </w:tc>
        <w:tc>
          <w:tcPr>
            <w:tcW w:type="dxa" w:w="51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5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633 </w:t>
            </w:r>
          </w:p>
        </w:tc>
      </w:tr>
      <w:tr>
        <w:trPr>
          <w:trHeight w:hRule="exact" w:val="240"/>
        </w:trPr>
        <w:tc>
          <w:tcPr>
            <w:tcW w:type="dxa" w:w="424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96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096"/>
            </w:tblGrid>
            <w:tr>
              <w:trPr>
                <w:trHeight w:hRule="exact" w:val="220"/>
              </w:trPr>
              <w:tc>
                <w:tcPr>
                  <w:tcW w:type="dxa" w:w="86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323,072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84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(300,620) </w:t>
            </w:r>
          </w:p>
        </w:tc>
        <w:tc>
          <w:tcPr>
            <w:tcW w:type="dxa" w:w="510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50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22,452 </w:t>
            </w:r>
          </w:p>
        </w:tc>
      </w:tr>
      <w:tr>
        <w:trPr>
          <w:trHeight w:hRule="exact" w:val="240"/>
        </w:trPr>
        <w:tc>
          <w:tcPr>
            <w:tcW w:type="dxa" w:w="424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9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2,613 </w:t>
            </w:r>
          </w:p>
        </w:tc>
        <w:tc>
          <w:tcPr>
            <w:tcW w:type="dxa" w:w="484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(2,303) </w:t>
            </w:r>
          </w:p>
        </w:tc>
        <w:tc>
          <w:tcPr>
            <w:tcW w:type="dxa" w:w="51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5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310 </w:t>
            </w:r>
          </w:p>
        </w:tc>
      </w:tr>
      <w:tr>
        <w:trPr>
          <w:trHeight w:hRule="exact" w:val="200"/>
        </w:trPr>
        <w:tc>
          <w:tcPr>
            <w:tcW w:type="dxa" w:w="42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9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325,685 </w:t>
            </w:r>
          </w:p>
        </w:tc>
        <w:tc>
          <w:tcPr>
            <w:tcW w:type="dxa" w:w="48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1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(302,923) </w:t>
            </w:r>
          </w:p>
        </w:tc>
        <w:tc>
          <w:tcPr>
            <w:tcW w:type="dxa" w:w="51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22,762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0"/>
        <w:ind w:left="0" w:right="0"/>
      </w:pPr>
    </w:p>
    <w:p>
      <w:pPr>
        <w:sectPr>
          <w:type w:val="nextColumn"/>
          <w:pgSz w:w="12240" w:h="15840"/>
          <w:pgMar w:top="700" w:right="1370" w:bottom="360" w:left="1430" w:header="720" w:footer="720" w:gutter="0"/>
          <w:cols w:num="2" w:equalWidth="0">
            <w:col w:w="3240" w:space="0"/>
            <w:col w:w="620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exact" w:before="17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uncalled portion of subscriptions is subject to call only when required to meet the obligations incurred by IBRD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as a result of borrowings or guaranteeing loans.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On October 1, 2018, IBRD’s Board of Governors approved two resolutions that increased IBRD’s authorized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capital. The total increase in authorized capital was $57.5 billion, of which, $27.8 billion and $29.7 billion relate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GCI and SCI, respectively. Under the terms of the 2018 GCI and SCI, paid-in capital is expected to increase by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up to $7.5 billion. On May 23, 2023, the Board approved the extension of the subscription period for GCI and SCI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from October 1, 2023 to October 1, 2025. As of December 31, 2024, the cumulative subscription payments received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under the 2018 capital increases were $6.3 billion.</w:t>
      </w:r>
    </w:p>
    <w:p>
      <w:pPr>
        <w:autoSpaceDN w:val="0"/>
        <w:autoSpaceDE w:val="0"/>
        <w:widowControl/>
        <w:spacing w:line="224" w:lineRule="exact" w:before="708" w:after="0"/>
        <w:ind w:left="155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Condensed Quarterly Financial Statements: December 31, 2024 (Unaudited)     35</w:t>
      </w:r>
    </w:p>
    <w:p>
      <w:pPr>
        <w:sectPr>
          <w:type w:val="continuous"/>
          <w:pgSz w:w="12240" w:h="15840"/>
          <w:pgMar w:top="700" w:right="137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6" w:lineRule="exact" w:before="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NOTE C—INVESTMENTS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investments include the liquid asset portfolio and holdings relating to the Post Employment Benefit Plan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(PEBP) and the Post-Retirement Contribution Reserve Fund (PCRF).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Investments held by IBRD are designated as trading and reported at fair value or at face value which approximates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fair value. As of December 31, 2024, Investments were primarily comprised of government, agency and corporate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obligations and time deposits (51% and 44%, respectively), with all of the instruments classified as Level 1 or Level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2 within the fair value hierarchy. 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A summary of IBRD’s Investments-Trading is as follows: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C1: Investments - Trading composition</w:t>
      </w:r>
    </w:p>
    <w:p>
      <w:pPr>
        <w:autoSpaceDN w:val="0"/>
        <w:autoSpaceDE w:val="0"/>
        <w:widowControl/>
        <w:spacing w:line="178" w:lineRule="exact" w:before="9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4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December 31, 2024</w:t>
            </w:r>
          </w:p>
        </w:tc>
        <w:tc>
          <w:tcPr>
            <w:tcW w:type="dxa" w:w="2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7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  <w:tr>
        <w:trPr>
          <w:trHeight w:hRule="exact" w:val="236"/>
        </w:trPr>
        <w:tc>
          <w:tcPr>
            <w:tcW w:type="dxa" w:w="60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Government, agency and corporate obligations</w:t>
            </w:r>
          </w:p>
        </w:tc>
        <w:tc>
          <w:tcPr>
            <w:tcW w:type="dxa" w:w="520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4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45,361 </w:t>
            </w:r>
          </w:p>
        </w:tc>
        <w:tc>
          <w:tcPr>
            <w:tcW w:type="dxa" w:w="27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32,353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Time deposits</w:t>
            </w:r>
          </w:p>
        </w:tc>
        <w:tc>
          <w:tcPr>
            <w:tcW w:type="dxa" w:w="162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38,730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45,991 </w:t>
            </w:r>
          </w:p>
        </w:tc>
      </w:tr>
      <w:tr>
        <w:trPr>
          <w:trHeight w:hRule="exact" w:val="22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Asset-backed Securities (ABS)</w:t>
            </w:r>
          </w:p>
        </w:tc>
        <w:tc>
          <w:tcPr>
            <w:tcW w:type="dxa" w:w="162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2,324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1,880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fund investments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62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2,229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2,155 </w:t>
            </w:r>
          </w:p>
        </w:tc>
      </w:tr>
      <w:tr>
        <w:trPr>
          <w:trHeight w:hRule="exact" w:val="264"/>
        </w:trPr>
        <w:tc>
          <w:tcPr>
            <w:tcW w:type="dxa" w:w="60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Equity securities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624"/>
            <w:gridSpan w:val="2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333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349 </w:t>
            </w:r>
          </w:p>
        </w:tc>
      </w:tr>
      <w:tr>
        <w:trPr>
          <w:trHeight w:hRule="exact" w:val="22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88,977 </w:t>
            </w:r>
          </w:p>
        </w:tc>
        <w:tc>
          <w:tcPr>
            <w:tcW w:type="dxa" w:w="2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82,728 </w:t>
            </w:r>
          </w:p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27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Related to PEBP holdings. Other fund investments are comprised of investments in hedge funds, private equity funds,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commingled funds, credit strategy funds and real asset funds, at net asset value (NAV).</w:t>
      </w:r>
    </w:p>
    <w:p>
      <w:pPr>
        <w:autoSpaceDN w:val="0"/>
        <w:autoSpaceDE w:val="0"/>
        <w:widowControl/>
        <w:spacing w:line="240" w:lineRule="exact" w:before="7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manages its investments on a net portfolio basis. As of December 31, 2024, the largest holdings from a single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counterparty within the net investment portfolio was the Government of Singapore (12%). The following table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summarizes IBRD’s net investment portfolio position:</w:t>
      </w:r>
    </w:p>
    <w:p>
      <w:pPr>
        <w:autoSpaceDN w:val="0"/>
        <w:autoSpaceDE w:val="0"/>
        <w:widowControl/>
        <w:spacing w:line="222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C2: Net investment portfolio</w:t>
      </w:r>
    </w:p>
    <w:p>
      <w:pPr>
        <w:autoSpaceDN w:val="0"/>
        <w:autoSpaceDE w:val="0"/>
        <w:widowControl/>
        <w:spacing w:line="180" w:lineRule="exact" w:before="92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4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December 31, 2024</w:t>
            </w:r>
          </w:p>
        </w:tc>
        <w:tc>
          <w:tcPr>
            <w:tcW w:type="dxa" w:w="2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7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  <w:tr>
        <w:trPr>
          <w:trHeight w:hRule="exact" w:val="240"/>
        </w:trPr>
        <w:tc>
          <w:tcPr>
            <w:tcW w:type="dxa" w:w="60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Investments-Trading</w:t>
            </w:r>
          </w:p>
        </w:tc>
        <w:tc>
          <w:tcPr>
            <w:tcW w:type="dxa" w:w="5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88,977 </w:t>
            </w:r>
          </w:p>
        </w:tc>
        <w:tc>
          <w:tcPr>
            <w:tcW w:type="dxa" w:w="276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82,728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Securities purchased under resale agreements</w:t>
            </w:r>
          </w:p>
        </w:tc>
        <w:tc>
          <w:tcPr>
            <w:tcW w:type="dxa" w:w="16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 </w:t>
            </w:r>
          </w:p>
        </w:tc>
        <w:tc>
          <w:tcPr>
            <w:tcW w:type="dxa" w:w="1888"/>
            <w:vMerge/>
            <w:tcBorders>
              <w:top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79 </w:t>
            </w:r>
          </w:p>
        </w:tc>
      </w:tr>
      <w:tr>
        <w:trPr>
          <w:trHeight w:hRule="exact" w:val="208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Securities sold under repurchase agreements, securities lent under </w:t>
            </w:r>
          </w:p>
        </w:tc>
        <w:tc>
          <w:tcPr>
            <w:tcW w:type="dxa" w:w="162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6" w:after="0"/>
              <w:ind w:left="0" w:right="1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(157) </w:t>
            </w:r>
          </w:p>
        </w:tc>
        <w:tc>
          <w:tcPr>
            <w:tcW w:type="dxa" w:w="1888"/>
            <w:vMerge/>
            <w:tcBorders>
              <w:top w:sz="8.0" w:val="single" w:color="#000000"/>
            </w:tcBorders>
          </w:tcPr>
          <w:p/>
        </w:tc>
        <w:tc>
          <w:tcPr>
            <w:tcW w:type="dxa" w:w="13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6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(277) </w:t>
            </w:r>
          </w:p>
        </w:tc>
      </w:tr>
      <w:tr>
        <w:trPr>
          <w:trHeight w:hRule="exact" w:val="228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securities lending agreements, and payable for cash collateral received </w:t>
            </w:r>
            <w:r>
              <w:rPr>
                <w:w w:val="103.99999618530273"/>
                <w:rFonts w:ascii="Arial" w:hAnsi="Arial" w:eastAsia="Arial"/>
                <w:b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3776"/>
            <w:gridSpan w:val="2"/>
            <w:vMerge/>
            <w:tcBorders/>
          </w:tcPr>
          <w:p/>
        </w:tc>
        <w:tc>
          <w:tcPr>
            <w:tcW w:type="dxa" w:w="1888"/>
            <w:vMerge/>
            <w:tcBorders>
              <w:top w:sz="8.0" w:val="single" w:color="#000000"/>
            </w:tcBorders>
          </w:tcPr>
          <w:p/>
        </w:tc>
        <w:tc>
          <w:tcPr>
            <w:tcW w:type="dxa" w:w="188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78" w:lineRule="exact" w:before="20" w:after="32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Derivative assets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3147"/>
        <w:gridCol w:w="3147"/>
        <w:gridCol w:w="3147"/>
      </w:tblGrid>
      <w:tr>
        <w:trPr>
          <w:trHeight w:hRule="exact" w:val="224"/>
        </w:trPr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swaps and forward contracts</w:t>
            </w:r>
          </w:p>
        </w:tc>
        <w:tc>
          <w:tcPr>
            <w:tcW w:type="dxa" w:w="1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2,056 </w:t>
            </w:r>
          </w:p>
        </w:tc>
        <w:tc>
          <w:tcPr>
            <w:tcW w:type="dxa" w:w="16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812 </w:t>
            </w:r>
          </w:p>
        </w:tc>
      </w:tr>
      <w:tr>
        <w:trPr>
          <w:trHeight w:hRule="exact" w:val="240"/>
        </w:trPr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1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 </w:t>
            </w:r>
          </w:p>
        </w:tc>
        <w:tc>
          <w:tcPr>
            <w:tcW w:type="dxa" w:w="16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 </w:t>
            </w:r>
          </w:p>
        </w:tc>
      </w:tr>
      <w:tr>
        <w:trPr>
          <w:trHeight w:hRule="exact" w:val="254"/>
        </w:trPr>
        <w:tc>
          <w:tcPr>
            <w:tcW w:type="dxa" w:w="59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6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16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</w:tr>
      <w:tr>
        <w:trPr>
          <w:trHeight w:hRule="exact" w:val="240"/>
        </w:trPr>
        <w:tc>
          <w:tcPr>
            <w:tcW w:type="dxa" w:w="59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16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2,101 </w:t>
            </w:r>
          </w:p>
        </w:tc>
        <w:tc>
          <w:tcPr>
            <w:tcW w:type="dxa" w:w="16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827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32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Derivative liabilities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24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swaps and forward contracts</w:t>
            </w:r>
          </w:p>
        </w:tc>
        <w:tc>
          <w:tcPr>
            <w:tcW w:type="dxa" w:w="5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(56) </w:t>
            </w:r>
          </w:p>
        </w:tc>
        <w:tc>
          <w:tcPr>
            <w:tcW w:type="dxa" w:w="5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(68)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1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(10)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(450) </w:t>
            </w:r>
          </w:p>
        </w:tc>
      </w:tr>
      <w:tr>
        <w:trPr>
          <w:trHeight w:hRule="exact" w:val="254"/>
        </w:trPr>
        <w:tc>
          <w:tcPr>
            <w:tcW w:type="dxa" w:w="60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 xml:space="preserve"> b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1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1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1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</w:tr>
      <w:tr>
        <w:trPr>
          <w:trHeight w:hRule="exact" w:val="24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(66) </w:t>
            </w:r>
          </w:p>
        </w:tc>
        <w:tc>
          <w:tcPr>
            <w:tcW w:type="dxa" w:w="5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(518) </w:t>
            </w:r>
          </w:p>
        </w:tc>
      </w:tr>
      <w:tr>
        <w:trPr>
          <w:trHeight w:hRule="exact" w:val="226"/>
        </w:trPr>
        <w:tc>
          <w:tcPr>
            <w:tcW w:type="dxa" w:w="60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Cash held in investment portfolio </w:t>
            </w:r>
            <w:r>
              <w:rPr>
                <w:w w:val="103.99999618530273"/>
                <w:rFonts w:ascii="Arial" w:hAnsi="Arial" w:eastAsia="Arial"/>
                <w:b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52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306 </w:t>
            </w:r>
          </w:p>
        </w:tc>
        <w:tc>
          <w:tcPr>
            <w:tcW w:type="dxa" w:w="55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308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Receivable from investment securities traded and other assets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1,023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438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Payable for investment securities purchased </w:t>
            </w:r>
            <w:r>
              <w:rPr>
                <w:w w:val="103.99999618530273"/>
                <w:rFonts w:ascii="Arial" w:hAnsi="Arial" w:eastAsia="Arial"/>
                <w:b/>
                <w:i w:val="0"/>
                <w:color w:val="000000"/>
                <w:sz w:val="10"/>
              </w:rPr>
              <w:t>d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1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(63)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(561) </w:t>
            </w:r>
          </w:p>
        </w:tc>
      </w:tr>
      <w:tr>
        <w:trPr>
          <w:trHeight w:hRule="exact" w:val="254"/>
        </w:trPr>
        <w:tc>
          <w:tcPr>
            <w:tcW w:type="dxa" w:w="60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IFC PCRF payable </w:t>
            </w:r>
            <w:r>
              <w:rPr>
                <w:w w:val="103.99999618530273"/>
                <w:rFonts w:ascii="Arial" w:hAnsi="Arial" w:eastAsia="Arial"/>
                <w:b/>
                <w:i w:val="0"/>
                <w:color w:val="000000"/>
                <w:sz w:val="10"/>
              </w:rPr>
              <w:t>e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1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(416)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(344) </w:t>
            </w:r>
          </w:p>
        </w:tc>
      </w:tr>
      <w:tr>
        <w:trPr>
          <w:trHeight w:hRule="exact" w:val="22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investment portfolio</w:t>
            </w:r>
          </w:p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91,793 </w:t>
            </w:r>
          </w:p>
        </w:tc>
        <w:tc>
          <w:tcPr>
            <w:tcW w:type="dxa" w:w="5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82,680 </w:t>
            </w:r>
          </w:p>
        </w:tc>
      </w:tr>
    </w:tbl>
    <w:p>
      <w:pPr>
        <w:autoSpaceDN w:val="0"/>
        <w:autoSpaceDE w:val="0"/>
        <w:widowControl/>
        <w:spacing w:line="180" w:lineRule="exact" w:before="276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Includes $52 million of cash collateral received from counterparties under derivative agreements ($21 million—June 30, 2024).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Includes swaptions, options and futures contracts.</w:t>
      </w:r>
    </w:p>
    <w:p>
      <w:pPr>
        <w:autoSpaceDN w:val="0"/>
        <w:autoSpaceDE w:val="0"/>
        <w:widowControl/>
        <w:spacing w:line="180" w:lineRule="exact" w:before="60" w:after="0"/>
        <w:ind w:left="16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 c. This amount is included in Unrestricted cash under Due from banks on the Condensed Balance Sheets.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d. Includes $60 million of liabilities related to short sales ($59 million—June 30, 2024).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e. Liabilities are included in Other liabilities on the Condensed Balance Sheets.</w:t>
      </w:r>
    </w:p>
    <w:p>
      <w:pPr>
        <w:autoSpaceDN w:val="0"/>
        <w:autoSpaceDE w:val="0"/>
        <w:widowControl/>
        <w:spacing w:line="224" w:lineRule="exact" w:before="62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36     IBRD Condensed Quarterly Financial Statements: December 31, 2024 (Unaudited)</w:t>
      </w:r>
    </w:p>
    <w:p>
      <w:pPr>
        <w:sectPr>
          <w:pgSz w:w="12240" w:h="15840"/>
          <w:pgMar w:top="700" w:right="137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composition of IBRD’s net investment portfolio is as follows: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C3: Net investment portfolio composition</w:t>
      </w:r>
    </w:p>
    <w:p>
      <w:pPr>
        <w:autoSpaceDN w:val="0"/>
        <w:autoSpaceDE w:val="0"/>
        <w:widowControl/>
        <w:spacing w:line="178" w:lineRule="exact" w:before="9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0"/>
        <w:gridCol w:w="4720"/>
      </w:tblGrid>
      <w:tr>
        <w:trPr>
          <w:trHeight w:hRule="exact" w:val="240"/>
        </w:trPr>
        <w:tc>
          <w:tcPr>
            <w:tcW w:type="dxa" w:w="775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5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December 31, 2024</w:t>
            </w:r>
          </w:p>
        </w:tc>
        <w:tc>
          <w:tcPr>
            <w:tcW w:type="dxa" w:w="162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Net investment portfolio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38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Liquid assets</w:t>
            </w:r>
          </w:p>
        </w:tc>
        <w:tc>
          <w:tcPr>
            <w:tcW w:type="dxa" w:w="5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87,623 </w:t>
            </w:r>
          </w:p>
        </w:tc>
        <w:tc>
          <w:tcPr>
            <w:tcW w:type="dxa" w:w="5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78,792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PEBP holdings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3,017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2,939 </w:t>
            </w:r>
          </w:p>
        </w:tc>
      </w:tr>
      <w:tr>
        <w:trPr>
          <w:trHeight w:hRule="exact" w:val="240"/>
        </w:trPr>
        <w:tc>
          <w:tcPr>
            <w:tcW w:type="dxa" w:w="60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PCRF holdings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1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1,153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1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949 </w:t>
            </w:r>
          </w:p>
        </w:tc>
      </w:tr>
      <w:tr>
        <w:trPr>
          <w:trHeight w:hRule="exact" w:val="22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91,793 </w:t>
            </w:r>
          </w:p>
        </w:tc>
        <w:tc>
          <w:tcPr>
            <w:tcW w:type="dxa" w:w="5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82,680 </w:t>
            </w:r>
          </w:p>
        </w:tc>
      </w:tr>
    </w:tbl>
    <w:p>
      <w:pPr>
        <w:autoSpaceDN w:val="0"/>
        <w:autoSpaceDE w:val="0"/>
        <w:widowControl/>
        <w:spacing w:line="240" w:lineRule="exact" w:before="422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uses derivative instruments to manage the associated currency and interest rate risks in the portfolio.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details of these instruments, see Note F—Derivative Instruments. After considering the effects of these derivatives,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IBRD’s investment portfolio is predominantly denominated in U.S. dollars.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Commercial Credit Risk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the purpose of risk management, IBRD is party to a variety of financial transactions, certain of which involve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elements of credit risk. Credit risk exposure represents the maximum potential loss due to possible non-performance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by obligors and counterparties under the terms of the contracts. For all securities, IBRD limits trading to a list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authorized dealers and counterparties. In addition, IBRD may require collateral in connection with resale agreements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swap agreements. The collateral serves to mitigate IBRD’s exposure to credit risk. 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Swap Agreements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Credit risk is mitigated through the application of eligibility criteria and volume limits for transactions with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individual counterparties and through the use of mark-to-market collateral arrangements for swap transactions.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may require collateral in the form of cash or other approved liquid securities from individual counterparties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order to mitigate its credit exposure.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has entered into master derivative agreements that contain legally enforceable close-out netting provisions.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These agreements may further reduce the gross credit risk exposure related to the swaps. Credit risk with financial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assets subject to a master derivatives arrangement is further reduced under these agreements to the extent that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payments and receipts with the counterparty are netted at settlement. The reduction in exposure as a result of these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netting provisions can vary due to the impact of changes in market conditions on existing and new transactions.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extent of the reduction in exposure may therefore change substantially within a short period of time following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balance sheet date. For more information on netting and offsetting provisions, see Note F—Derivative Instruments.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following is a summary of the collateral received by IBRD for swap transactions: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C4: Collateral received</w:t>
      </w:r>
    </w:p>
    <w:p>
      <w:pPr>
        <w:autoSpaceDN w:val="0"/>
        <w:autoSpaceDE w:val="0"/>
        <w:widowControl/>
        <w:spacing w:line="178" w:lineRule="exact" w:before="9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0"/>
        <w:gridCol w:w="4720"/>
      </w:tblGrid>
      <w:tr>
        <w:trPr>
          <w:trHeight w:hRule="exact" w:val="240"/>
        </w:trPr>
        <w:tc>
          <w:tcPr>
            <w:tcW w:type="dxa" w:w="771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December 31, 2024</w:t>
            </w:r>
          </w:p>
        </w:tc>
        <w:tc>
          <w:tcPr>
            <w:tcW w:type="dxa" w:w="16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Collateral received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36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Cash</w:t>
            </w:r>
          </w:p>
        </w:tc>
        <w:tc>
          <w:tcPr>
            <w:tcW w:type="dxa" w:w="6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 </w:t>
            </w:r>
          </w:p>
        </w:tc>
        <w:tc>
          <w:tcPr>
            <w:tcW w:type="dxa" w:w="67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 </w:t>
            </w:r>
          </w:p>
        </w:tc>
      </w:tr>
      <w:tr>
        <w:trPr>
          <w:trHeight w:hRule="exact" w:val="244"/>
        </w:trPr>
        <w:tc>
          <w:tcPr>
            <w:tcW w:type="dxa" w:w="60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Securities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9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263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9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322 </w:t>
            </w:r>
          </w:p>
        </w:tc>
      </w:tr>
      <w:tr>
        <w:trPr>
          <w:trHeight w:hRule="exact" w:val="24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collateral received</w:t>
            </w:r>
          </w:p>
        </w:tc>
        <w:tc>
          <w:tcPr>
            <w:tcW w:type="dxa" w:w="6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315 </w:t>
            </w:r>
          </w:p>
        </w:tc>
        <w:tc>
          <w:tcPr>
            <w:tcW w:type="dxa" w:w="6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343 </w:t>
            </w:r>
          </w:p>
        </w:tc>
      </w:tr>
      <w:tr>
        <w:trPr>
          <w:trHeight w:hRule="exact" w:val="236"/>
        </w:trPr>
        <w:tc>
          <w:tcPr>
            <w:tcW w:type="dxa" w:w="60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Collateral permitted to be repledged</w:t>
            </w:r>
          </w:p>
        </w:tc>
        <w:tc>
          <w:tcPr>
            <w:tcW w:type="dxa" w:w="64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315 </w:t>
            </w:r>
          </w:p>
        </w:tc>
        <w:tc>
          <w:tcPr>
            <w:tcW w:type="dxa" w:w="67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343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Amount of collateral repledged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</w:tr>
      <w:tr>
        <w:trPr>
          <w:trHeight w:hRule="exact" w:val="484"/>
        </w:trPr>
        <w:tc>
          <w:tcPr>
            <w:tcW w:type="dxa" w:w="60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Amount of cash collateral invested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 </w:t>
            </w:r>
          </w:p>
        </w:tc>
      </w:tr>
    </w:tbl>
    <w:p>
      <w:pPr>
        <w:autoSpaceDN w:val="0"/>
        <w:autoSpaceDE w:val="0"/>
        <w:widowControl/>
        <w:spacing w:line="222" w:lineRule="exact" w:before="18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Securities Lending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may engage in securities lending and repurchases, against adequate collateral, as well as secured borrowing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and reverse repurchases (resales) of government and agency obligations, corporate securities, ABS and Mortgage-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backed securities (MBS). These transactions, if any, are conducted under legally enforceable master netting </w:t>
      </w:r>
    </w:p>
    <w:p>
      <w:pPr>
        <w:autoSpaceDN w:val="0"/>
        <w:autoSpaceDE w:val="0"/>
        <w:widowControl/>
        <w:spacing w:line="224" w:lineRule="exact" w:before="690" w:after="0"/>
        <w:ind w:left="155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Condensed Quarterly Financial Statements: December 31, 2024 (Unaudited)     37</w:t>
      </w:r>
    </w:p>
    <w:p>
      <w:pPr>
        <w:sectPr>
          <w:pgSz w:w="12240" w:h="15840"/>
          <w:pgMar w:top="700" w:right="137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arrangements, which allow IBRD to reduce its gross credit exposure related to these transactions. IBRD presents its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securities lending and repurchases, as well as resales, on a gross basis on the Condensed Balance Sheets. As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December 31, 2024, the amount that could potentially be offset as a result of legally enforceable master netting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arrangements was $60 million ($59 million—June 30, 2024).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Securities lending and repurchase agreements expose IBRD to several risks, including counterparty risk,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reinvestment risk, and risk of a collateral gap (due to increases or decrease in the fair value of collateral pledged).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has procedures in place to ensure that trading activity and balances under these agreements are below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predefined counterparty and maturity limits, and to actively manage net counterparty exposure, after collateral, using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daily market values. Whenever the collateral pledged by IBRD related to its borrowings under repurchase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agreements and securities lending agreements declines in value, the transaction is re-priced as appropriate by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returning cash or pledging additional collateral.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Transfers of securities by IBRD to counterparties are not accounted for as sales as the accounting criteria for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treatment as a sale have not been met. Counterparties are permitted to repledge these securities until the repurchase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date.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December 31, 2024, liabilities relating to securities transferred under repurchase or securities lending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agreements were $105 million ($256 million—June 30, 2024) and there were no unsettled trades relating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repurchase or securities lending agreements (Nil —June 30, 2024). There were no replacement trades entered into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anticipation of maturing trades of a similar amount (Nil—June 30, 2024). As of December 31, 2024 an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 June 30,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2024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, the remaining contractual maturity of these agreements was up to 30 days. The securities transferred were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mainly comprised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government and agency obligations, equity securities and sovereign debt.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the case of resale agreements, IBRD receives collateral in the form of liquid securities and is permitted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repledge these securities. While these transactions are legally considered to be true purchases and sales,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securities received are not recorded on IBRD’s Condensed Balance Sheets as the accounting criteria for treatment 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 sale have not been met. As of December 31, 2024 and June 30, 2024, there were no unsettled trades pertaining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securities purchased under resale agreements. For resale agreements, IBRD received securities with a fair value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$87 million as of December 31, 2024 ($79 million—June 30, 2024). As of December 31, 2024 and June 30, 2024,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none of these securities had been transferred under repurchase or security lending agreements.</w:t>
      </w:r>
    </w:p>
    <w:p>
      <w:pPr>
        <w:autoSpaceDN w:val="0"/>
        <w:autoSpaceDE w:val="0"/>
        <w:widowControl/>
        <w:spacing w:line="246" w:lineRule="exact" w:before="2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NOTE D—LOANS AND OTHER EXPOSURES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loans and other exposures (collectively, “exposures”) are generally made to, or guaranteed by, member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countries of IBRD. In addition, IBRD may also make loans to the International Finance Corporation (I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FC), 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affiliated organization, without any guarantee. Other exposures include signed loan commitments including Deferred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Drawdown Options (DDOs) and irrevocable commitments and guarantees. As of December 31, 2024, all of IBRD’s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loans were reported at amortized cost.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uses derivatives to manage the currency risk and the interest rate risk between its loans and borrowings.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details regarding derivatives used in the loan portfolio, see Note F—Derivative Instruments.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excludes the interest receivable balance from the amortized cost basis and from the related disclosures.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Accrued interest receivable on loans of $3,504 million as of December 31, 2024 ($3,706 million—June 30, 2024) 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included in Other assets on the Condensed Balance Sheets.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December 31, 2024, 0.5% of IBRD’s loans were in nonaccrual status and related to two borrowers (Table D2 -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Loans in nonaccrual status). The total accumulated provision for losses on loans in accrual status and nonaccrual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status accounted for 0.9% of the total loan portfolio. Based on IBRD’s internal credit quality indicators, the majority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loans outstanding are in the Medium-risk and High-risk classes. </w:t>
      </w:r>
    </w:p>
    <w:p>
      <w:pPr>
        <w:autoSpaceDN w:val="0"/>
        <w:autoSpaceDE w:val="0"/>
        <w:widowControl/>
        <w:spacing w:line="244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Credit Quality of Sovereign Exposures</w:t>
      </w:r>
    </w:p>
    <w:p>
      <w:pPr>
        <w:autoSpaceDN w:val="0"/>
        <w:autoSpaceDE w:val="0"/>
        <w:widowControl/>
        <w:spacing w:line="240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Based on an evaluation of IBRD’s exposures, management has determined that IBRD has one portfolio segment –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Sovereign Exposures. IBRD’s loans constitute the majority of the Sovereign Exposures portfolio segment.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country risk ratings are an assessment of its borrowers’ ability and willingness to repay IBRD on time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full. These ratings are internal credit quality indicators. Individual country risk ratings are derived on the basis of </w:t>
      </w:r>
    </w:p>
    <w:p>
      <w:pPr>
        <w:autoSpaceDN w:val="0"/>
        <w:autoSpaceDE w:val="0"/>
        <w:widowControl/>
        <w:spacing w:line="224" w:lineRule="exact" w:before="62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38     IBRD Condensed Quarterly Financial Statements: December 31, 2024 (Unaudited)</w:t>
      </w:r>
    </w:p>
    <w:p>
      <w:pPr>
        <w:sectPr>
          <w:pgSz w:w="12240" w:h="15840"/>
          <w:pgMar w:top="700" w:right="137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both quantitative and qualitative analysis. The components considered in the analysis can be grouped broadly into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eight categories: political risks; external debt and liquidity; fiscal policy and public debt burden; balance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payments risks; economic structure and growth prospects; monetary and exchange rate policy; financial sector risks;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corporate sector debt and vulnerabilities. The analysis also takes into account Environmental, Social,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Governance (ESG) factors. For the purpose of analyzing the risk characteristics of IBRD’s exposures, these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exposures are grouped into three classes in accordance with assigned borrower risk ratings, which relate to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likelihood of loss: Low, Medium and High-risk classes, as well as exposures in nonaccrual status.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borrowers’ country risk ratings are key determinants in the provision for losses. Country risk ratings are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grouped into pools of borrowers with similar credit ratings for the calculation of the expected credit losses. Exposure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certain countries in accrual status may be individually assessed on the basis that they do not share common risk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characteristics with an existing pool of exposures. All exposures for countries in nonaccrual status are individually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assessed. Country risk ratings are determined in review meetings that take place several times a year. All countries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are reviewed at least once a year, or more frequently, if circumstances warrant, to determine the appropriate ratings.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 assessment was also performed to determine whether a qualitative adjustment of the loan loss provision was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needed as of December 31, 2024, including consideration of global and macroeconomic events. Management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concluded that a qualitative adjustment beyond the regular application of IBRD’s loan loss provision framework was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not warranted.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Overdue Amounts</w:t>
      </w:r>
    </w:p>
    <w:p>
      <w:pPr>
        <w:autoSpaceDN w:val="0"/>
        <w:autoSpaceDE w:val="0"/>
        <w:widowControl/>
        <w:spacing w:line="240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considers loans to be past due when a borrower fails to make payment on any principal, interest or other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charges due to IBRD on the dates provided in the contractual loan agreement.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As of December 31, 2024, no principal or interest are overdue by more than three months for loans in accrual status.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following tables provide an aging analysis of the loans outstanding: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D1: Loan portfolio aging structure</w:t>
      </w:r>
    </w:p>
    <w:p>
      <w:pPr>
        <w:autoSpaceDN w:val="0"/>
        <w:autoSpaceDE w:val="0"/>
        <w:widowControl/>
        <w:spacing w:line="178" w:lineRule="exact" w:before="9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0"/>
        <w:ind w:left="0" w:right="2788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December 31, 2024</w:t>
      </w:r>
    </w:p>
    <w:p>
      <w:pPr>
        <w:autoSpaceDN w:val="0"/>
        <w:autoSpaceDE w:val="0"/>
        <w:widowControl/>
        <w:spacing w:line="180" w:lineRule="exact" w:before="64" w:after="6"/>
        <w:ind w:left="0" w:right="180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Total Past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16"/>
        </w:trPr>
        <w:tc>
          <w:tcPr>
            <w:tcW w:type="dxa" w:w="18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Days past due</w:t>
            </w:r>
          </w:p>
        </w:tc>
        <w:tc>
          <w:tcPr>
            <w:tcW w:type="dxa" w:w="15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7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Up to 45</w:t>
            </w:r>
          </w:p>
        </w:tc>
        <w:tc>
          <w:tcPr>
            <w:tcW w:type="dxa" w:w="8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46-60</w:t>
            </w:r>
          </w:p>
        </w:tc>
        <w:tc>
          <w:tcPr>
            <w:tcW w:type="dxa" w:w="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61-90</w:t>
            </w:r>
          </w:p>
        </w:tc>
        <w:tc>
          <w:tcPr>
            <w:tcW w:type="dxa" w:w="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91-180</w:t>
            </w:r>
          </w:p>
        </w:tc>
        <w:tc>
          <w:tcPr>
            <w:tcW w:type="dxa" w:w="9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Over 180</w:t>
            </w:r>
          </w:p>
        </w:tc>
        <w:tc>
          <w:tcPr>
            <w:tcW w:type="dxa" w:w="7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Due</w:t>
            </w:r>
          </w:p>
        </w:tc>
        <w:tc>
          <w:tcPr>
            <w:tcW w:type="dxa" w:w="9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Current</w:t>
            </w:r>
          </w:p>
        </w:tc>
        <w:tc>
          <w:tcPr>
            <w:tcW w:type="dxa" w:w="8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</w:tbl>
    <w:p>
      <w:pPr>
        <w:autoSpaceDN w:val="0"/>
        <w:autoSpaceDE w:val="0"/>
        <w:widowControl/>
        <w:spacing w:line="180" w:lineRule="exact" w:before="30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Risk Class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</w:tblGrid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Low</w:t>
            </w:r>
          </w:p>
        </w:tc>
        <w:tc>
          <w:tcPr>
            <w:tcW w:type="dxa" w:w="39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$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$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$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$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$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$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6,543 $ </w:t>
            </w:r>
          </w:p>
        </w:tc>
        <w:tc>
          <w:tcPr>
            <w:tcW w:type="dxa" w:w="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6,543 </w:t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Medium</w:t>
            </w:r>
          </w:p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22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3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 127,045  127,045 </w:t>
            </w:r>
          </w:p>
        </w:tc>
      </w:tr>
      <w:tr>
        <w:trPr>
          <w:trHeight w:hRule="exact" w:val="240"/>
        </w:trPr>
        <w:tc>
          <w:tcPr>
            <w:tcW w:type="dxa" w:w="2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High </w:t>
            </w:r>
          </w:p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8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 </w:t>
            </w:r>
          </w:p>
        </w:tc>
        <w:tc>
          <w:tcPr>
            <w:tcW w:type="dxa" w:w="8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8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8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223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31  137,088  137,119 </w:t>
            </w:r>
          </w:p>
        </w:tc>
      </w:tr>
      <w:tr>
        <w:trPr>
          <w:trHeight w:hRule="exact" w:val="240"/>
        </w:trPr>
        <w:tc>
          <w:tcPr>
            <w:tcW w:type="dxa" w:w="25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accrual status</w:t>
            </w:r>
          </w:p>
        </w:tc>
        <w:tc>
          <w:tcPr>
            <w:tcW w:type="dxa" w:w="39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 </w:t>
            </w:r>
          </w:p>
        </w:tc>
        <w:tc>
          <w:tcPr>
            <w:tcW w:type="dxa" w:w="8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8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8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2230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31  270,676  270,707 </w:t>
            </w:r>
          </w:p>
        </w:tc>
      </w:tr>
      <w:tr>
        <w:trPr>
          <w:trHeight w:hRule="exact" w:val="240"/>
        </w:trPr>
        <w:tc>
          <w:tcPr>
            <w:tcW w:type="dxa" w:w="2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nonaccrual status</w:t>
            </w:r>
          </w:p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8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 </w:t>
            </w:r>
          </w:p>
        </w:tc>
        <w:tc>
          <w:tcPr>
            <w:tcW w:type="dxa" w:w="8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 </w:t>
            </w:r>
          </w:p>
        </w:tc>
        <w:tc>
          <w:tcPr>
            <w:tcW w:type="dxa" w:w="8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723 </w:t>
            </w:r>
          </w:p>
        </w:tc>
        <w:tc>
          <w:tcPr>
            <w:tcW w:type="dxa" w:w="7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786 </w:t>
            </w:r>
          </w:p>
        </w:tc>
        <w:tc>
          <w:tcPr>
            <w:tcW w:type="dxa" w:w="8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615 </w:t>
            </w:r>
          </w:p>
        </w:tc>
        <w:tc>
          <w:tcPr>
            <w:tcW w:type="dxa" w:w="5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1,401 </w:t>
            </w:r>
          </w:p>
        </w:tc>
      </w:tr>
      <w:tr>
        <w:trPr>
          <w:trHeight w:hRule="exact" w:val="220"/>
        </w:trPr>
        <w:tc>
          <w:tcPr>
            <w:tcW w:type="dxa" w:w="2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13 $ </w:t>
            </w:r>
          </w:p>
        </w:tc>
        <w:tc>
          <w:tcPr>
            <w:tcW w:type="dxa" w:w="8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10 $ </w:t>
            </w:r>
          </w:p>
        </w:tc>
        <w:tc>
          <w:tcPr>
            <w:tcW w:type="dxa" w:w="8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49 $ </w:t>
            </w:r>
          </w:p>
        </w:tc>
        <w:tc>
          <w:tcPr>
            <w:tcW w:type="dxa" w:w="8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22 $ </w:t>
            </w:r>
          </w:p>
        </w:tc>
        <w:tc>
          <w:tcPr>
            <w:tcW w:type="dxa" w:w="8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723 $ </w:t>
            </w:r>
          </w:p>
        </w:tc>
        <w:tc>
          <w:tcPr>
            <w:tcW w:type="dxa" w:w="223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817 $ 271,291 $ 272,108 </w:t>
            </w:r>
          </w:p>
        </w:tc>
      </w:tr>
    </w:tbl>
    <w:p>
      <w:pPr>
        <w:autoSpaceDN w:val="0"/>
        <w:autoSpaceDE w:val="0"/>
        <w:widowControl/>
        <w:spacing w:line="222" w:lineRule="exact" w:before="4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D1.1</w:t>
      </w:r>
    </w:p>
    <w:p>
      <w:pPr>
        <w:autoSpaceDN w:val="0"/>
        <w:autoSpaceDE w:val="0"/>
        <w:widowControl/>
        <w:spacing w:line="180" w:lineRule="exact" w:before="9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60" w:after="0"/>
        <w:ind w:left="0" w:right="298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June 30, 2024</w:t>
      </w:r>
    </w:p>
    <w:p>
      <w:pPr>
        <w:autoSpaceDN w:val="0"/>
        <w:autoSpaceDE w:val="0"/>
        <w:widowControl/>
        <w:spacing w:line="178" w:lineRule="exact" w:before="64" w:after="8"/>
        <w:ind w:left="0" w:right="180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Total Past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14"/>
        </w:trPr>
        <w:tc>
          <w:tcPr>
            <w:tcW w:type="dxa" w:w="18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Days past due</w:t>
            </w:r>
          </w:p>
        </w:tc>
        <w:tc>
          <w:tcPr>
            <w:tcW w:type="dxa" w:w="15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17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Up to 45</w:t>
            </w:r>
          </w:p>
        </w:tc>
        <w:tc>
          <w:tcPr>
            <w:tcW w:type="dxa" w:w="8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46-60</w:t>
            </w:r>
          </w:p>
        </w:tc>
        <w:tc>
          <w:tcPr>
            <w:tcW w:type="dxa" w:w="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61-90</w:t>
            </w:r>
          </w:p>
        </w:tc>
        <w:tc>
          <w:tcPr>
            <w:tcW w:type="dxa" w:w="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91-180</w:t>
            </w:r>
          </w:p>
        </w:tc>
        <w:tc>
          <w:tcPr>
            <w:tcW w:type="dxa" w:w="9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Over 180</w:t>
            </w:r>
          </w:p>
        </w:tc>
        <w:tc>
          <w:tcPr>
            <w:tcW w:type="dxa" w:w="7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Due</w:t>
            </w:r>
          </w:p>
        </w:tc>
        <w:tc>
          <w:tcPr>
            <w:tcW w:type="dxa" w:w="9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Current</w:t>
            </w:r>
          </w:p>
        </w:tc>
        <w:tc>
          <w:tcPr>
            <w:tcW w:type="dxa" w:w="8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Risk Class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</w:tblGrid>
      <w:tr>
        <w:trPr>
          <w:trHeight w:hRule="exact" w:val="224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Low</w:t>
            </w:r>
          </w:p>
        </w:tc>
        <w:tc>
          <w:tcPr>
            <w:tcW w:type="dxa" w:w="4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$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$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$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$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$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$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6,935 $ </w:t>
            </w:r>
          </w:p>
        </w:tc>
        <w:tc>
          <w:tcPr>
            <w:tcW w:type="dxa" w:w="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6,935 </w:t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Medium</w:t>
            </w:r>
          </w:p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4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4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4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22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3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 124,106  124,106 </w:t>
            </w:r>
          </w:p>
        </w:tc>
      </w:tr>
      <w:tr>
        <w:trPr>
          <w:trHeight w:hRule="exact" w:val="254"/>
        </w:trPr>
        <w:tc>
          <w:tcPr>
            <w:tcW w:type="dxa" w:w="2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High </w:t>
            </w:r>
          </w:p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8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4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8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4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8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4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8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223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2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16  130,723  130,739 </w:t>
            </w:r>
          </w:p>
        </w:tc>
      </w:tr>
      <w:tr>
        <w:trPr>
          <w:trHeight w:hRule="exact" w:val="226"/>
        </w:trPr>
        <w:tc>
          <w:tcPr>
            <w:tcW w:type="dxa" w:w="25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accrual status</w:t>
            </w:r>
          </w:p>
        </w:tc>
        <w:tc>
          <w:tcPr>
            <w:tcW w:type="dxa" w:w="45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8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8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8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2230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16  261,764  261,780 </w:t>
            </w:r>
          </w:p>
        </w:tc>
      </w:tr>
      <w:tr>
        <w:trPr>
          <w:trHeight w:hRule="exact" w:val="254"/>
        </w:trPr>
        <w:tc>
          <w:tcPr>
            <w:tcW w:type="dxa" w:w="2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nonaccrual status</w:t>
            </w:r>
          </w:p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4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4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8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4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 </w:t>
            </w:r>
          </w:p>
        </w:tc>
        <w:tc>
          <w:tcPr>
            <w:tcW w:type="dxa" w:w="8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3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 </w:t>
            </w:r>
          </w:p>
        </w:tc>
        <w:tc>
          <w:tcPr>
            <w:tcW w:type="dxa" w:w="8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661 </w:t>
            </w:r>
          </w:p>
        </w:tc>
        <w:tc>
          <w:tcPr>
            <w:tcW w:type="dxa" w:w="7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726 </w:t>
            </w:r>
          </w:p>
        </w:tc>
        <w:tc>
          <w:tcPr>
            <w:tcW w:type="dxa" w:w="8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684 </w:t>
            </w:r>
          </w:p>
        </w:tc>
        <w:tc>
          <w:tcPr>
            <w:tcW w:type="dxa" w:w="5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1,410 </w:t>
            </w:r>
          </w:p>
        </w:tc>
      </w:tr>
      <w:tr>
        <w:trPr>
          <w:trHeight w:hRule="exact" w:val="220"/>
        </w:trPr>
        <w:tc>
          <w:tcPr>
            <w:tcW w:type="dxa" w:w="2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5 $ </w:t>
            </w:r>
          </w:p>
        </w:tc>
        <w:tc>
          <w:tcPr>
            <w:tcW w:type="dxa" w:w="8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10 $ </w:t>
            </w:r>
          </w:p>
        </w:tc>
        <w:tc>
          <w:tcPr>
            <w:tcW w:type="dxa" w:w="8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42 $ </w:t>
            </w:r>
          </w:p>
        </w:tc>
        <w:tc>
          <w:tcPr>
            <w:tcW w:type="dxa" w:w="8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24 $ </w:t>
            </w:r>
          </w:p>
        </w:tc>
        <w:tc>
          <w:tcPr>
            <w:tcW w:type="dxa" w:w="8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661 $ </w:t>
            </w:r>
          </w:p>
        </w:tc>
        <w:tc>
          <w:tcPr>
            <w:tcW w:type="dxa" w:w="223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742 $ 262,448 $ 263,190 </w:t>
            </w:r>
          </w:p>
        </w:tc>
      </w:tr>
    </w:tbl>
    <w:p>
      <w:pPr>
        <w:autoSpaceDN w:val="0"/>
        <w:autoSpaceDE w:val="0"/>
        <w:widowControl/>
        <w:spacing w:line="224" w:lineRule="exact" w:before="1202" w:after="0"/>
        <w:ind w:left="155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Condensed Quarterly Financial Statements: December 31, 2024 (Unaudited)     39</w:t>
      </w:r>
    </w:p>
    <w:p>
      <w:pPr>
        <w:sectPr>
          <w:pgSz w:w="12240" w:h="15840"/>
          <w:pgMar w:top="700" w:right="137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following tables provide a summary of selected financial information related to loans in nonaccrual status: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D2: Loans in nonaccrual status</w:t>
      </w:r>
    </w:p>
    <w:p>
      <w:pPr>
        <w:autoSpaceDN w:val="0"/>
        <w:autoSpaceDE w:val="0"/>
        <w:widowControl/>
        <w:spacing w:line="178" w:lineRule="exact" w:before="9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</w:tblGrid>
      <w:tr>
        <w:trPr>
          <w:trHeight w:hRule="exact" w:val="256"/>
        </w:trPr>
        <w:tc>
          <w:tcPr>
            <w:tcW w:type="dxa" w:w="123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2" w:after="0"/>
              <w:ind w:left="0" w:right="20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Borrower</w:t>
            </w:r>
          </w:p>
        </w:tc>
        <w:tc>
          <w:tcPr>
            <w:tcW w:type="dxa" w:w="15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0"/>
            <w:gridSpan w:val="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0" w:after="0"/>
              <w:ind w:left="0" w:right="25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Recorded </w:t>
            </w:r>
          </w:p>
        </w:tc>
        <w:tc>
          <w:tcPr>
            <w:tcW w:type="dxa" w:w="132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21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Accumulated </w:t>
            </w:r>
          </w:p>
        </w:tc>
        <w:tc>
          <w:tcPr>
            <w:tcW w:type="dxa" w:w="136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Average </w:t>
            </w:r>
          </w:p>
        </w:tc>
        <w:tc>
          <w:tcPr>
            <w:tcW w:type="dxa" w:w="2600"/>
            <w:gridSpan w:val="5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Overdue amounts</w:t>
            </w:r>
          </w:p>
        </w:tc>
      </w:tr>
      <w:tr>
        <w:trPr>
          <w:trHeight w:hRule="exact" w:val="184"/>
        </w:trPr>
        <w:tc>
          <w:tcPr>
            <w:tcW w:type="dxa" w:w="726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5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6" w:after="0"/>
              <w:ind w:left="2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Nonaccrual since</w:t>
            </w:r>
          </w:p>
        </w:tc>
        <w:tc>
          <w:tcPr>
            <w:tcW w:type="dxa" w:w="1452"/>
            <w:gridSpan w:val="2"/>
            <w:vMerge/>
            <w:tcBorders>
              <w:top w:sz="8.0" w:val="single" w:color="#000000"/>
            </w:tcBorders>
          </w:tcPr>
          <w:p/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23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Provision for </w:t>
            </w:r>
          </w:p>
        </w:tc>
        <w:tc>
          <w:tcPr>
            <w:tcW w:type="dxa" w:w="136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recorded </w:t>
            </w:r>
          </w:p>
        </w:tc>
        <w:tc>
          <w:tcPr>
            <w:tcW w:type="dxa" w:w="2600"/>
            <w:gridSpan w:val="5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7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Interest and </w:t>
            </w:r>
          </w:p>
        </w:tc>
      </w:tr>
      <w:tr>
        <w:trPr>
          <w:trHeight w:hRule="exact" w:val="220"/>
        </w:trPr>
        <w:tc>
          <w:tcPr>
            <w:tcW w:type="dxa" w:w="726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26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investment</w:t>
            </w:r>
          </w:p>
        </w:tc>
        <w:tc>
          <w:tcPr>
            <w:tcW w:type="dxa" w:w="13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loan losses</w:t>
            </w:r>
          </w:p>
        </w:tc>
        <w:tc>
          <w:tcPr>
            <w:tcW w:type="dxa" w:w="13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investment</w:t>
            </w:r>
          </w:p>
        </w:tc>
        <w:tc>
          <w:tcPr>
            <w:tcW w:type="dxa" w:w="123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Principal</w:t>
            </w:r>
          </w:p>
        </w:tc>
        <w:tc>
          <w:tcPr>
            <w:tcW w:type="dxa" w:w="137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33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Charges</w:t>
            </w:r>
          </w:p>
        </w:tc>
      </w:tr>
      <w:tr>
        <w:trPr>
          <w:trHeight w:hRule="exact" w:val="220"/>
        </w:trPr>
        <w:tc>
          <w:tcPr>
            <w:tcW w:type="dxa" w:w="12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Belarus</w:t>
            </w:r>
          </w:p>
        </w:tc>
        <w:tc>
          <w:tcPr>
            <w:tcW w:type="dxa" w:w="15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October 2022</w:t>
            </w:r>
          </w:p>
        </w:tc>
        <w:tc>
          <w:tcPr>
            <w:tcW w:type="dxa" w:w="6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976 </w:t>
            </w:r>
          </w:p>
        </w:tc>
        <w:tc>
          <w:tcPr>
            <w:tcW w:type="dxa" w:w="7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112 </w:t>
            </w:r>
          </w:p>
        </w:tc>
        <w:tc>
          <w:tcPr>
            <w:tcW w:type="dxa" w:w="6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987 </w:t>
            </w:r>
          </w:p>
        </w:tc>
        <w:tc>
          <w:tcPr>
            <w:tcW w:type="dxa" w:w="6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361 </w:t>
            </w:r>
          </w:p>
        </w:tc>
        <w:tc>
          <w:tcPr>
            <w:tcW w:type="dxa" w:w="768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109 </w:t>
            </w:r>
          </w:p>
        </w:tc>
      </w:tr>
      <w:tr>
        <w:trPr>
          <w:trHeight w:hRule="exact" w:val="260"/>
        </w:trPr>
        <w:tc>
          <w:tcPr>
            <w:tcW w:type="dxa" w:w="12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Zimbabwe</w:t>
            </w:r>
          </w:p>
        </w:tc>
        <w:tc>
          <w:tcPr>
            <w:tcW w:type="dxa" w:w="15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October 2000</w:t>
            </w:r>
          </w:p>
        </w:tc>
        <w:tc>
          <w:tcPr>
            <w:tcW w:type="dxa" w:w="13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425 </w:t>
            </w:r>
          </w:p>
        </w:tc>
        <w:tc>
          <w:tcPr>
            <w:tcW w:type="dxa" w:w="13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213 </w:t>
            </w:r>
          </w:p>
        </w:tc>
        <w:tc>
          <w:tcPr>
            <w:tcW w:type="dxa" w:w="13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426 </w:t>
            </w:r>
          </w:p>
        </w:tc>
        <w:tc>
          <w:tcPr>
            <w:tcW w:type="dxa" w:w="123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425 </w:t>
            </w:r>
          </w:p>
        </w:tc>
        <w:tc>
          <w:tcPr>
            <w:tcW w:type="dxa" w:w="137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700 </w:t>
            </w:r>
          </w:p>
        </w:tc>
      </w:tr>
      <w:tr>
        <w:trPr>
          <w:trHeight w:hRule="exact" w:val="220"/>
        </w:trPr>
        <w:tc>
          <w:tcPr>
            <w:tcW w:type="dxa" w:w="278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- December 31, 2024</w:t>
            </w:r>
          </w:p>
        </w:tc>
        <w:tc>
          <w:tcPr>
            <w:tcW w:type="dxa" w:w="6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1,401 </w:t>
            </w:r>
          </w:p>
        </w:tc>
        <w:tc>
          <w:tcPr>
            <w:tcW w:type="dxa" w:w="7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325 </w:t>
            </w:r>
          </w:p>
        </w:tc>
        <w:tc>
          <w:tcPr>
            <w:tcW w:type="dxa" w:w="6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1,413 </w:t>
            </w:r>
          </w:p>
        </w:tc>
        <w:tc>
          <w:tcPr>
            <w:tcW w:type="dxa" w:w="6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786 </w:t>
            </w:r>
          </w:p>
        </w:tc>
        <w:tc>
          <w:tcPr>
            <w:tcW w:type="dxa" w:w="768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809 </w:t>
            </w:r>
          </w:p>
        </w:tc>
      </w:tr>
      <w:tr>
        <w:trPr>
          <w:trHeight w:hRule="exact" w:val="240"/>
        </w:trPr>
        <w:tc>
          <w:tcPr>
            <w:tcW w:type="dxa" w:w="278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- June 30, 2024</w:t>
            </w:r>
          </w:p>
        </w:tc>
        <w:tc>
          <w:tcPr>
            <w:tcW w:type="dxa" w:w="6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1,410 </w:t>
            </w:r>
          </w:p>
        </w:tc>
        <w:tc>
          <w:tcPr>
            <w:tcW w:type="dxa" w:w="7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6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324</w:t>
            </w:r>
          </w:p>
        </w:tc>
        <w:tc>
          <w:tcPr>
            <w:tcW w:type="dxa" w:w="6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1,418 </w:t>
            </w:r>
          </w:p>
        </w:tc>
        <w:tc>
          <w:tcPr>
            <w:tcW w:type="dxa" w:w="6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5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726</w:t>
            </w:r>
          </w:p>
        </w:tc>
        <w:tc>
          <w:tcPr>
            <w:tcW w:type="dxa" w:w="70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668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767</w:t>
            </w:r>
          </w:p>
        </w:tc>
      </w:tr>
    </w:tbl>
    <w:p>
      <w:pPr>
        <w:autoSpaceDN w:val="0"/>
        <w:autoSpaceDE w:val="0"/>
        <w:widowControl/>
        <w:spacing w:line="240" w:lineRule="exact" w:before="41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the three and six months ended December 31, 2024, no new loans were placed in nonaccrual status 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restored to accrual status.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the three and six months ended December 31, 2024, interest and other revenue not recognized as a result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loans being in nonaccrual status was $20 million and $41 million, respectively ($19 million and $39 million– three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and six months ended December 31, 2023).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addition, during the three and six months ended December 31, 2024, no interest income was recognized on loans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nonaccrual status ($1 million and $2 million —three and six months ended December 31, 2023). Loan income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from countries in nonaccrual status is recognized upon receipt of payment.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considers the signature date of a loan agreement as the best indicator of the decision point in the origination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process, rather than the disbursement date. The tables below disclose the outstanding balances of IBRD’s loan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portfolio, classified by the year the loan agreement was signed. 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D3: Loan portfolio vintage disclosure</w:t>
      </w:r>
    </w:p>
    <w:p>
      <w:pPr>
        <w:autoSpaceDN w:val="0"/>
        <w:autoSpaceDE w:val="0"/>
        <w:widowControl/>
        <w:spacing w:line="178" w:lineRule="exact" w:before="9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0"/>
        <w:ind w:left="0" w:right="3012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December 31, 2024</w:t>
      </w:r>
    </w:p>
    <w:p>
      <w:pPr>
        <w:autoSpaceDN w:val="0"/>
        <w:autoSpaceDE w:val="0"/>
        <w:widowControl/>
        <w:spacing w:line="178" w:lineRule="exact" w:before="62" w:after="20"/>
        <w:ind w:left="0" w:right="422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Fiscal Year of Origination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86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00"/>
        </w:trPr>
        <w:tc>
          <w:tcPr>
            <w:tcW w:type="dxa" w:w="69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73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73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73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2022</w:t>
            </w:r>
          </w:p>
        </w:tc>
        <w:tc>
          <w:tcPr>
            <w:tcW w:type="dxa" w:w="73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2021</w:t>
            </w:r>
          </w:p>
        </w:tc>
        <w:tc>
          <w:tcPr>
            <w:tcW w:type="dxa" w:w="8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90" w:after="0"/>
              <w:ind w:left="0" w:right="18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Prior </w:t>
            </w:r>
          </w:p>
        </w:tc>
        <w:tc>
          <w:tcPr>
            <w:tcW w:type="dxa" w:w="88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22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CAT </w:t>
            </w:r>
          </w:p>
        </w:tc>
        <w:tc>
          <w:tcPr>
            <w:tcW w:type="dxa" w:w="91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23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CAT </w:t>
            </w:r>
          </w:p>
        </w:tc>
        <w:tc>
          <w:tcPr>
            <w:tcW w:type="dxa" w:w="10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22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</w:p>
        </w:tc>
      </w:tr>
      <w:tr>
        <w:trPr>
          <w:trHeight w:hRule="exact" w:val="200"/>
        </w:trPr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DDOs </w:t>
            </w:r>
          </w:p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7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DDOs </w:t>
            </w:r>
          </w:p>
        </w:tc>
        <w:tc>
          <w:tcPr>
            <w:tcW w:type="dxa" w:w="1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1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outstanding </w:t>
            </w:r>
          </w:p>
        </w:tc>
      </w:tr>
      <w:tr>
        <w:trPr>
          <w:trHeight w:hRule="exact" w:val="180"/>
        </w:trPr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Disbursed </w:t>
            </w:r>
          </w:p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0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Converted </w:t>
            </w:r>
          </w:p>
        </w:tc>
        <w:tc>
          <w:tcPr>
            <w:tcW w:type="dxa" w:w="1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6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as of </w:t>
            </w:r>
          </w:p>
        </w:tc>
      </w:tr>
      <w:tr>
        <w:trPr>
          <w:trHeight w:hRule="exact" w:val="200"/>
        </w:trPr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4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and </w:t>
            </w:r>
          </w:p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0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to Term </w:t>
            </w:r>
          </w:p>
        </w:tc>
        <w:tc>
          <w:tcPr>
            <w:tcW w:type="dxa" w:w="1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December </w:t>
            </w:r>
          </w:p>
        </w:tc>
      </w:tr>
      <w:tr>
        <w:trPr>
          <w:trHeight w:hRule="exact" w:val="226"/>
        </w:trPr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Years</w:t>
            </w:r>
          </w:p>
        </w:tc>
        <w:tc>
          <w:tcPr>
            <w:tcW w:type="dxa" w:w="8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Revolving</w:t>
            </w:r>
          </w:p>
        </w:tc>
        <w:tc>
          <w:tcPr>
            <w:tcW w:type="dxa" w:w="9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Loans</w:t>
            </w:r>
          </w:p>
        </w:tc>
        <w:tc>
          <w:tcPr>
            <w:tcW w:type="dxa" w:w="10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31, 2024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Risk Class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234"/>
        </w:trPr>
        <w:tc>
          <w:tcPr>
            <w:tcW w:type="dxa" w:w="20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Low</w:t>
            </w:r>
          </w:p>
        </w:tc>
        <w:tc>
          <w:tcPr>
            <w:tcW w:type="dxa" w:w="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167 </w:t>
            </w:r>
          </w:p>
        </w:tc>
        <w:tc>
          <w:tcPr>
            <w:tcW w:type="dxa" w:w="3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2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250 </w:t>
            </w:r>
          </w:p>
        </w:tc>
        <w:tc>
          <w:tcPr>
            <w:tcW w:type="dxa" w:w="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$ 6,125 </w:t>
            </w:r>
          </w:p>
        </w:tc>
        <w:tc>
          <w:tcPr>
            <w:tcW w:type="dxa" w:w="3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32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6,543 </w:t>
            </w:r>
          </w:p>
        </w:tc>
      </w:tr>
      <w:tr>
        <w:trPr>
          <w:trHeight w:hRule="exact" w:val="240"/>
        </w:trPr>
        <w:tc>
          <w:tcPr>
            <w:tcW w:type="dxa" w:w="20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Medium</w:t>
            </w:r>
          </w:p>
        </w:tc>
        <w:tc>
          <w:tcPr>
            <w:tcW w:type="dxa" w:w="7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4,821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8,082 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8,653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7,159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10,362 </w:t>
            </w:r>
          </w:p>
        </w:tc>
        <w:tc>
          <w:tcPr>
            <w:tcW w:type="dxa" w:w="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85,055 </w:t>
            </w:r>
          </w:p>
        </w:tc>
        <w:tc>
          <w:tcPr>
            <w:tcW w:type="dxa" w:w="524"/>
            <w:vMerge/>
            <w:tcBorders>
              <w:bottom w:sz="8.0" w:val="single" w:color="#000000"/>
            </w:tcBorders>
          </w:tcPr>
          <w:p/>
        </w:tc>
        <w:tc>
          <w:tcPr>
            <w:tcW w:type="dxa" w:w="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613 </w:t>
            </w:r>
          </w:p>
        </w:tc>
        <w:tc>
          <w:tcPr>
            <w:tcW w:type="dxa" w:w="524"/>
            <w:vMerge/>
            <w:tcBorders>
              <w:bottom w:sz="8.0" w:val="single" w:color="#000000"/>
            </w:tcBorders>
          </w:tcPr>
          <w:p/>
        </w:tc>
        <w:tc>
          <w:tcPr>
            <w:tcW w:type="dxa" w:w="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2,300 </w:t>
            </w:r>
          </w:p>
        </w:tc>
        <w:tc>
          <w:tcPr>
            <w:tcW w:type="dxa" w:w="10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127,045 </w:t>
            </w:r>
          </w:p>
        </w:tc>
      </w:tr>
      <w:tr>
        <w:trPr>
          <w:trHeight w:hRule="exact" w:val="246"/>
        </w:trPr>
        <w:tc>
          <w:tcPr>
            <w:tcW w:type="dxa" w:w="20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High</w:t>
            </w:r>
          </w:p>
        </w:tc>
        <w:tc>
          <w:tcPr>
            <w:tcW w:type="dxa" w:w="722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5,462 </w:t>
            </w:r>
          </w:p>
        </w:tc>
        <w:tc>
          <w:tcPr>
            <w:tcW w:type="dxa" w:w="7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13,642 </w:t>
            </w:r>
          </w:p>
        </w:tc>
        <w:tc>
          <w:tcPr>
            <w:tcW w:type="dxa" w:w="7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7,813 </w:t>
            </w:r>
          </w:p>
        </w:tc>
        <w:tc>
          <w:tcPr>
            <w:tcW w:type="dxa" w:w="7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12,232 </w:t>
            </w:r>
          </w:p>
        </w:tc>
        <w:tc>
          <w:tcPr>
            <w:tcW w:type="dxa" w:w="7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10,458 </w:t>
            </w:r>
          </w:p>
        </w:tc>
        <w:tc>
          <w:tcPr>
            <w:tcW w:type="dxa" w:w="812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86,632 </w:t>
            </w:r>
          </w:p>
        </w:tc>
        <w:tc>
          <w:tcPr>
            <w:tcW w:type="dxa" w:w="524"/>
            <w:vMerge/>
            <w:tcBorders>
              <w:bottom w:sz="8.0" w:val="single" w:color="#000000"/>
            </w:tcBorders>
          </w:tcPr>
          <w:p/>
        </w:tc>
        <w:tc>
          <w:tcPr>
            <w:tcW w:type="dxa" w:w="5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524"/>
            <w:vMerge/>
            <w:tcBorders>
              <w:bottom w:sz="8.0" w:val="single" w:color="#000000"/>
            </w:tcBorders>
          </w:tcPr>
          <w:p/>
        </w:tc>
        <w:tc>
          <w:tcPr>
            <w:tcW w:type="dxa" w:w="5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879 </w:t>
            </w:r>
          </w:p>
        </w:tc>
        <w:tc>
          <w:tcPr>
            <w:tcW w:type="dxa" w:w="10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137,119 </w:t>
            </w:r>
          </w:p>
        </w:tc>
      </w:tr>
      <w:tr>
        <w:trPr>
          <w:trHeight w:hRule="exact" w:val="234"/>
        </w:trPr>
        <w:tc>
          <w:tcPr>
            <w:tcW w:type="dxa" w:w="208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accrual status</w:t>
            </w:r>
          </w:p>
        </w:tc>
        <w:tc>
          <w:tcPr>
            <w:tcW w:type="dxa" w:w="722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10,284 </w:t>
            </w:r>
          </w:p>
        </w:tc>
        <w:tc>
          <w:tcPr>
            <w:tcW w:type="dxa" w:w="74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21,891 </w:t>
            </w:r>
          </w:p>
        </w:tc>
        <w:tc>
          <w:tcPr>
            <w:tcW w:type="dxa" w:w="72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16,466 </w:t>
            </w:r>
          </w:p>
        </w:tc>
        <w:tc>
          <w:tcPr>
            <w:tcW w:type="dxa" w:w="74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19,641 </w:t>
            </w:r>
          </w:p>
        </w:tc>
        <w:tc>
          <w:tcPr>
            <w:tcW w:type="dxa" w:w="74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20,820 </w:t>
            </w:r>
          </w:p>
        </w:tc>
        <w:tc>
          <w:tcPr>
            <w:tcW w:type="dxa" w:w="81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177,812 </w:t>
            </w:r>
          </w:p>
        </w:tc>
        <w:tc>
          <w:tcPr>
            <w:tcW w:type="dxa" w:w="37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614 </w:t>
            </w:r>
          </w:p>
        </w:tc>
        <w:tc>
          <w:tcPr>
            <w:tcW w:type="dxa" w:w="32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3,179 </w:t>
            </w:r>
          </w:p>
        </w:tc>
        <w:tc>
          <w:tcPr>
            <w:tcW w:type="dxa" w:w="100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270,707 </w:t>
            </w:r>
          </w:p>
        </w:tc>
      </w:tr>
      <w:tr>
        <w:trPr>
          <w:trHeight w:hRule="exact" w:val="246"/>
        </w:trPr>
        <w:tc>
          <w:tcPr>
            <w:tcW w:type="dxa" w:w="20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nonaccrual status</w:t>
            </w:r>
          </w:p>
        </w:tc>
        <w:tc>
          <w:tcPr>
            <w:tcW w:type="dxa" w:w="722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7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7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7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7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12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1,401 </w:t>
            </w:r>
          </w:p>
        </w:tc>
        <w:tc>
          <w:tcPr>
            <w:tcW w:type="dxa" w:w="52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52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0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1,401 </w:t>
            </w:r>
          </w:p>
        </w:tc>
      </w:tr>
      <w:tr>
        <w:trPr>
          <w:trHeight w:hRule="exact" w:val="220"/>
        </w:trPr>
        <w:tc>
          <w:tcPr>
            <w:tcW w:type="dxa" w:w="208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4474"/>
            <w:gridSpan w:val="11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$ 10,284 $ 21,891 $ 16,466 $ 19,641 $ 20,820 $ 179,213 </w:t>
            </w:r>
          </w:p>
        </w:tc>
        <w:tc>
          <w:tcPr>
            <w:tcW w:type="dxa" w:w="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614 </w:t>
            </w:r>
          </w:p>
        </w:tc>
        <w:tc>
          <w:tcPr>
            <w:tcW w:type="dxa" w:w="3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3,179 </w:t>
            </w:r>
          </w:p>
        </w:tc>
        <w:tc>
          <w:tcPr>
            <w:tcW w:type="dxa" w:w="100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$ 272,108 </w:t>
            </w:r>
          </w:p>
        </w:tc>
      </w:tr>
    </w:tbl>
    <w:p>
      <w:pPr>
        <w:autoSpaceDN w:val="0"/>
        <w:autoSpaceDE w:val="0"/>
        <w:widowControl/>
        <w:spacing w:line="224" w:lineRule="exact" w:before="379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40     IBRD Condensed Quarterly Financial Statements: December 31, 2024 (Unaudited)</w:t>
      </w:r>
    </w:p>
    <w:p>
      <w:pPr>
        <w:sectPr>
          <w:pgSz w:w="12240" w:h="15840"/>
          <w:pgMar w:top="700" w:right="137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D3.1</w:t>
      </w:r>
    </w:p>
    <w:p>
      <w:pPr>
        <w:autoSpaceDN w:val="0"/>
        <w:autoSpaceDE w:val="0"/>
        <w:widowControl/>
        <w:spacing w:line="178" w:lineRule="exact" w:before="9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0"/>
        <w:ind w:left="0" w:right="3208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June 30, 2024</w:t>
      </w:r>
    </w:p>
    <w:p>
      <w:pPr>
        <w:autoSpaceDN w:val="0"/>
        <w:autoSpaceDE w:val="0"/>
        <w:widowControl/>
        <w:spacing w:line="178" w:lineRule="exact" w:before="62" w:after="20"/>
        <w:ind w:left="0" w:right="422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Fiscal Year of Origination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86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00"/>
        </w:trPr>
        <w:tc>
          <w:tcPr>
            <w:tcW w:type="dxa" w:w="69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73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73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2022</w:t>
            </w:r>
          </w:p>
        </w:tc>
        <w:tc>
          <w:tcPr>
            <w:tcW w:type="dxa" w:w="73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2021</w:t>
            </w:r>
          </w:p>
        </w:tc>
        <w:tc>
          <w:tcPr>
            <w:tcW w:type="dxa" w:w="73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2020</w:t>
            </w:r>
          </w:p>
        </w:tc>
        <w:tc>
          <w:tcPr>
            <w:tcW w:type="dxa" w:w="8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90" w:after="0"/>
              <w:ind w:left="0" w:right="18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Prior </w:t>
            </w:r>
          </w:p>
        </w:tc>
        <w:tc>
          <w:tcPr>
            <w:tcW w:type="dxa" w:w="88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22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CAT </w:t>
            </w:r>
          </w:p>
        </w:tc>
        <w:tc>
          <w:tcPr>
            <w:tcW w:type="dxa" w:w="91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23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CAT </w:t>
            </w:r>
          </w:p>
        </w:tc>
        <w:tc>
          <w:tcPr>
            <w:tcW w:type="dxa" w:w="10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22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</w:p>
        </w:tc>
      </w:tr>
      <w:tr>
        <w:trPr>
          <w:trHeight w:hRule="exact" w:val="200"/>
        </w:trPr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DDOs </w:t>
            </w:r>
          </w:p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7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DDOs </w:t>
            </w:r>
          </w:p>
        </w:tc>
        <w:tc>
          <w:tcPr>
            <w:tcW w:type="dxa" w:w="1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1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outstanding </w:t>
            </w:r>
          </w:p>
        </w:tc>
      </w:tr>
      <w:tr>
        <w:trPr>
          <w:trHeight w:hRule="exact" w:val="180"/>
        </w:trPr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Disbursed </w:t>
            </w:r>
          </w:p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0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Converted </w:t>
            </w:r>
          </w:p>
        </w:tc>
        <w:tc>
          <w:tcPr>
            <w:tcW w:type="dxa" w:w="1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6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as of </w:t>
            </w:r>
          </w:p>
        </w:tc>
      </w:tr>
      <w:tr>
        <w:trPr>
          <w:trHeight w:hRule="exact" w:val="200"/>
        </w:trPr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4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and </w:t>
            </w:r>
          </w:p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0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to Term </w:t>
            </w:r>
          </w:p>
        </w:tc>
        <w:tc>
          <w:tcPr>
            <w:tcW w:type="dxa" w:w="1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1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June 30, </w:t>
            </w:r>
          </w:p>
        </w:tc>
      </w:tr>
      <w:tr>
        <w:trPr>
          <w:trHeight w:hRule="exact" w:val="226"/>
        </w:trPr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Years</w:t>
            </w:r>
          </w:p>
        </w:tc>
        <w:tc>
          <w:tcPr>
            <w:tcW w:type="dxa" w:w="8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Revolving</w:t>
            </w:r>
          </w:p>
        </w:tc>
        <w:tc>
          <w:tcPr>
            <w:tcW w:type="dxa" w:w="9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Loans</w:t>
            </w:r>
          </w:p>
        </w:tc>
        <w:tc>
          <w:tcPr>
            <w:tcW w:type="dxa" w:w="10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Risk Class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234"/>
        </w:trPr>
        <w:tc>
          <w:tcPr>
            <w:tcW w:type="dxa" w:w="20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Low</w:t>
            </w:r>
          </w:p>
        </w:tc>
        <w:tc>
          <w:tcPr>
            <w:tcW w:type="dxa" w:w="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150 </w:t>
            </w:r>
          </w:p>
        </w:tc>
        <w:tc>
          <w:tcPr>
            <w:tcW w:type="dxa" w:w="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250 </w:t>
            </w:r>
          </w:p>
        </w:tc>
        <w:tc>
          <w:tcPr>
            <w:tcW w:type="dxa" w:w="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2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$ 6,535 </w:t>
            </w:r>
          </w:p>
        </w:tc>
        <w:tc>
          <w:tcPr>
            <w:tcW w:type="dxa" w:w="3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32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6,935 </w:t>
            </w:r>
          </w:p>
        </w:tc>
      </w:tr>
      <w:tr>
        <w:trPr>
          <w:trHeight w:hRule="exact" w:val="240"/>
        </w:trPr>
        <w:tc>
          <w:tcPr>
            <w:tcW w:type="dxa" w:w="20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Medium</w:t>
            </w:r>
          </w:p>
        </w:tc>
        <w:tc>
          <w:tcPr>
            <w:tcW w:type="dxa" w:w="7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7,885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8,445 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6,893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10,126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8,421 </w:t>
            </w:r>
          </w:p>
        </w:tc>
        <w:tc>
          <w:tcPr>
            <w:tcW w:type="dxa" w:w="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79,700 </w:t>
            </w:r>
          </w:p>
        </w:tc>
        <w:tc>
          <w:tcPr>
            <w:tcW w:type="dxa" w:w="524"/>
            <w:vMerge/>
            <w:tcBorders>
              <w:bottom w:sz="8.0" w:val="single" w:color="#000000"/>
            </w:tcBorders>
          </w:tcPr>
          <w:p/>
        </w:tc>
        <w:tc>
          <w:tcPr>
            <w:tcW w:type="dxa" w:w="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302 </w:t>
            </w:r>
          </w:p>
        </w:tc>
        <w:tc>
          <w:tcPr>
            <w:tcW w:type="dxa" w:w="524"/>
            <w:vMerge/>
            <w:tcBorders>
              <w:bottom w:sz="8.0" w:val="single" w:color="#000000"/>
            </w:tcBorders>
          </w:tcPr>
          <w:p/>
        </w:tc>
        <w:tc>
          <w:tcPr>
            <w:tcW w:type="dxa" w:w="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2,334 </w:t>
            </w:r>
          </w:p>
        </w:tc>
        <w:tc>
          <w:tcPr>
            <w:tcW w:type="dxa" w:w="10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124,106 </w:t>
            </w:r>
          </w:p>
        </w:tc>
      </w:tr>
      <w:tr>
        <w:trPr>
          <w:trHeight w:hRule="exact" w:val="246"/>
        </w:trPr>
        <w:tc>
          <w:tcPr>
            <w:tcW w:type="dxa" w:w="20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High</w:t>
            </w:r>
          </w:p>
        </w:tc>
        <w:tc>
          <w:tcPr>
            <w:tcW w:type="dxa" w:w="722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11,645 </w:t>
            </w:r>
          </w:p>
        </w:tc>
        <w:tc>
          <w:tcPr>
            <w:tcW w:type="dxa" w:w="7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7,402 </w:t>
            </w:r>
          </w:p>
        </w:tc>
        <w:tc>
          <w:tcPr>
            <w:tcW w:type="dxa" w:w="7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11,897 </w:t>
            </w:r>
          </w:p>
        </w:tc>
        <w:tc>
          <w:tcPr>
            <w:tcW w:type="dxa" w:w="7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9,951 </w:t>
            </w:r>
          </w:p>
        </w:tc>
        <w:tc>
          <w:tcPr>
            <w:tcW w:type="dxa" w:w="7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8,486 </w:t>
            </w:r>
          </w:p>
        </w:tc>
        <w:tc>
          <w:tcPr>
            <w:tcW w:type="dxa" w:w="812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80,454 </w:t>
            </w:r>
          </w:p>
        </w:tc>
        <w:tc>
          <w:tcPr>
            <w:tcW w:type="dxa" w:w="524"/>
            <w:vMerge/>
            <w:tcBorders>
              <w:bottom w:sz="8.0" w:val="single" w:color="#000000"/>
            </w:tcBorders>
          </w:tcPr>
          <w:p/>
        </w:tc>
        <w:tc>
          <w:tcPr>
            <w:tcW w:type="dxa" w:w="5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524"/>
            <w:vMerge/>
            <w:tcBorders>
              <w:bottom w:sz="8.0" w:val="single" w:color="#000000"/>
            </w:tcBorders>
          </w:tcPr>
          <w:p/>
        </w:tc>
        <w:tc>
          <w:tcPr>
            <w:tcW w:type="dxa" w:w="5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903 </w:t>
            </w:r>
          </w:p>
        </w:tc>
        <w:tc>
          <w:tcPr>
            <w:tcW w:type="dxa" w:w="10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130,739 </w:t>
            </w:r>
          </w:p>
        </w:tc>
      </w:tr>
      <w:tr>
        <w:trPr>
          <w:trHeight w:hRule="exact" w:val="234"/>
        </w:trPr>
        <w:tc>
          <w:tcPr>
            <w:tcW w:type="dxa" w:w="208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accrual status</w:t>
            </w:r>
          </w:p>
        </w:tc>
        <w:tc>
          <w:tcPr>
            <w:tcW w:type="dxa" w:w="722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19,680 </w:t>
            </w:r>
          </w:p>
        </w:tc>
        <w:tc>
          <w:tcPr>
            <w:tcW w:type="dxa" w:w="74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15,847 </w:t>
            </w:r>
          </w:p>
        </w:tc>
        <w:tc>
          <w:tcPr>
            <w:tcW w:type="dxa" w:w="72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19,040 </w:t>
            </w:r>
          </w:p>
        </w:tc>
        <w:tc>
          <w:tcPr>
            <w:tcW w:type="dxa" w:w="74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20,077 </w:t>
            </w:r>
          </w:p>
        </w:tc>
        <w:tc>
          <w:tcPr>
            <w:tcW w:type="dxa" w:w="74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16,907 </w:t>
            </w:r>
          </w:p>
        </w:tc>
        <w:tc>
          <w:tcPr>
            <w:tcW w:type="dxa" w:w="81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166,689 </w:t>
            </w:r>
          </w:p>
        </w:tc>
        <w:tc>
          <w:tcPr>
            <w:tcW w:type="dxa" w:w="37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303 </w:t>
            </w:r>
          </w:p>
        </w:tc>
        <w:tc>
          <w:tcPr>
            <w:tcW w:type="dxa" w:w="32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3,237 </w:t>
            </w:r>
          </w:p>
        </w:tc>
        <w:tc>
          <w:tcPr>
            <w:tcW w:type="dxa" w:w="100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261,780 </w:t>
            </w:r>
          </w:p>
        </w:tc>
      </w:tr>
      <w:tr>
        <w:trPr>
          <w:trHeight w:hRule="exact" w:val="246"/>
        </w:trPr>
        <w:tc>
          <w:tcPr>
            <w:tcW w:type="dxa" w:w="20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nonaccrual status</w:t>
            </w:r>
          </w:p>
        </w:tc>
        <w:tc>
          <w:tcPr>
            <w:tcW w:type="dxa" w:w="722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7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7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7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7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115 </w:t>
            </w:r>
          </w:p>
        </w:tc>
        <w:tc>
          <w:tcPr>
            <w:tcW w:type="dxa" w:w="812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1,295 </w:t>
            </w:r>
          </w:p>
        </w:tc>
        <w:tc>
          <w:tcPr>
            <w:tcW w:type="dxa" w:w="52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52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0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1,410 </w:t>
            </w:r>
          </w:p>
        </w:tc>
      </w:tr>
      <w:tr>
        <w:trPr>
          <w:trHeight w:hRule="exact" w:val="220"/>
        </w:trPr>
        <w:tc>
          <w:tcPr>
            <w:tcW w:type="dxa" w:w="208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4474"/>
            <w:gridSpan w:val="11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$ 19,680 $ 15,847 $ 19,040 $ 20,077 $ 17,022 $ 167,984 </w:t>
            </w:r>
          </w:p>
        </w:tc>
        <w:tc>
          <w:tcPr>
            <w:tcW w:type="dxa" w:w="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303 </w:t>
            </w:r>
          </w:p>
        </w:tc>
        <w:tc>
          <w:tcPr>
            <w:tcW w:type="dxa" w:w="3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3,237 </w:t>
            </w:r>
          </w:p>
        </w:tc>
        <w:tc>
          <w:tcPr>
            <w:tcW w:type="dxa" w:w="100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$ 263,190 </w:t>
            </w:r>
          </w:p>
        </w:tc>
      </w:tr>
    </w:tbl>
    <w:p>
      <w:pPr>
        <w:autoSpaceDN w:val="0"/>
        <w:autoSpaceDE w:val="0"/>
        <w:widowControl/>
        <w:spacing w:line="240" w:lineRule="exact" w:before="4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the three and six months ended December 31, 2024, there were no Catastrophe Deferred Drawdown Options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(CAT DDOs) converted to term loans (Nil and $500 million—three and six months ended December 31, 2023).</w:t>
      </w:r>
    </w:p>
    <w:p>
      <w:pPr>
        <w:autoSpaceDN w:val="0"/>
        <w:autoSpaceDE w:val="0"/>
        <w:widowControl/>
        <w:spacing w:line="244" w:lineRule="exact" w:before="132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Accumulated Provision for Losses on Loans and Other Exposures</w:t>
      </w:r>
    </w:p>
    <w:p>
      <w:pPr>
        <w:autoSpaceDN w:val="0"/>
        <w:autoSpaceDE w:val="0"/>
        <w:widowControl/>
        <w:spacing w:line="240" w:lineRule="exact" w:before="12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 determines the appropriate level of accumulated provision for losses, which reflects the expected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losses inherent in IBRD’s exposures.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Delays in receiving loan payments result in economic losses to IBRD since it does not charge additional interest 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any overdue interest or loan charges. These economic losses are estimated as the difference between the present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value of payments of interest and charges made according to the related loan's contractual terms and the present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value of its expected future cash flows. It is IBRD’s practice not to write off its loans. Historically, all contractual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obligations associated with exposures in nonaccrual status were eventually cleared, thereby allowing borrowers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emerge from nonaccrual status. To date, no loans have been written off by IBRD.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 reassesses the adequacy of the accumulated provision on a quarterly basis and adjustments to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accumulated provision are recorded as a charge to or release of provision in the Condensed Statements of Income.</w:t>
      </w:r>
    </w:p>
    <w:p>
      <w:pPr>
        <w:autoSpaceDN w:val="0"/>
        <w:autoSpaceDE w:val="0"/>
        <w:widowControl/>
        <w:spacing w:line="220" w:lineRule="exact" w:before="14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Changes to the accumulated provision for losses on loans and other exposures are summarized below:</w:t>
      </w:r>
    </w:p>
    <w:p>
      <w:pPr>
        <w:autoSpaceDN w:val="0"/>
        <w:autoSpaceDE w:val="0"/>
        <w:widowControl/>
        <w:spacing w:line="222" w:lineRule="exact" w:before="7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D4: Accumulated provision</w:t>
      </w:r>
    </w:p>
    <w:p>
      <w:pPr>
        <w:autoSpaceDN w:val="0"/>
        <w:autoSpaceDE w:val="0"/>
        <w:widowControl/>
        <w:spacing w:line="180" w:lineRule="exact" w:before="9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60" w:after="20"/>
        <w:ind w:left="0" w:right="1948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December 31,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80"/>
      </w:tblGrid>
      <w:tr>
        <w:trPr>
          <w:trHeight w:hRule="exact" w:val="240"/>
        </w:trPr>
        <w:tc>
          <w:tcPr>
            <w:tcW w:type="dxa" w:w="43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Loans outstanding</w:t>
            </w:r>
          </w:p>
        </w:tc>
        <w:tc>
          <w:tcPr>
            <w:tcW w:type="dxa" w:w="154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Loan commitments</w:t>
            </w:r>
          </w:p>
        </w:tc>
        <w:tc>
          <w:tcPr>
            <w:tcW w:type="dxa" w:w="86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9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230"/>
        </w:trPr>
        <w:tc>
          <w:tcPr>
            <w:tcW w:type="dxa" w:w="43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Accumulated provision, beginning of the fiscal year</w:t>
            </w:r>
          </w:p>
        </w:tc>
        <w:tc>
          <w:tcPr>
            <w:tcW w:type="dxa" w:w="4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2,360 </w:t>
            </w:r>
          </w:p>
        </w:tc>
        <w:tc>
          <w:tcPr>
            <w:tcW w:type="dxa" w:w="6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514 </w:t>
            </w:r>
          </w:p>
        </w:tc>
        <w:tc>
          <w:tcPr>
            <w:tcW w:type="dxa" w:w="3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92 </w:t>
            </w:r>
          </w:p>
        </w:tc>
        <w:tc>
          <w:tcPr>
            <w:tcW w:type="dxa" w:w="9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$ 2,966 </w:t>
            </w:r>
          </w:p>
        </w:tc>
      </w:tr>
      <w:tr>
        <w:trPr>
          <w:trHeight w:hRule="exact" w:val="240"/>
        </w:trPr>
        <w:tc>
          <w:tcPr>
            <w:tcW w:type="dxa" w:w="4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Provision, net - charge (release) </w:t>
            </w:r>
          </w:p>
        </w:tc>
        <w:tc>
          <w:tcPr>
            <w:tcW w:type="dxa" w:w="14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165 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1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</w:t>
            </w:r>
          </w:p>
        </w:tc>
        <w:tc>
          <w:tcPr>
            <w:tcW w:type="dxa" w:w="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193 </w:t>
            </w:r>
          </w:p>
        </w:tc>
      </w:tr>
      <w:tr>
        <w:trPr>
          <w:trHeight w:hRule="exact" w:val="230"/>
        </w:trPr>
        <w:tc>
          <w:tcPr>
            <w:tcW w:type="dxa" w:w="43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Translation adjustment</w:t>
            </w:r>
          </w:p>
        </w:tc>
        <w:tc>
          <w:tcPr>
            <w:tcW w:type="dxa" w:w="145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(10) </w:t>
            </w:r>
          </w:p>
        </w:tc>
        <w:tc>
          <w:tcPr>
            <w:tcW w:type="dxa" w:w="15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(5) </w:t>
            </w:r>
          </w:p>
        </w:tc>
        <w:tc>
          <w:tcPr>
            <w:tcW w:type="dxa" w:w="8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1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(1) </w:t>
            </w:r>
          </w:p>
        </w:tc>
        <w:tc>
          <w:tcPr>
            <w:tcW w:type="dxa" w:w="9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(16)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"/>
        <w:ind w:left="0" w:right="0"/>
      </w:pPr>
    </w:p>
    <w:p>
      <w:pPr>
        <w:sectPr>
          <w:pgSz w:w="12240" w:h="15840"/>
          <w:pgMar w:top="700" w:right="137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6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Accumulated provision, end of the period </w:t>
      </w:r>
      <w:r>
        <w:br/>
      </w:r>
      <w:r>
        <w:rPr>
          <w:rFonts w:ascii="Arial" w:hAnsi="Arial" w:eastAsia="Arial"/>
          <w:b/>
          <w:i w:val="0"/>
          <w:color w:val="000000"/>
          <w:sz w:val="16"/>
        </w:rPr>
        <w:t>Composed of accumulated provision for losses on:</w:t>
      </w:r>
    </w:p>
    <w:p>
      <w:pPr>
        <w:sectPr>
          <w:type w:val="continuous"/>
          <w:pgSz w:w="12240" w:h="15840"/>
          <w:pgMar w:top="700" w:right="1370" w:bottom="360" w:left="1430" w:header="720" w:footer="720" w:gutter="0"/>
          <w:cols w:num="2" w:equalWidth="0">
            <w:col w:w="4178" w:space="0"/>
            <w:col w:w="526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6.00000000000023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170"/>
        </w:trPr>
        <w:tc>
          <w:tcPr>
            <w:tcW w:type="dxa" w:w="4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2,515 </w:t>
            </w:r>
          </w:p>
        </w:tc>
        <w:tc>
          <w:tcPr>
            <w:tcW w:type="dxa" w:w="6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539 </w:t>
            </w:r>
          </w:p>
        </w:tc>
        <w:tc>
          <w:tcPr>
            <w:tcW w:type="dxa" w:w="4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89 </w:t>
            </w:r>
          </w:p>
        </w:tc>
        <w:tc>
          <w:tcPr>
            <w:tcW w:type="dxa" w:w="9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$ 3,143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40"/>
        <w:ind w:left="0" w:right="0"/>
      </w:pPr>
    </w:p>
    <w:p>
      <w:pPr>
        <w:sectPr>
          <w:type w:val="nextColumn"/>
          <w:pgSz w:w="12240" w:h="15840"/>
          <w:pgMar w:top="700" w:right="1370" w:bottom="360" w:left="1430" w:header="720" w:footer="720" w:gutter="0"/>
          <w:cols w:num="2" w:equalWidth="0">
            <w:col w:w="4178" w:space="0"/>
            <w:col w:w="526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147"/>
        <w:gridCol w:w="3147"/>
        <w:gridCol w:w="3147"/>
      </w:tblGrid>
      <w:tr>
        <w:trPr>
          <w:trHeight w:hRule="exact" w:val="200"/>
        </w:trPr>
        <w:tc>
          <w:tcPr>
            <w:tcW w:type="dxa" w:w="4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accrual status</w:t>
            </w:r>
          </w:p>
        </w:tc>
        <w:tc>
          <w:tcPr>
            <w:tcW w:type="dxa" w:w="47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2,190 </w:t>
            </w:r>
          </w:p>
        </w:tc>
      </w:tr>
      <w:tr>
        <w:trPr>
          <w:trHeight w:hRule="exact" w:val="250"/>
        </w:trPr>
        <w:tc>
          <w:tcPr>
            <w:tcW w:type="dxa" w:w="43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Loans in nonaccrual status </w:t>
            </w:r>
          </w:p>
        </w:tc>
        <w:tc>
          <w:tcPr>
            <w:tcW w:type="dxa" w:w="3147"/>
            <w:vMerge/>
            <w:tcBorders>
              <w:bottom w:sz="8.0" w:val="single" w:color="#000000"/>
            </w:tcBorders>
          </w:tcPr>
          <w:p/>
        </w:tc>
        <w:tc>
          <w:tcPr>
            <w:tcW w:type="dxa" w:w="9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325 </w:t>
            </w:r>
          </w:p>
        </w:tc>
      </w:tr>
      <w:tr>
        <w:trPr>
          <w:trHeight w:hRule="exact" w:val="220"/>
        </w:trPr>
        <w:tc>
          <w:tcPr>
            <w:tcW w:type="dxa" w:w="43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4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2,515 </w:t>
            </w:r>
          </w:p>
        </w:tc>
      </w:tr>
    </w:tbl>
    <w:p>
      <w:pPr>
        <w:autoSpaceDN w:val="0"/>
        <w:autoSpaceDE w:val="0"/>
        <w:widowControl/>
        <w:spacing w:line="180" w:lineRule="exact" w:before="50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Loans, end of the period: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7"/>
        <w:gridCol w:w="3147"/>
        <w:gridCol w:w="3147"/>
      </w:tblGrid>
      <w:tr>
        <w:trPr>
          <w:trHeight w:hRule="exact" w:val="230"/>
        </w:trPr>
        <w:tc>
          <w:tcPr>
            <w:tcW w:type="dxa" w:w="4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accrual status</w:t>
            </w:r>
          </w:p>
        </w:tc>
        <w:tc>
          <w:tcPr>
            <w:tcW w:type="dxa" w:w="39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270,707 </w:t>
            </w:r>
          </w:p>
        </w:tc>
      </w:tr>
      <w:tr>
        <w:trPr>
          <w:trHeight w:hRule="exact" w:val="250"/>
        </w:trPr>
        <w:tc>
          <w:tcPr>
            <w:tcW w:type="dxa" w:w="439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Loans in nonaccrual status </w:t>
            </w:r>
          </w:p>
        </w:tc>
        <w:tc>
          <w:tcPr>
            <w:tcW w:type="dxa" w:w="3147"/>
            <w:vMerge/>
            <w:tcBorders>
              <w:bottom w:sz="8.0" w:val="single" w:color="#000000"/>
            </w:tcBorders>
          </w:tcPr>
          <w:p/>
        </w:tc>
        <w:tc>
          <w:tcPr>
            <w:tcW w:type="dxa" w:w="10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1,401 </w:t>
            </w:r>
          </w:p>
        </w:tc>
      </w:tr>
      <w:tr>
        <w:trPr>
          <w:trHeight w:hRule="exact" w:val="220"/>
        </w:trPr>
        <w:tc>
          <w:tcPr>
            <w:tcW w:type="dxa" w:w="43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loans outstanding</w:t>
            </w:r>
          </w:p>
        </w:tc>
        <w:tc>
          <w:tcPr>
            <w:tcW w:type="dxa" w:w="3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272,108 </w:t>
            </w:r>
          </w:p>
        </w:tc>
      </w:tr>
    </w:tbl>
    <w:p>
      <w:pPr>
        <w:autoSpaceDN w:val="0"/>
        <w:autoSpaceDE w:val="0"/>
        <w:widowControl/>
        <w:spacing w:line="224" w:lineRule="exact" w:before="1486" w:after="0"/>
        <w:ind w:left="155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Condensed Quarterly Financial Statements: December 31, 2024 (Unaudited)     41</w:t>
      </w:r>
    </w:p>
    <w:p>
      <w:pPr>
        <w:sectPr>
          <w:type w:val="continuous"/>
          <w:pgSz w:w="12240" w:h="15840"/>
          <w:pgMar w:top="700" w:right="137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D4.1:</w:t>
      </w:r>
    </w:p>
    <w:p>
      <w:pPr>
        <w:autoSpaceDN w:val="0"/>
        <w:autoSpaceDE w:val="0"/>
        <w:widowControl/>
        <w:spacing w:line="178" w:lineRule="exact" w:before="9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20"/>
        <w:ind w:left="0" w:right="233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June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203"/>
        <w:gridCol w:w="1203"/>
        <w:gridCol w:w="1203"/>
        <w:gridCol w:w="1203"/>
        <w:gridCol w:w="1203"/>
        <w:gridCol w:w="1203"/>
        <w:gridCol w:w="1203"/>
        <w:gridCol w:w="1203"/>
      </w:tblGrid>
      <w:tr>
        <w:trPr>
          <w:trHeight w:hRule="exact" w:val="240"/>
        </w:trPr>
        <w:tc>
          <w:tcPr>
            <w:tcW w:type="dxa" w:w="43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Loans outstanding</w:t>
            </w:r>
          </w:p>
        </w:tc>
        <w:tc>
          <w:tcPr>
            <w:tcW w:type="dxa" w:w="154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Loan commitments</w:t>
            </w:r>
          </w:p>
        </w:tc>
        <w:tc>
          <w:tcPr>
            <w:tcW w:type="dxa" w:w="84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12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9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5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240"/>
        </w:trPr>
        <w:tc>
          <w:tcPr>
            <w:tcW w:type="dxa" w:w="43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Accumulated provision, beginning of the fiscal year</w:t>
            </w:r>
          </w:p>
        </w:tc>
        <w:tc>
          <w:tcPr>
            <w:tcW w:type="dxa" w:w="4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2,336 </w:t>
            </w:r>
          </w:p>
        </w:tc>
        <w:tc>
          <w:tcPr>
            <w:tcW w:type="dxa" w:w="6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452 </w:t>
            </w:r>
          </w:p>
        </w:tc>
        <w:tc>
          <w:tcPr>
            <w:tcW w:type="dxa" w:w="3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90 </w:t>
            </w:r>
          </w:p>
        </w:tc>
        <w:tc>
          <w:tcPr>
            <w:tcW w:type="dxa" w:w="9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$ 2,878 </w:t>
            </w:r>
          </w:p>
        </w:tc>
      </w:tr>
      <w:tr>
        <w:trPr>
          <w:trHeight w:hRule="exact" w:val="240"/>
        </w:trPr>
        <w:tc>
          <w:tcPr>
            <w:tcW w:type="dxa" w:w="4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Provision, net - charge</w:t>
            </w:r>
          </w:p>
        </w:tc>
        <w:tc>
          <w:tcPr>
            <w:tcW w:type="dxa" w:w="14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 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64 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94 </w:t>
            </w:r>
          </w:p>
        </w:tc>
      </w:tr>
      <w:tr>
        <w:trPr>
          <w:trHeight w:hRule="exact" w:val="240"/>
        </w:trPr>
        <w:tc>
          <w:tcPr>
            <w:tcW w:type="dxa" w:w="43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Translation adjustment</w:t>
            </w:r>
          </w:p>
        </w:tc>
        <w:tc>
          <w:tcPr>
            <w:tcW w:type="dxa" w:w="145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(5) </w:t>
            </w:r>
          </w:p>
        </w:tc>
        <w:tc>
          <w:tcPr>
            <w:tcW w:type="dxa" w:w="15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</w:t>
            </w:r>
          </w:p>
        </w:tc>
        <w:tc>
          <w:tcPr>
            <w:tcW w:type="dxa" w:w="8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9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(6) </w:t>
            </w:r>
          </w:p>
        </w:tc>
      </w:tr>
      <w:tr>
        <w:trPr>
          <w:trHeight w:hRule="exact" w:val="220"/>
        </w:trPr>
        <w:tc>
          <w:tcPr>
            <w:tcW w:type="dxa" w:w="43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Accumulated provision, end of the fiscal year</w:t>
            </w:r>
          </w:p>
        </w:tc>
        <w:tc>
          <w:tcPr>
            <w:tcW w:type="dxa" w:w="4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2,360 </w:t>
            </w:r>
          </w:p>
        </w:tc>
        <w:tc>
          <w:tcPr>
            <w:tcW w:type="dxa" w:w="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514 </w:t>
            </w:r>
          </w:p>
        </w:tc>
        <w:tc>
          <w:tcPr>
            <w:tcW w:type="dxa" w:w="3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92 </w:t>
            </w:r>
          </w:p>
        </w:tc>
        <w:tc>
          <w:tcPr>
            <w:tcW w:type="dxa" w:w="9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$ 2,966 </w:t>
            </w:r>
          </w:p>
        </w:tc>
      </w:tr>
    </w:tbl>
    <w:p>
      <w:pPr>
        <w:autoSpaceDN w:val="0"/>
        <w:autoSpaceDE w:val="0"/>
        <w:widowControl/>
        <w:spacing w:line="178" w:lineRule="exact" w:before="42" w:after="32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Composed of accumulated provision for losses 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209"/>
        <w:gridCol w:w="3209"/>
        <w:gridCol w:w="3209"/>
      </w:tblGrid>
      <w:tr>
        <w:trPr>
          <w:trHeight w:hRule="exact" w:val="238"/>
        </w:trPr>
        <w:tc>
          <w:tcPr>
            <w:tcW w:type="dxa" w:w="4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accrual status</w:t>
            </w:r>
          </w:p>
        </w:tc>
        <w:tc>
          <w:tcPr>
            <w:tcW w:type="dxa" w:w="47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2,036 </w:t>
            </w:r>
          </w:p>
        </w:tc>
      </w:tr>
      <w:tr>
        <w:trPr>
          <w:trHeight w:hRule="exact" w:val="240"/>
        </w:trPr>
        <w:tc>
          <w:tcPr>
            <w:tcW w:type="dxa" w:w="43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nonaccrual status</w:t>
            </w:r>
          </w:p>
        </w:tc>
        <w:tc>
          <w:tcPr>
            <w:tcW w:type="dxa" w:w="3209"/>
            <w:vMerge/>
            <w:tcBorders>
              <w:bottom w:sz="8.0" w:val="single" w:color="#000000"/>
            </w:tcBorders>
          </w:tcPr>
          <w:p/>
        </w:tc>
        <w:tc>
          <w:tcPr>
            <w:tcW w:type="dxa" w:w="9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324 </w:t>
            </w:r>
          </w:p>
        </w:tc>
      </w:tr>
      <w:tr>
        <w:trPr>
          <w:trHeight w:hRule="exact" w:val="220"/>
        </w:trPr>
        <w:tc>
          <w:tcPr>
            <w:tcW w:type="dxa" w:w="43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4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2,360 </w:t>
            </w:r>
          </w:p>
        </w:tc>
      </w:tr>
    </w:tbl>
    <w:p>
      <w:pPr>
        <w:autoSpaceDN w:val="0"/>
        <w:autoSpaceDE w:val="0"/>
        <w:widowControl/>
        <w:spacing w:line="178" w:lineRule="exact" w:before="52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Loans, end of the fiscal year: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09"/>
        <w:gridCol w:w="3209"/>
        <w:gridCol w:w="3209"/>
      </w:tblGrid>
      <w:tr>
        <w:trPr>
          <w:trHeight w:hRule="exact" w:val="238"/>
        </w:trPr>
        <w:tc>
          <w:tcPr>
            <w:tcW w:type="dxa" w:w="4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accrual status</w:t>
            </w:r>
          </w:p>
        </w:tc>
        <w:tc>
          <w:tcPr>
            <w:tcW w:type="dxa" w:w="39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261,780 </w:t>
            </w:r>
          </w:p>
        </w:tc>
      </w:tr>
      <w:tr>
        <w:trPr>
          <w:trHeight w:hRule="exact" w:val="240"/>
        </w:trPr>
        <w:tc>
          <w:tcPr>
            <w:tcW w:type="dxa" w:w="439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nonaccrual status</w:t>
            </w:r>
          </w:p>
        </w:tc>
        <w:tc>
          <w:tcPr>
            <w:tcW w:type="dxa" w:w="3209"/>
            <w:vMerge/>
            <w:tcBorders>
              <w:bottom w:sz="8.0" w:val="single" w:color="#000000"/>
            </w:tcBorders>
          </w:tcPr>
          <w:p/>
        </w:tc>
        <w:tc>
          <w:tcPr>
            <w:tcW w:type="dxa" w:w="10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1,410 </w:t>
            </w:r>
          </w:p>
        </w:tc>
      </w:tr>
      <w:tr>
        <w:trPr>
          <w:trHeight w:hRule="exact" w:val="220"/>
        </w:trPr>
        <w:tc>
          <w:tcPr>
            <w:tcW w:type="dxa" w:w="43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loans outstanding</w:t>
            </w:r>
          </w:p>
        </w:tc>
        <w:tc>
          <w:tcPr>
            <w:tcW w:type="dxa" w:w="3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263,190 </w:t>
            </w:r>
          </w:p>
        </w:tc>
      </w:tr>
    </w:tbl>
    <w:p>
      <w:pPr>
        <w:autoSpaceDN w:val="0"/>
        <w:autoSpaceDE w:val="0"/>
        <w:widowControl/>
        <w:spacing w:line="192" w:lineRule="exact" w:before="300" w:after="0"/>
        <w:ind w:left="242" w:right="576" w:hanging="18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Primarily relates to guarantees and does not include recoverable assets relating to certain guarantees received (including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guarantees received under the Exposure Exchange Agreements) or the benefit of credit enhancements that are derivatives. </w:t>
      </w:r>
      <w:r>
        <w:rPr>
          <w:rFonts w:ascii="Arial" w:hAnsi="Arial" w:eastAsia="Arial"/>
          <w:b w:val="0"/>
          <w:i/>
          <w:color w:val="000000"/>
          <w:sz w:val="16"/>
        </w:rPr>
        <w:t>For more details, see Guarantees section.</w:t>
      </w:r>
    </w:p>
    <w:p>
      <w:pPr>
        <w:autoSpaceDN w:val="0"/>
        <w:autoSpaceDE w:val="0"/>
        <w:widowControl/>
        <w:spacing w:line="180" w:lineRule="exact" w:before="280" w:after="20"/>
        <w:ind w:left="0" w:right="2842" w:firstLine="0"/>
        <w:jc w:val="right"/>
      </w:pPr>
      <w:r>
        <w:rPr>
          <w:rFonts w:ascii="Arial" w:hAnsi="Arial" w:eastAsia="Arial"/>
          <w:b/>
          <w:i/>
          <w:color w:val="000000"/>
          <w:sz w:val="16"/>
        </w:rPr>
        <w:t>Reported 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86.0" w:type="dxa"/>
      </w:tblPr>
      <w:tblGrid>
        <w:gridCol w:w="4813"/>
        <w:gridCol w:w="4813"/>
      </w:tblGrid>
      <w:tr>
        <w:trPr>
          <w:trHeight w:hRule="exact" w:val="240"/>
        </w:trPr>
        <w:tc>
          <w:tcPr>
            <w:tcW w:type="dxa" w:w="29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64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6"/>
              </w:rPr>
              <w:t>Condensed Balance Sheets</w:t>
            </w:r>
          </w:p>
        </w:tc>
        <w:tc>
          <w:tcPr>
            <w:tcW w:type="dxa" w:w="36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510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6"/>
              </w:rPr>
              <w:t>Condensed Statements of Income</w:t>
            </w:r>
          </w:p>
        </w:tc>
      </w:tr>
    </w:tbl>
    <w:p>
      <w:pPr>
        <w:autoSpaceDN w:val="0"/>
        <w:autoSpaceDE w:val="0"/>
        <w:widowControl/>
        <w:spacing w:line="178" w:lineRule="exact" w:before="14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Accumulated Provision for Losses 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.0" w:type="dxa"/>
      </w:tblPr>
      <w:tblGrid>
        <w:gridCol w:w="3209"/>
        <w:gridCol w:w="3209"/>
        <w:gridCol w:w="3209"/>
      </w:tblGrid>
      <w:tr>
        <w:trPr>
          <w:trHeight w:hRule="exact" w:val="222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outstanding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3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Accumulated provision for loan losses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Provision for losses on loans and other exposures</w:t>
            </w:r>
          </w:p>
        </w:tc>
      </w:tr>
      <w:tr>
        <w:trPr>
          <w:trHeight w:hRule="exact" w:val="236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 commitments and other 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3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liabilities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Provision for losses on loans and other exposures</w:t>
            </w:r>
          </w:p>
        </w:tc>
      </w:tr>
    </w:tbl>
    <w:p>
      <w:pPr>
        <w:autoSpaceDN w:val="0"/>
        <w:autoSpaceDE w:val="0"/>
        <w:widowControl/>
        <w:spacing w:line="178" w:lineRule="exact" w:before="6" w:after="0"/>
        <w:ind w:left="18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exposures</w:t>
      </w:r>
    </w:p>
    <w:p>
      <w:pPr>
        <w:autoSpaceDN w:val="0"/>
        <w:autoSpaceDE w:val="0"/>
        <w:widowControl/>
        <w:spacing w:line="240" w:lineRule="exact" w:before="442" w:after="0"/>
        <w:ind w:left="10" w:right="208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accumulated provision for losses on loan and other exposures as of December 31, 2024 was $3,143 million,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compared to $2,966 million as of June 30, 2024. The increase of $177 million in the accumulated provision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losses on loan and other exposures is primarily driven by the increase in exposure and increase in severity from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increase in relevant forward interest rates. 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Guarantees</w:t>
      </w:r>
    </w:p>
    <w:p>
      <w:pPr>
        <w:autoSpaceDN w:val="0"/>
        <w:autoSpaceDE w:val="0"/>
        <w:widowControl/>
        <w:spacing w:line="222" w:lineRule="exact" w:before="14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Guarantees provided</w:t>
      </w:r>
    </w:p>
    <w:p>
      <w:pPr>
        <w:autoSpaceDN w:val="0"/>
        <w:autoSpaceDE w:val="0"/>
        <w:widowControl/>
        <w:spacing w:line="240" w:lineRule="exact" w:before="120" w:after="0"/>
        <w:ind w:left="10" w:right="206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Guarantees of $7,097 million were outstanding as of December 31, 2024 ($7,168 million—June 30, 2024), including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guarantees provided under the EEA. These amounts represent the maximum potential amount of undiscounted future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payments that IBRD could be required to make under these guarantees and are not included in the Condensed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Balance Sheets. These guarantees have original maturities ranging between 10 and 23 years and expire in decreasing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amounts through 2047.</w:t>
      </w:r>
    </w:p>
    <w:p>
      <w:pPr>
        <w:autoSpaceDN w:val="0"/>
        <w:autoSpaceDE w:val="0"/>
        <w:widowControl/>
        <w:spacing w:line="240" w:lineRule="exact" w:before="120" w:after="0"/>
        <w:ind w:left="10" w:right="206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December 31, 2024, liabilities related to IBRD's obligations under guarantees included the obligation to stand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ready of $276 million ($296 million—June 30, 2024), and the accumulated provision for guarantee losses of $69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million ($71 million—June 30, 2024). These amounts are included in Other liabilities on the Condensed Balance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Sheets.</w:t>
      </w:r>
    </w:p>
    <w:p>
      <w:pPr>
        <w:autoSpaceDN w:val="0"/>
        <w:autoSpaceDE w:val="0"/>
        <w:widowControl/>
        <w:spacing w:line="240" w:lineRule="exact" w:before="120" w:after="0"/>
        <w:ind w:left="10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the six months ended December 31, 2024 and December 31, 2023, no guarantees provided by IBRD were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called.</w:t>
      </w:r>
    </w:p>
    <w:p>
      <w:pPr>
        <w:autoSpaceDN w:val="0"/>
        <w:autoSpaceDE w:val="0"/>
        <w:widowControl/>
        <w:spacing w:line="224" w:lineRule="exact" w:before="201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42     IBRD Condensed Quarterly Financial Statements: December 31, 2024 (Unaudited)</w:t>
      </w:r>
    </w:p>
    <w:p>
      <w:pPr>
        <w:sectPr>
          <w:pgSz w:w="12240" w:h="15840"/>
          <w:pgMar w:top="700" w:right="1184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participates in Exposure Exchange Agreements (EEAs) which are recognized as financial guarantees in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financial statements. Information on the location and amounts associated with the EEAs executed with the African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Development Bank and Inter-American Development Bank included in the Condensed Balance Sheets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Condensed Statements of Income is presented in the following table: 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D5: Amounts associated with EEAs</w:t>
      </w:r>
    </w:p>
    <w:p>
      <w:pPr>
        <w:autoSpaceDN w:val="0"/>
        <w:autoSpaceDE w:val="0"/>
        <w:widowControl/>
        <w:spacing w:line="178" w:lineRule="exact" w:before="9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0"/>
        <w:gridCol w:w="4720"/>
      </w:tblGrid>
      <w:tr>
        <w:trPr>
          <w:trHeight w:hRule="exact" w:val="240"/>
        </w:trPr>
        <w:tc>
          <w:tcPr>
            <w:tcW w:type="dxa" w:w="50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84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December 31, 2024</w:t>
            </w:r>
          </w:p>
        </w:tc>
        <w:tc>
          <w:tcPr>
            <w:tcW w:type="dxa" w:w="4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8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</w:tbl>
    <w:p>
      <w:pPr>
        <w:autoSpaceDN w:val="0"/>
        <w:autoSpaceDE w:val="0"/>
        <w:widowControl/>
        <w:spacing w:line="192" w:lineRule="exact" w:before="6" w:after="6"/>
        <w:ind w:left="8352" w:right="144" w:firstLine="0"/>
        <w:jc w:val="center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Location on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 xml:space="preserve">the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</w:tblGrid>
      <w:tr>
        <w:trPr>
          <w:trHeight w:hRule="exact" w:val="174"/>
        </w:trPr>
        <w:tc>
          <w:tcPr>
            <w:tcW w:type="dxa" w:w="190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1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Notional </w:t>
            </w:r>
          </w:p>
        </w:tc>
        <w:tc>
          <w:tcPr>
            <w:tcW w:type="dxa" w:w="10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1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(Stand ready </w:t>
            </w:r>
          </w:p>
        </w:tc>
        <w:tc>
          <w:tcPr>
            <w:tcW w:type="dxa" w:w="21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7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(Provision) </w:t>
            </w:r>
          </w:p>
        </w:tc>
        <w:tc>
          <w:tcPr>
            <w:tcW w:type="dxa" w:w="10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(Stand ready </w:t>
            </w:r>
          </w:p>
        </w:tc>
        <w:tc>
          <w:tcPr>
            <w:tcW w:type="dxa" w:w="1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7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(Provision) </w:t>
            </w:r>
          </w:p>
        </w:tc>
        <w:tc>
          <w:tcPr>
            <w:tcW w:type="dxa" w:w="1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Condensed </w:t>
            </w:r>
          </w:p>
        </w:tc>
      </w:tr>
      <w:tr>
        <w:trPr>
          <w:trHeight w:hRule="exact" w:val="200"/>
        </w:trPr>
        <w:tc>
          <w:tcPr>
            <w:tcW w:type="dxa" w:w="472"/>
            <w:vMerge/>
            <w:tcBorders>
              <w:bottom w:sz="8.0" w:val="single" w:color="#000000"/>
            </w:tcBorders>
          </w:tcPr>
          <w:p/>
        </w:tc>
        <w:tc>
          <w:tcPr>
            <w:tcW w:type="dxa" w:w="944"/>
            <w:gridSpan w:val="2"/>
            <w:vMerge/>
            <w:tcBorders/>
          </w:tcPr>
          <w:p/>
        </w:tc>
        <w:tc>
          <w:tcPr>
            <w:tcW w:type="dxa" w:w="10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0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obligation) </w:t>
            </w:r>
          </w:p>
        </w:tc>
        <w:tc>
          <w:tcPr>
            <w:tcW w:type="dxa" w:w="12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1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Recoverable </w:t>
            </w:r>
          </w:p>
        </w:tc>
        <w:tc>
          <w:tcPr>
            <w:tcW w:type="dxa" w:w="87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Notional </w:t>
            </w:r>
          </w:p>
        </w:tc>
        <w:tc>
          <w:tcPr>
            <w:tcW w:type="dxa" w:w="10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obligation) </w:t>
            </w:r>
          </w:p>
        </w:tc>
        <w:tc>
          <w:tcPr>
            <w:tcW w:type="dxa" w:w="1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0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Recoverable </w:t>
            </w:r>
          </w:p>
        </w:tc>
        <w:tc>
          <w:tcPr>
            <w:tcW w:type="dxa" w:w="1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Balance </w:t>
            </w:r>
          </w:p>
        </w:tc>
      </w:tr>
      <w:tr>
        <w:trPr>
          <w:trHeight w:hRule="exact" w:val="226"/>
        </w:trPr>
        <w:tc>
          <w:tcPr>
            <w:tcW w:type="dxa" w:w="472"/>
            <w:vMerge/>
            <w:tcBorders>
              <w:bottom w:sz="8.0" w:val="single" w:color="#000000"/>
            </w:tcBorders>
          </w:tcPr>
          <w:p/>
        </w:tc>
        <w:tc>
          <w:tcPr>
            <w:tcW w:type="dxa" w:w="81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amount</w:t>
            </w:r>
          </w:p>
        </w:tc>
        <w:tc>
          <w:tcPr>
            <w:tcW w:type="dxa" w:w="105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28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Asset</w:t>
            </w:r>
          </w:p>
        </w:tc>
        <w:tc>
          <w:tcPr>
            <w:tcW w:type="dxa" w:w="104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9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asset</w:t>
            </w:r>
          </w:p>
        </w:tc>
        <w:tc>
          <w:tcPr>
            <w:tcW w:type="dxa" w:w="1100"/>
            <w:gridSpan w:val="5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9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amount</w:t>
            </w:r>
          </w:p>
        </w:tc>
        <w:tc>
          <w:tcPr>
            <w:tcW w:type="dxa" w:w="100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Asset</w:t>
            </w:r>
          </w:p>
        </w:tc>
        <w:tc>
          <w:tcPr>
            <w:tcW w:type="dxa" w:w="126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asset</w:t>
            </w:r>
          </w:p>
        </w:tc>
        <w:tc>
          <w:tcPr>
            <w:tcW w:type="dxa" w:w="12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Sheets</w:t>
            </w:r>
          </w:p>
        </w:tc>
      </w:tr>
      <w:tr>
        <w:trPr>
          <w:trHeight w:hRule="exact" w:val="234"/>
        </w:trPr>
        <w:tc>
          <w:tcPr>
            <w:tcW w:type="dxa" w:w="19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Guarantees provided</w:t>
            </w:r>
          </w:p>
        </w:tc>
        <w:tc>
          <w:tcPr>
            <w:tcW w:type="dxa" w:w="2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3,609 </w:t>
            </w:r>
          </w:p>
        </w:tc>
        <w:tc>
          <w:tcPr>
            <w:tcW w:type="dxa" w:w="4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0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(119) $ </w:t>
            </w:r>
          </w:p>
        </w:tc>
        <w:tc>
          <w:tcPr>
            <w:tcW w:type="dxa" w:w="938"/>
            <w:gridSpan w:val="5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(23) $ </w:t>
            </w:r>
          </w:p>
        </w:tc>
        <w:tc>
          <w:tcPr>
            <w:tcW w:type="dxa" w:w="602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3,609 </w:t>
            </w:r>
          </w:p>
        </w:tc>
        <w:tc>
          <w:tcPr>
            <w:tcW w:type="dxa" w:w="41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84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(129) $ </w:t>
            </w:r>
          </w:p>
        </w:tc>
        <w:tc>
          <w:tcPr>
            <w:tcW w:type="dxa" w:w="1874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(25) Other liabilities</w:t>
            </w:r>
          </w:p>
        </w:tc>
      </w:tr>
      <w:tr>
        <w:trPr>
          <w:trHeight w:hRule="exact" w:val="246"/>
        </w:trPr>
        <w:tc>
          <w:tcPr>
            <w:tcW w:type="dxa" w:w="19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Guarantees received</w:t>
            </w:r>
          </w:p>
        </w:tc>
        <w:tc>
          <w:tcPr>
            <w:tcW w:type="dxa" w:w="81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(3,609) </w:t>
            </w:r>
          </w:p>
        </w:tc>
        <w:tc>
          <w:tcPr>
            <w:tcW w:type="dxa" w:w="105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119 </w:t>
            </w:r>
          </w:p>
        </w:tc>
        <w:tc>
          <w:tcPr>
            <w:tcW w:type="dxa" w:w="1376"/>
            <w:gridSpan w:val="5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 </w:t>
            </w:r>
          </w:p>
        </w:tc>
        <w:tc>
          <w:tcPr>
            <w:tcW w:type="dxa" w:w="764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1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(3,611) </w:t>
            </w:r>
          </w:p>
        </w:tc>
        <w:tc>
          <w:tcPr>
            <w:tcW w:type="dxa" w:w="100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129 </w:t>
            </w:r>
          </w:p>
        </w:tc>
        <w:tc>
          <w:tcPr>
            <w:tcW w:type="dxa" w:w="126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 </w:t>
            </w:r>
          </w:p>
        </w:tc>
        <w:tc>
          <w:tcPr>
            <w:tcW w:type="dxa" w:w="12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assets</w:t>
            </w:r>
          </w:p>
        </w:tc>
      </w:tr>
      <w:tr>
        <w:trPr>
          <w:trHeight w:hRule="exact" w:val="220"/>
        </w:trPr>
        <w:tc>
          <w:tcPr>
            <w:tcW w:type="dxa" w:w="19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5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644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20"/>
            <w:gridSpan w:val="5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(6) $ </w:t>
            </w:r>
          </w:p>
        </w:tc>
        <w:tc>
          <w:tcPr>
            <w:tcW w:type="dxa" w:w="1002"/>
            <w:gridSpan w:val="3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$ </w:t>
            </w:r>
          </w:p>
        </w:tc>
        <w:tc>
          <w:tcPr>
            <w:tcW w:type="dxa" w:w="47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640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830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(6) </w:t>
            </w:r>
          </w:p>
        </w:tc>
      </w:tr>
      <w:tr>
        <w:trPr>
          <w:trHeight w:hRule="exact" w:val="260"/>
        </w:trPr>
        <w:tc>
          <w:tcPr>
            <w:tcW w:type="dxa" w:w="19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2360"/>
            <w:gridSpan w:val="5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416"/>
            <w:gridSpan w:val="3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22" w:lineRule="exact" w:before="18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Guarantees received</w:t>
      </w:r>
    </w:p>
    <w:p>
      <w:pPr>
        <w:autoSpaceDN w:val="0"/>
        <w:autoSpaceDE w:val="0"/>
        <w:widowControl/>
        <w:spacing w:line="240" w:lineRule="exact" w:before="118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December 31, 2024, IBRD had received third-party financial guarantees, including guarantees received under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EEA. The outstanding amount of loans subject to guarantees received was $14,672 million ($12,461 million 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June 30, 2024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). Financial guarantees received protect IBRD against the risk of loss related to loans in IBRD's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portfolio and increase IBRD's lending capacity.</w:t>
      </w:r>
    </w:p>
    <w:p>
      <w:pPr>
        <w:autoSpaceDN w:val="0"/>
        <w:autoSpaceDE w:val="0"/>
        <w:widowControl/>
        <w:spacing w:line="244" w:lineRule="exact" w:before="132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Waivers of Loan Charges</w:t>
      </w:r>
    </w:p>
    <w:p>
      <w:pPr>
        <w:autoSpaceDN w:val="0"/>
        <w:autoSpaceDE w:val="0"/>
        <w:widowControl/>
        <w:spacing w:line="240" w:lineRule="exact" w:before="128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Executive Directors have approved waivers of certain charges on eligible loans. These include a portion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interest on loans, a portion of the commitment charge on undisbursed balances, and a portion of the front-end fee.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addition, in October 2024, as part of the adjustments to IBRD's loan pricing, the Executive Directors approved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waiver of the future prepayment premium on all existing loans. The forgone income resulting from waivers of loan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charges was $1 million and $3 million for three and six months ended December 31, 2024, respectively ($3 million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$5 million—three and six months ended December 31, 2023). </w:t>
      </w:r>
    </w:p>
    <w:p>
      <w:pPr>
        <w:autoSpaceDN w:val="0"/>
        <w:autoSpaceDE w:val="0"/>
        <w:widowControl/>
        <w:spacing w:line="244" w:lineRule="exact" w:before="132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Concentration risk</w:t>
      </w:r>
    </w:p>
    <w:p>
      <w:pPr>
        <w:autoSpaceDN w:val="0"/>
        <w:autoSpaceDE w:val="0"/>
        <w:widowControl/>
        <w:spacing w:line="240" w:lineRule="exact" w:before="128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Loan revenue comprises interest, commitment fees, loan origination fees and prepayment premiums, net of waivers.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the six months ended December 31, 2024, loan revenue of $763 million from India, contributed more than 10%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to the total loan revenue.</w:t>
      </w:r>
    </w:p>
    <w:p>
      <w:pPr>
        <w:autoSpaceDN w:val="0"/>
        <w:autoSpaceDE w:val="0"/>
        <w:widowControl/>
        <w:spacing w:line="224" w:lineRule="exact" w:before="5042" w:after="0"/>
        <w:ind w:left="155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Condensed Quarterly Financial Statements: December 31, 2024 (Unaudited)     43</w:t>
      </w:r>
    </w:p>
    <w:p>
      <w:pPr>
        <w:sectPr>
          <w:pgSz w:w="12240" w:h="15840"/>
          <w:pgMar w:top="700" w:right="137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loan revenue and associated loans outstanding by geographic region is presented in the following table: </w:t>
      </w:r>
    </w:p>
    <w:p>
      <w:pPr>
        <w:autoSpaceDN w:val="0"/>
        <w:autoSpaceDE w:val="0"/>
        <w:widowControl/>
        <w:spacing w:line="220" w:lineRule="exact" w:before="136" w:after="46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D6: Loan revenue and associated outstanding loan balances by geographic region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</w:tblGrid>
      <w:tr>
        <w:trPr>
          <w:trHeight w:hRule="exact" w:val="256"/>
        </w:trPr>
        <w:tc>
          <w:tcPr>
            <w:tcW w:type="dxa" w:w="3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millions of U.S. dollars</w:t>
            </w:r>
          </w:p>
        </w:tc>
        <w:tc>
          <w:tcPr>
            <w:tcW w:type="dxa" w:w="5780"/>
            <w:gridSpan w:val="11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For the six months ended and as of</w:t>
            </w:r>
          </w:p>
        </w:tc>
      </w:tr>
      <w:tr>
        <w:trPr>
          <w:trHeight w:hRule="exact" w:val="240"/>
        </w:trPr>
        <w:tc>
          <w:tcPr>
            <w:tcW w:type="dxa" w:w="3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10"/>
            <w:gridSpan w:val="5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December 31, 2024</w:t>
            </w:r>
          </w:p>
        </w:tc>
        <w:tc>
          <w:tcPr>
            <w:tcW w:type="dxa" w:w="2970"/>
            <w:gridSpan w:val="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3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December 31, 2023</w:t>
            </w:r>
          </w:p>
        </w:tc>
      </w:tr>
      <w:tr>
        <w:trPr>
          <w:trHeight w:hRule="exact" w:val="200"/>
        </w:trPr>
        <w:tc>
          <w:tcPr>
            <w:tcW w:type="dxa" w:w="36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Region</w:t>
            </w:r>
          </w:p>
        </w:tc>
        <w:tc>
          <w:tcPr>
            <w:tcW w:type="dxa" w:w="2810"/>
            <w:gridSpan w:val="5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38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</w:p>
        </w:tc>
        <w:tc>
          <w:tcPr>
            <w:tcW w:type="dxa" w:w="2970"/>
            <w:gridSpan w:val="6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44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</w:p>
        </w:tc>
      </w:tr>
      <w:tr>
        <w:trPr>
          <w:trHeight w:hRule="exact" w:val="234"/>
        </w:trPr>
        <w:tc>
          <w:tcPr>
            <w:tcW w:type="dxa" w:w="78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 Revenue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142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34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Outstanding</w:t>
            </w:r>
          </w:p>
        </w:tc>
        <w:tc>
          <w:tcPr>
            <w:tcW w:type="dxa" w:w="1604"/>
            <w:gridSpan w:val="4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 Revenue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136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Outstanding</w:t>
            </w:r>
          </w:p>
        </w:tc>
      </w:tr>
      <w:tr>
        <w:trPr>
          <w:trHeight w:hRule="exact" w:val="226"/>
        </w:trPr>
        <w:tc>
          <w:tcPr>
            <w:tcW w:type="dxa" w:w="36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62" w:right="115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Latin America and the Caribbean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East Asia and Pacific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Europe and Central Asia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Middle East and North Africa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South Asia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Eastern and Southern Africa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Western and Central Africa</w:t>
            </w:r>
          </w:p>
        </w:tc>
        <w:tc>
          <w:tcPr>
            <w:tcW w:type="dxa" w:w="4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2,345 </w:t>
            </w:r>
          </w:p>
        </w:tc>
        <w:tc>
          <w:tcPr>
            <w:tcW w:type="dxa" w:w="492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88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81,815 </w:t>
            </w:r>
          </w:p>
        </w:tc>
        <w:tc>
          <w:tcPr>
            <w:tcW w:type="dxa" w:w="51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2,284 </w:t>
            </w:r>
          </w:p>
        </w:tc>
        <w:tc>
          <w:tcPr>
            <w:tcW w:type="dxa" w:w="62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78,948 </w:t>
            </w:r>
          </w:p>
        </w:tc>
      </w:tr>
      <w:tr>
        <w:trPr>
          <w:trHeight w:hRule="exact" w:val="240"/>
        </w:trPr>
        <w:tc>
          <w:tcPr>
            <w:tcW w:type="dxa" w:w="78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1,552 </w:t>
            </w:r>
          </w:p>
        </w:tc>
        <w:tc>
          <w:tcPr>
            <w:tcW w:type="dxa" w:w="1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53,637 </w:t>
            </w:r>
          </w:p>
        </w:tc>
        <w:tc>
          <w:tcPr>
            <w:tcW w:type="dxa" w:w="20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1,546 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52,717 </w:t>
            </w:r>
          </w:p>
        </w:tc>
      </w:tr>
      <w:tr>
        <w:trPr>
          <w:trHeight w:hRule="exact" w:val="240"/>
        </w:trPr>
        <w:tc>
          <w:tcPr>
            <w:tcW w:type="dxa" w:w="78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1,452 </w:t>
            </w:r>
          </w:p>
        </w:tc>
        <w:tc>
          <w:tcPr>
            <w:tcW w:type="dxa" w:w="1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58,659 </w:t>
            </w:r>
          </w:p>
        </w:tc>
        <w:tc>
          <w:tcPr>
            <w:tcW w:type="dxa" w:w="20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1,291 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53,778 </w:t>
            </w:r>
          </w:p>
        </w:tc>
      </w:tr>
      <w:tr>
        <w:trPr>
          <w:trHeight w:hRule="exact" w:val="240"/>
        </w:trPr>
        <w:tc>
          <w:tcPr>
            <w:tcW w:type="dxa" w:w="78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956 </w:t>
            </w:r>
          </w:p>
        </w:tc>
        <w:tc>
          <w:tcPr>
            <w:tcW w:type="dxa" w:w="1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36,004 </w:t>
            </w:r>
          </w:p>
        </w:tc>
        <w:tc>
          <w:tcPr>
            <w:tcW w:type="dxa" w:w="20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7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911 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34,313 </w:t>
            </w:r>
          </w:p>
        </w:tc>
      </w:tr>
      <w:tr>
        <w:trPr>
          <w:trHeight w:hRule="exact" w:val="240"/>
        </w:trPr>
        <w:tc>
          <w:tcPr>
            <w:tcW w:type="dxa" w:w="78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879 </w:t>
            </w:r>
          </w:p>
        </w:tc>
        <w:tc>
          <w:tcPr>
            <w:tcW w:type="dxa" w:w="1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27,724 </w:t>
            </w:r>
          </w:p>
        </w:tc>
        <w:tc>
          <w:tcPr>
            <w:tcW w:type="dxa" w:w="20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7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785 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25,615 </w:t>
            </w:r>
          </w:p>
        </w:tc>
      </w:tr>
      <w:tr>
        <w:trPr>
          <w:trHeight w:hRule="exact" w:val="240"/>
        </w:trPr>
        <w:tc>
          <w:tcPr>
            <w:tcW w:type="dxa" w:w="78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318 </w:t>
            </w:r>
          </w:p>
        </w:tc>
        <w:tc>
          <w:tcPr>
            <w:tcW w:type="dxa" w:w="1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11,447 </w:t>
            </w:r>
          </w:p>
        </w:tc>
        <w:tc>
          <w:tcPr>
            <w:tcW w:type="dxa" w:w="20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7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240 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8,610 </w:t>
            </w:r>
          </w:p>
        </w:tc>
      </w:tr>
      <w:tr>
        <w:trPr>
          <w:trHeight w:hRule="exact" w:val="254"/>
        </w:trPr>
        <w:tc>
          <w:tcPr>
            <w:tcW w:type="dxa" w:w="78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 </w:t>
            </w:r>
          </w:p>
        </w:tc>
        <w:tc>
          <w:tcPr>
            <w:tcW w:type="dxa" w:w="142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2,822 </w:t>
            </w:r>
          </w:p>
        </w:tc>
        <w:tc>
          <w:tcPr>
            <w:tcW w:type="dxa" w:w="2080"/>
            <w:gridSpan w:val="5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7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 </w:t>
            </w:r>
          </w:p>
        </w:tc>
        <w:tc>
          <w:tcPr>
            <w:tcW w:type="dxa" w:w="8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1,969 </w:t>
            </w:r>
          </w:p>
        </w:tc>
      </w:tr>
      <w:tr>
        <w:trPr>
          <w:trHeight w:hRule="exact" w:val="220"/>
        </w:trPr>
        <w:tc>
          <w:tcPr>
            <w:tcW w:type="dxa" w:w="3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4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7,549 </w:t>
            </w:r>
          </w:p>
        </w:tc>
        <w:tc>
          <w:tcPr>
            <w:tcW w:type="dxa" w:w="44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72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272,108 </w:t>
            </w:r>
          </w:p>
        </w:tc>
        <w:tc>
          <w:tcPr>
            <w:tcW w:type="dxa" w:w="572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7,093 </w:t>
            </w:r>
          </w:p>
        </w:tc>
        <w:tc>
          <w:tcPr>
            <w:tcW w:type="dxa" w:w="62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255,950 </w:t>
            </w:r>
          </w:p>
        </w:tc>
      </w:tr>
    </w:tbl>
    <w:p>
      <w:pPr>
        <w:autoSpaceDN w:val="0"/>
        <w:autoSpaceDE w:val="0"/>
        <w:widowControl/>
        <w:spacing w:line="192" w:lineRule="exact" w:before="300" w:after="0"/>
        <w:ind w:left="242" w:right="0" w:hanging="18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Excludes $610 million interest income from loan related derivatives for the six months ended December 31, 2024 ($594 million—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six months ended December 31, 2023). Includes commitment charges of $80 million for the six months ended December 31, </w:t>
      </w:r>
      <w:r>
        <w:rPr>
          <w:rFonts w:ascii="Arial" w:hAnsi="Arial" w:eastAsia="Arial"/>
          <w:b w:val="0"/>
          <w:i/>
          <w:color w:val="000000"/>
          <w:sz w:val="16"/>
        </w:rPr>
        <w:t>2024 ($72 million—six months ended December 31, 2023).</w:t>
      </w:r>
    </w:p>
    <w:p>
      <w:pPr>
        <w:autoSpaceDN w:val="0"/>
        <w:autoSpaceDE w:val="0"/>
        <w:widowControl/>
        <w:spacing w:line="240" w:lineRule="exact" w:before="192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the six months ended December 31, 2024, Interest revenue—Loans, net in the Condensed Statements of Income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was $8,079 million ($7,615 million—six months ended December 31, 2023). This includes $610 million of interest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income, net related to loan related derivatives associated with the Loan portfolio (interest income, net of $594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million—six months ended December 31, 2023).</w:t>
      </w:r>
    </w:p>
    <w:p>
      <w:pPr>
        <w:autoSpaceDN w:val="0"/>
        <w:autoSpaceDE w:val="0"/>
        <w:widowControl/>
        <w:spacing w:line="246" w:lineRule="exact" w:before="25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NOTE E—BORROWINGS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issues unsubordinated and unsecured fixed and variable rate debt in a variety of currencies in capital markets.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These borrowings are reported at fair value. IBRD has issued hybrid capital to shareholders that is subordinated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borrowings at fair value, and is reported at amortized cost. Variable rates are primarily based on exchange rates 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market interest rates.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December 31, 2024, 98% of the instruments at fair value were classified as Level 2 within the fair value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hierarchy. In addition, most of these instruments were denominated in U.S. dollars and euro (64% and 15%,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respectively).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uses derivatives, reported at fair value, to manage the currency risk and the interest rate risk between its loans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and borrowings. For details regarding the derivatives used, see Note F—Derivative Instruments.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A summary of IBRD’s borrowings at fair value, is as follows (for details on principal due upon maturity, see Note J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—Fair Value Disclosures):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E1: Borrowings and borrowing-related derivatives, at fair value</w:t>
      </w:r>
    </w:p>
    <w:p>
      <w:pPr>
        <w:autoSpaceDN w:val="0"/>
        <w:autoSpaceDE w:val="0"/>
        <w:widowControl/>
        <w:spacing w:line="178" w:lineRule="exact" w:before="9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4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6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December 31, 2024</w:t>
            </w:r>
          </w:p>
        </w:tc>
        <w:tc>
          <w:tcPr>
            <w:tcW w:type="dxa" w:w="2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7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  <w:tr>
        <w:trPr>
          <w:trHeight w:hRule="exact" w:val="236"/>
        </w:trPr>
        <w:tc>
          <w:tcPr>
            <w:tcW w:type="dxa" w:w="60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Borrowings </w:t>
            </w:r>
          </w:p>
        </w:tc>
        <w:tc>
          <w:tcPr>
            <w:tcW w:type="dxa" w:w="4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279,848 </w:t>
            </w:r>
          </w:p>
        </w:tc>
        <w:tc>
          <w:tcPr>
            <w:tcW w:type="dxa" w:w="27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261,790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swaps, net</w:t>
            </w:r>
          </w:p>
        </w:tc>
        <w:tc>
          <w:tcPr>
            <w:tcW w:type="dxa" w:w="16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9,379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7,427 </w:t>
            </w:r>
          </w:p>
        </w:tc>
      </w:tr>
      <w:tr>
        <w:trPr>
          <w:trHeight w:hRule="exact" w:val="244"/>
        </w:trPr>
        <w:tc>
          <w:tcPr>
            <w:tcW w:type="dxa" w:w="60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swaps, net</w:t>
            </w:r>
          </w:p>
        </w:tc>
        <w:tc>
          <w:tcPr>
            <w:tcW w:type="dxa" w:w="162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14,642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17,900 </w:t>
            </w:r>
          </w:p>
        </w:tc>
      </w:tr>
      <w:tr>
        <w:trPr>
          <w:trHeight w:hRule="exact" w:val="22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4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303,869 </w:t>
            </w:r>
          </w:p>
        </w:tc>
        <w:tc>
          <w:tcPr>
            <w:tcW w:type="dxa" w:w="2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287,117 </w:t>
            </w:r>
          </w:p>
        </w:tc>
      </w:tr>
    </w:tbl>
    <w:p>
      <w:pPr>
        <w:autoSpaceDN w:val="0"/>
        <w:autoSpaceDE w:val="0"/>
        <w:widowControl/>
        <w:spacing w:line="240" w:lineRule="exact" w:before="412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December 31, 2024, borrowings reported at amortized cost were $187 million related to IBRD's issuances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hybrid capital which represents the outstanding principal of these instruments. All holders of hybrid capital as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December 31, 2024,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entered into separate agreements with IBRD that allow them to redeem the hybrid capital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satisfy the payment condition for their paid-in portion of any future capital increase.</w:t>
      </w:r>
    </w:p>
    <w:p>
      <w:pPr>
        <w:autoSpaceDN w:val="0"/>
        <w:autoSpaceDE w:val="0"/>
        <w:widowControl/>
        <w:spacing w:line="224" w:lineRule="exact" w:before="117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44     IBRD Condensed Quarterly Financial Statements: December 31, 2024 (Unaudited)</w:t>
      </w:r>
    </w:p>
    <w:p>
      <w:pPr>
        <w:sectPr>
          <w:pgSz w:w="12240" w:h="15840"/>
          <w:pgMar w:top="700" w:right="137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the six months ended December 31, 2024, Borrowing expenses, net in the Condensed Statements of Income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were $7,855 million ($7,334 million—six months ended December 31, 2023). This includes $3,829 million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interest expense, net related to derivatives associated with the Borrowing portfolio (interest expense, net of $3,909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million—six months ended December 31, 2023).</w:t>
      </w:r>
    </w:p>
    <w:p>
      <w:pPr>
        <w:autoSpaceDN w:val="0"/>
        <w:autoSpaceDE w:val="0"/>
        <w:widowControl/>
        <w:spacing w:line="246" w:lineRule="exact" w:before="25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NOTE F—DERIVATIVE INSTRUMENTS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uses derivative instruments in its investment, loan and borrowing portfolios, and for asset/liability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 purposes. It also offers derivative intermediation services to clients and, concurrently, enters into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offsetting transactions with market counterparties. </w:t>
      </w:r>
    </w:p>
    <w:p>
      <w:pPr>
        <w:autoSpaceDN w:val="0"/>
        <w:autoSpaceDE w:val="0"/>
        <w:widowControl/>
        <w:spacing w:line="222" w:lineRule="exact" w:before="138" w:after="168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following table summarizes IBRD’s use of derivatives in its various financial portfolios: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7"/>
        <w:gridCol w:w="3147"/>
        <w:gridCol w:w="3147"/>
      </w:tblGrid>
      <w:tr>
        <w:trPr>
          <w:trHeight w:hRule="exact" w:val="240"/>
        </w:trPr>
        <w:tc>
          <w:tcPr>
            <w:tcW w:type="dxa" w:w="228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Portfolio</w:t>
            </w:r>
          </w:p>
        </w:tc>
        <w:tc>
          <w:tcPr>
            <w:tcW w:type="dxa" w:w="337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/>
                <w:color w:val="000000"/>
                <w:sz w:val="16"/>
              </w:rPr>
              <w:t>Derivative instruments used</w:t>
            </w:r>
          </w:p>
        </w:tc>
        <w:tc>
          <w:tcPr>
            <w:tcW w:type="dxa" w:w="37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/>
                <w:color w:val="000000"/>
                <w:sz w:val="16"/>
              </w:rPr>
              <w:t>Purpose / Risk being managed</w:t>
            </w:r>
          </w:p>
        </w:tc>
      </w:tr>
    </w:tbl>
    <w:p>
      <w:pPr>
        <w:autoSpaceDN w:val="0"/>
        <w:autoSpaceDE w:val="0"/>
        <w:widowControl/>
        <w:spacing w:line="178" w:lineRule="exact" w:before="18" w:after="24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Risk management purposes: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7"/>
        <w:gridCol w:w="3147"/>
        <w:gridCol w:w="3147"/>
      </w:tblGrid>
      <w:tr>
        <w:trPr>
          <w:trHeight w:hRule="exact" w:val="210"/>
        </w:trPr>
        <w:tc>
          <w:tcPr>
            <w:tcW w:type="dxa" w:w="228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</w:t>
            </w:r>
          </w:p>
        </w:tc>
        <w:tc>
          <w:tcPr>
            <w:tcW w:type="dxa" w:w="33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swaps, currency forward contracts, </w:t>
            </w:r>
          </w:p>
        </w:tc>
        <w:tc>
          <w:tcPr>
            <w:tcW w:type="dxa" w:w="32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Manage currency and interest rate risk</w:t>
            </w:r>
          </w:p>
        </w:tc>
      </w:tr>
    </w:tbl>
    <w:p>
      <w:pPr>
        <w:autoSpaceDN w:val="0"/>
        <w:autoSpaceDE w:val="0"/>
        <w:widowControl/>
        <w:spacing w:line="188" w:lineRule="exact" w:before="0" w:after="38"/>
        <w:ind w:left="2388" w:right="38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interest rate swaps, options, swaptions and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futures contracts, to-be-announced (TBA)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>securities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7"/>
        <w:gridCol w:w="3147"/>
        <w:gridCol w:w="3147"/>
      </w:tblGrid>
      <w:tr>
        <w:trPr>
          <w:trHeight w:hRule="exact" w:val="210"/>
        </w:trPr>
        <w:tc>
          <w:tcPr>
            <w:tcW w:type="dxa" w:w="14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</w:t>
            </w:r>
          </w:p>
        </w:tc>
        <w:tc>
          <w:tcPr>
            <w:tcW w:type="dxa" w:w="40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8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swaps and interest rate swaps</w:t>
            </w:r>
          </w:p>
        </w:tc>
        <w:tc>
          <w:tcPr>
            <w:tcW w:type="dxa" w:w="38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Manage currency risk and interest rate risk </w:t>
            </w:r>
          </w:p>
        </w:tc>
      </w:tr>
    </w:tbl>
    <w:p>
      <w:pPr>
        <w:autoSpaceDN w:val="0"/>
        <w:autoSpaceDE w:val="0"/>
        <w:widowControl/>
        <w:spacing w:line="178" w:lineRule="exact" w:before="0" w:after="30"/>
        <w:ind w:left="0" w:right="1286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between loans and borrowings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7"/>
        <w:gridCol w:w="3147"/>
        <w:gridCol w:w="3147"/>
      </w:tblGrid>
      <w:tr>
        <w:trPr>
          <w:trHeight w:hRule="exact" w:val="208"/>
        </w:trPr>
        <w:tc>
          <w:tcPr>
            <w:tcW w:type="dxa" w:w="16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</w:t>
            </w:r>
          </w:p>
        </w:tc>
        <w:tc>
          <w:tcPr>
            <w:tcW w:type="dxa" w:w="38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7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swaps and interest rate swaps</w:t>
            </w:r>
          </w:p>
        </w:tc>
        <w:tc>
          <w:tcPr>
            <w:tcW w:type="dxa" w:w="38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Manage currency risk and interest rate risk </w:t>
            </w:r>
          </w:p>
        </w:tc>
      </w:tr>
    </w:tbl>
    <w:p>
      <w:pPr>
        <w:autoSpaceDN w:val="0"/>
        <w:autoSpaceDE w:val="0"/>
        <w:widowControl/>
        <w:spacing w:line="178" w:lineRule="exact" w:before="0" w:after="32"/>
        <w:ind w:left="0" w:right="1286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between loans and borrowings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7"/>
        <w:gridCol w:w="3147"/>
        <w:gridCol w:w="3147"/>
      </w:tblGrid>
      <w:tr>
        <w:trPr>
          <w:trHeight w:hRule="exact" w:val="200"/>
        </w:trPr>
        <w:tc>
          <w:tcPr>
            <w:tcW w:type="dxa" w:w="21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asset/liability </w:t>
            </w:r>
          </w:p>
        </w:tc>
        <w:tc>
          <w:tcPr>
            <w:tcW w:type="dxa" w:w="334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swaps and interest rate swaps</w:t>
            </w:r>
          </w:p>
        </w:tc>
        <w:tc>
          <w:tcPr>
            <w:tcW w:type="dxa" w:w="38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Manage currency risk and the duration of IBRD’s </w:t>
            </w:r>
          </w:p>
        </w:tc>
      </w:tr>
      <w:tr>
        <w:trPr>
          <w:trHeight w:hRule="exact" w:val="234"/>
        </w:trPr>
        <w:tc>
          <w:tcPr>
            <w:tcW w:type="dxa" w:w="21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management derivatives</w:t>
            </w:r>
          </w:p>
        </w:tc>
        <w:tc>
          <w:tcPr>
            <w:tcW w:type="dxa" w:w="314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38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4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equity </w:t>
            </w:r>
          </w:p>
        </w:tc>
      </w:tr>
    </w:tbl>
    <w:p>
      <w:pPr>
        <w:autoSpaceDN w:val="0"/>
        <w:autoSpaceDE w:val="0"/>
        <w:widowControl/>
        <w:spacing w:line="178" w:lineRule="exact" w:before="14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Other purposes: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.0" w:type="dxa"/>
      </w:tblPr>
      <w:tblGrid>
        <w:gridCol w:w="3147"/>
        <w:gridCol w:w="3147"/>
        <w:gridCol w:w="3147"/>
      </w:tblGrid>
      <w:tr>
        <w:trPr>
          <w:trHeight w:hRule="exact" w:val="214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Client operations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5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swaps, currency forward contracts,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Assist clients in managing risks</w:t>
            </w:r>
          </w:p>
        </w:tc>
      </w:tr>
    </w:tbl>
    <w:p>
      <w:pPr>
        <w:autoSpaceDN w:val="0"/>
        <w:autoSpaceDE w:val="0"/>
        <w:widowControl/>
        <w:spacing w:line="178" w:lineRule="exact" w:before="8" w:after="0"/>
        <w:ind w:left="0" w:right="540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6"/>
        </w:rPr>
        <w:t>and interest rate swaps</w:t>
      </w:r>
    </w:p>
    <w:p>
      <w:pPr>
        <w:autoSpaceDN w:val="0"/>
        <w:autoSpaceDE w:val="0"/>
        <w:widowControl/>
        <w:spacing w:line="240" w:lineRule="exact" w:before="20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derivatives in the related tables of Note F are presented on a net basis by instrument. A reconciliation to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presentation in the Condensed Balance Sheets is shown in table F1.</w:t>
      </w:r>
    </w:p>
    <w:p>
      <w:pPr>
        <w:autoSpaceDN w:val="0"/>
        <w:autoSpaceDE w:val="0"/>
        <w:widowControl/>
        <w:spacing w:line="244" w:lineRule="exact" w:before="132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Offsetting assets and liabilities</w:t>
      </w:r>
    </w:p>
    <w:p>
      <w:pPr>
        <w:autoSpaceDN w:val="0"/>
        <w:autoSpaceDE w:val="0"/>
        <w:widowControl/>
        <w:spacing w:line="240" w:lineRule="exact" w:before="128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enters into International Swaps and Derivatives Association, Inc. (ISDA) master netting agreements with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substantially all of its derivative counterparties. These legally enforceable master netting agreements give IBRD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right to liquidate securities held as collateral and to offset receivables and payables with the same counterparty in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event of default by the counterparty.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tables summarize the gross and net derivative positions by instrument type. Instruments that are in 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net asset position are included in the Derivative Assets columns and instruments that are in a net liability position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are included in the Derivative Liabilities columns. The effects of the ISDA master netting agreements are applied 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 aggregate basis to the total derivative asset and liability positions and are presented net of any cash collateral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received on the Condensed Balance Sheets. The net derivative asset positions in the tables below have been further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reduced by any securities received as collateral to show IBRD’s net exposure on its derivative asset positions. </w:t>
      </w:r>
    </w:p>
    <w:p>
      <w:pPr>
        <w:autoSpaceDN w:val="0"/>
        <w:autoSpaceDE w:val="0"/>
        <w:widowControl/>
        <w:spacing w:line="224" w:lineRule="exact" w:before="3722" w:after="0"/>
        <w:ind w:left="155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Condensed Quarterly Financial Statements: December 31, 2024 (Unaudited)     45</w:t>
      </w:r>
    </w:p>
    <w:p>
      <w:pPr>
        <w:sectPr>
          <w:pgSz w:w="12240" w:h="15840"/>
          <w:pgMar w:top="700" w:right="137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F1: Derivative assets and liabilities before and after netting adjustments</w:t>
      </w:r>
    </w:p>
    <w:p>
      <w:pPr>
        <w:autoSpaceDN w:val="0"/>
        <w:autoSpaceDE w:val="0"/>
        <w:widowControl/>
        <w:spacing w:line="178" w:lineRule="exact" w:before="9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40"/>
        </w:trPr>
        <w:tc>
          <w:tcPr>
            <w:tcW w:type="dxa" w:w="45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96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5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December 31, 2024</w:t>
            </w:r>
          </w:p>
        </w:tc>
        <w:tc>
          <w:tcPr>
            <w:tcW w:type="dxa" w:w="3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4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4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  <w:tr>
        <w:trPr>
          <w:trHeight w:hRule="exact" w:val="220"/>
        </w:trPr>
        <w:tc>
          <w:tcPr>
            <w:tcW w:type="dxa" w:w="45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9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1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Derivative </w:t>
            </w:r>
          </w:p>
        </w:tc>
        <w:tc>
          <w:tcPr>
            <w:tcW w:type="dxa" w:w="113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26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Derivative </w:t>
            </w:r>
          </w:p>
        </w:tc>
        <w:tc>
          <w:tcPr>
            <w:tcW w:type="dxa" w:w="32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Derivative </w:t>
            </w:r>
          </w:p>
        </w:tc>
        <w:tc>
          <w:tcPr>
            <w:tcW w:type="dxa" w:w="112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25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Derivative </w:t>
            </w:r>
          </w:p>
        </w:tc>
      </w:tr>
      <w:tr>
        <w:trPr>
          <w:trHeight w:hRule="exact" w:val="214"/>
        </w:trPr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Assets</w:t>
            </w:r>
          </w:p>
        </w:tc>
        <w:tc>
          <w:tcPr>
            <w:tcW w:type="dxa" w:w="113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8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Liabilities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Assets</w:t>
            </w:r>
          </w:p>
        </w:tc>
        <w:tc>
          <w:tcPr>
            <w:tcW w:type="dxa" w:w="112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8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Liabilities</w:t>
            </w:r>
          </w:p>
        </w:tc>
      </w:tr>
      <w:tr>
        <w:trPr>
          <w:trHeight w:hRule="exact" w:val="206"/>
        </w:trPr>
        <w:tc>
          <w:tcPr>
            <w:tcW w:type="dxa" w:w="45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19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7,357 </w:t>
            </w:r>
          </w:p>
        </w:tc>
        <w:tc>
          <w:tcPr>
            <w:tcW w:type="dxa" w:w="4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20,305 </w:t>
            </w:r>
          </w:p>
        </w:tc>
        <w:tc>
          <w:tcPr>
            <w:tcW w:type="dxa" w:w="32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7,977 </w:t>
            </w:r>
          </w:p>
        </w:tc>
        <w:tc>
          <w:tcPr>
            <w:tcW w:type="dxa" w:w="39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24,759 </w:t>
            </w:r>
          </w:p>
        </w:tc>
      </w:tr>
      <w:tr>
        <w:trPr>
          <w:trHeight w:hRule="exact" w:val="220"/>
        </w:trPr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swaps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5,237 </w:t>
            </w:r>
          </w:p>
        </w:tc>
        <w:tc>
          <w:tcPr>
            <w:tcW w:type="dxa" w:w="11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11,528 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4,057 </w:t>
            </w:r>
          </w:p>
        </w:tc>
        <w:tc>
          <w:tcPr>
            <w:tcW w:type="dxa" w:w="11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9,907 </w:t>
            </w:r>
          </w:p>
        </w:tc>
      </w:tr>
      <w:tr>
        <w:trPr>
          <w:trHeight w:hRule="exact" w:val="250"/>
        </w:trPr>
        <w:tc>
          <w:tcPr>
            <w:tcW w:type="dxa" w:w="4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113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12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</w:tr>
      <w:tr>
        <w:trPr>
          <w:trHeight w:hRule="exact" w:val="220"/>
        </w:trPr>
        <w:tc>
          <w:tcPr>
            <w:tcW w:type="dxa" w:w="45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Gross Total</w:t>
            </w:r>
          </w:p>
        </w:tc>
        <w:tc>
          <w:tcPr>
            <w:tcW w:type="dxa" w:w="1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12,596 </w:t>
            </w:r>
          </w:p>
        </w:tc>
        <w:tc>
          <w:tcPr>
            <w:tcW w:type="dxa" w:w="4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31,833 </w:t>
            </w:r>
          </w:p>
        </w:tc>
        <w:tc>
          <w:tcPr>
            <w:tcW w:type="dxa" w:w="3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12,035 </w:t>
            </w:r>
          </w:p>
        </w:tc>
        <w:tc>
          <w:tcPr>
            <w:tcW w:type="dxa" w:w="3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34,666 </w:t>
            </w:r>
          </w:p>
        </w:tc>
      </w:tr>
    </w:tbl>
    <w:p>
      <w:pPr>
        <w:autoSpaceDN w:val="0"/>
        <w:autoSpaceDE w:val="0"/>
        <w:widowControl/>
        <w:spacing w:line="178" w:lineRule="exact" w:before="34" w:after="5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Less: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</w:tblGrid>
      <w:tr>
        <w:trPr>
          <w:trHeight w:hRule="exact" w:val="238"/>
        </w:trPr>
        <w:tc>
          <w:tcPr>
            <w:tcW w:type="dxa" w:w="4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Amounts subject to legally enforceable master netting </w:t>
            </w:r>
          </w:p>
        </w:tc>
        <w:tc>
          <w:tcPr>
            <w:tcW w:type="dxa" w:w="33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12,154 </w:t>
            </w:r>
          </w:p>
        </w:tc>
        <w:tc>
          <w:tcPr>
            <w:tcW w:type="dxa" w:w="14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222" w:after="0"/>
              <w:ind w:left="0" w:right="0" w:firstLine="0"/>
              <w:jc w:val="center"/>
            </w:pP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d</w:t>
            </w:r>
          </w:p>
        </w:tc>
        <w:tc>
          <w:tcPr>
            <w:tcW w:type="dxa" w:w="29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3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12,445 </w:t>
            </w:r>
          </w:p>
        </w:tc>
        <w:tc>
          <w:tcPr>
            <w:tcW w:type="dxa" w:w="14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222" w:after="0"/>
              <w:ind w:left="0" w:right="0" w:firstLine="0"/>
              <w:jc w:val="center"/>
            </w:pP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e</w:t>
            </w:r>
          </w:p>
        </w:tc>
        <w:tc>
          <w:tcPr>
            <w:tcW w:type="dxa" w:w="3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11,558 </w:t>
            </w:r>
          </w:p>
        </w:tc>
        <w:tc>
          <w:tcPr>
            <w:tcW w:type="dxa" w:w="14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222" w:after="0"/>
              <w:ind w:left="0" w:right="0" w:firstLine="0"/>
              <w:jc w:val="center"/>
            </w:pP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d</w:t>
            </w:r>
          </w:p>
        </w:tc>
        <w:tc>
          <w:tcPr>
            <w:tcW w:type="dxa" w:w="2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4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11,938 </w:t>
            </w:r>
          </w:p>
        </w:tc>
        <w:tc>
          <w:tcPr>
            <w:tcW w:type="dxa" w:w="1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222" w:after="0"/>
              <w:ind w:left="0" w:right="0" w:firstLine="0"/>
              <w:jc w:val="center"/>
            </w:pP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e</w:t>
            </w:r>
          </w:p>
        </w:tc>
      </w:tr>
      <w:tr>
        <w:trPr>
          <w:trHeight w:hRule="exact" w:val="200"/>
        </w:trPr>
        <w:tc>
          <w:tcPr>
            <w:tcW w:type="dxa" w:w="4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agreements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26"/>
            <w:vMerge/>
            <w:tcBorders/>
          </w:tcPr>
          <w:p/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26"/>
            <w:vMerge/>
            <w:tcBorders/>
          </w:tcPr>
          <w:p/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44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Cash collateral received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28"/>
        </w:trPr>
        <w:tc>
          <w:tcPr>
            <w:tcW w:type="dxa" w:w="44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derivative position on the Condensed Balance Sheet</w:t>
            </w:r>
          </w:p>
        </w:tc>
        <w:tc>
          <w:tcPr>
            <w:tcW w:type="dxa" w:w="3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390 </w:t>
            </w:r>
          </w:p>
        </w:tc>
        <w:tc>
          <w:tcPr>
            <w:tcW w:type="dxa" w:w="14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19,388 </w:t>
            </w:r>
          </w:p>
        </w:tc>
        <w:tc>
          <w:tcPr>
            <w:tcW w:type="dxa" w:w="1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456 </w:t>
            </w:r>
          </w:p>
        </w:tc>
        <w:tc>
          <w:tcPr>
            <w:tcW w:type="dxa" w:w="1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22,728 </w:t>
            </w:r>
          </w:p>
        </w:tc>
        <w:tc>
          <w:tcPr>
            <w:tcW w:type="dxa" w:w="1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78" w:lineRule="exact" w:before="36" w:after="14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Less: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34"/>
        </w:trPr>
        <w:tc>
          <w:tcPr>
            <w:tcW w:type="dxa" w:w="4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Securities collateral received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4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244 </w:t>
            </w:r>
          </w:p>
        </w:tc>
        <w:tc>
          <w:tcPr>
            <w:tcW w:type="dxa" w:w="17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298 </w:t>
            </w:r>
          </w:p>
        </w:tc>
      </w:tr>
      <w:tr>
        <w:trPr>
          <w:trHeight w:hRule="exact" w:val="220"/>
        </w:trPr>
        <w:tc>
          <w:tcPr>
            <w:tcW w:type="dxa" w:w="45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derivative exposure after collateral</w:t>
            </w:r>
          </w:p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146 </w:t>
            </w:r>
          </w:p>
        </w:tc>
        <w:tc>
          <w:tcPr>
            <w:tcW w:type="dxa" w:w="17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158 </w:t>
            </w:r>
          </w:p>
        </w:tc>
      </w:tr>
    </w:tbl>
    <w:p>
      <w:pPr>
        <w:autoSpaceDN w:val="0"/>
        <w:autoSpaceDE w:val="0"/>
        <w:widowControl/>
        <w:spacing w:line="178" w:lineRule="exact" w:before="270" w:after="0"/>
        <w:ind w:left="6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Includes currency forward contracts.</w:t>
      </w:r>
    </w:p>
    <w:p>
      <w:pPr>
        <w:autoSpaceDN w:val="0"/>
        <w:autoSpaceDE w:val="0"/>
        <w:widowControl/>
        <w:spacing w:line="178" w:lineRule="exact" w:before="46" w:after="0"/>
        <w:ind w:left="6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Relate to swaptions, options and futures contracts.</w:t>
      </w:r>
    </w:p>
    <w:p>
      <w:pPr>
        <w:autoSpaceDN w:val="0"/>
        <w:autoSpaceDE w:val="0"/>
        <w:widowControl/>
        <w:spacing w:line="180" w:lineRule="exact" w:before="54" w:after="0"/>
        <w:ind w:left="6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c. Does not include excess collateral received.</w:t>
      </w:r>
    </w:p>
    <w:p>
      <w:pPr>
        <w:autoSpaceDN w:val="0"/>
        <w:autoSpaceDE w:val="0"/>
        <w:widowControl/>
        <w:spacing w:line="224" w:lineRule="exact" w:before="8" w:after="0"/>
        <w:ind w:left="62" w:right="3024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d. Includes $32 million Credit Valuation Adjustment (CVA) ($29 million—June 30, 2024). </w:t>
      </w:r>
      <w:r>
        <w:rPr>
          <w:rFonts w:ascii="Arial" w:hAnsi="Arial" w:eastAsia="Arial"/>
          <w:b w:val="0"/>
          <w:i/>
          <w:color w:val="000000"/>
          <w:sz w:val="16"/>
        </w:rPr>
        <w:t>e. Includes $323 million Debit Valuation Adjustment (DVA) ($409 million—June 30, 2024).</w:t>
      </w:r>
    </w:p>
    <w:p>
      <w:pPr>
        <w:autoSpaceDN w:val="0"/>
        <w:autoSpaceDE w:val="0"/>
        <w:widowControl/>
        <w:spacing w:line="240" w:lineRule="exact" w:before="184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tables provide information about the credit risk exposures at fair value of IBRD’s derivative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instruments by portfolio, before the effects of master netting arrangements and collateral:</w:t>
      </w:r>
    </w:p>
    <w:p>
      <w:pPr>
        <w:autoSpaceDN w:val="0"/>
        <w:autoSpaceDE w:val="0"/>
        <w:widowControl/>
        <w:spacing w:line="248" w:lineRule="exact" w:before="11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 xml:space="preserve">Table F2: Credit risk exposure of the derivative instruments </w:t>
      </w:r>
      <w:r>
        <w:rPr>
          <w:rFonts w:ascii="TimesNewRoman" w:hAnsi="TimesNewRoman" w:eastAsia="TimesNewRoman"/>
          <w:b/>
          <w:i w:val="0"/>
          <w:color w:val="000000"/>
          <w:sz w:val="13"/>
        </w:rPr>
        <w:t>a</w:t>
      </w:r>
    </w:p>
    <w:p>
      <w:pPr>
        <w:autoSpaceDN w:val="0"/>
        <w:tabs>
          <w:tab w:pos="5720" w:val="left"/>
        </w:tabs>
        <w:autoSpaceDE w:val="0"/>
        <w:widowControl/>
        <w:spacing w:line="240" w:lineRule="exact" w:before="32" w:after="0"/>
        <w:ind w:left="62" w:right="2304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In millions of U.S. dollars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December 31, 2024</w:t>
      </w:r>
    </w:p>
    <w:p>
      <w:pPr>
        <w:autoSpaceDN w:val="0"/>
        <w:autoSpaceDE w:val="0"/>
        <w:widowControl/>
        <w:spacing w:line="192" w:lineRule="exact" w:before="68" w:after="6"/>
        <w:ind w:left="5328" w:right="2016" w:firstLine="0"/>
        <w:jc w:val="center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Currency swaps (including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 xml:space="preserve">currency forward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16"/>
        </w:trPr>
        <w:tc>
          <w:tcPr>
            <w:tcW w:type="dxa" w:w="34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Portfolio</w:t>
            </w:r>
          </w:p>
        </w:tc>
        <w:tc>
          <w:tcPr>
            <w:tcW w:type="dxa" w:w="2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Interest rate swaps</w:t>
            </w:r>
          </w:p>
        </w:tc>
        <w:tc>
          <w:tcPr>
            <w:tcW w:type="dxa" w:w="4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23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contracts)</w:t>
            </w:r>
          </w:p>
        </w:tc>
        <w:tc>
          <w:tcPr>
            <w:tcW w:type="dxa" w:w="4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83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220"/>
        </w:trPr>
        <w:tc>
          <w:tcPr>
            <w:tcW w:type="dxa" w:w="34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</w:t>
            </w:r>
          </w:p>
        </w:tc>
        <w:tc>
          <w:tcPr>
            <w:tcW w:type="dxa" w:w="20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6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8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 </w:t>
            </w:r>
          </w:p>
        </w:tc>
        <w:tc>
          <w:tcPr>
            <w:tcW w:type="dxa" w:w="4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6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3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2,056 </w:t>
            </w:r>
          </w:p>
        </w:tc>
        <w:tc>
          <w:tcPr>
            <w:tcW w:type="dxa" w:w="42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3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2,099 </w:t>
            </w:r>
          </w:p>
        </w:tc>
      </w:tr>
      <w:tr>
        <w:trPr>
          <w:trHeight w:hRule="exact" w:val="220"/>
        </w:trPr>
        <w:tc>
          <w:tcPr>
            <w:tcW w:type="dxa" w:w="34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3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5,363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3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1,404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3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6,767 </w:t>
            </w:r>
          </w:p>
        </w:tc>
      </w:tr>
      <w:tr>
        <w:trPr>
          <w:trHeight w:hRule="exact" w:val="220"/>
        </w:trPr>
        <w:tc>
          <w:tcPr>
            <w:tcW w:type="dxa" w:w="34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Client operations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8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166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8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415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8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581 </w:t>
            </w:r>
          </w:p>
        </w:tc>
      </w:tr>
      <w:tr>
        <w:trPr>
          <w:trHeight w:hRule="exact" w:val="240"/>
        </w:trPr>
        <w:tc>
          <w:tcPr>
            <w:tcW w:type="dxa" w:w="34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3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1,590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3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1,362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3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2,952 </w:t>
            </w:r>
          </w:p>
        </w:tc>
      </w:tr>
      <w:tr>
        <w:trPr>
          <w:trHeight w:hRule="exact" w:val="226"/>
        </w:trPr>
        <w:tc>
          <w:tcPr>
            <w:tcW w:type="dxa" w:w="34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asset/liability management derivatives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8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195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8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8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195 </w:t>
            </w:r>
          </w:p>
        </w:tc>
      </w:tr>
      <w:tr>
        <w:trPr>
          <w:trHeight w:hRule="exact" w:val="204"/>
        </w:trPr>
        <w:tc>
          <w:tcPr>
            <w:tcW w:type="dxa" w:w="34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Exposure</w:t>
            </w:r>
          </w:p>
        </w:tc>
        <w:tc>
          <w:tcPr>
            <w:tcW w:type="dxa" w:w="2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3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7,357 </w:t>
            </w:r>
          </w:p>
        </w:tc>
        <w:tc>
          <w:tcPr>
            <w:tcW w:type="dxa" w:w="4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6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3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5,237 </w:t>
            </w:r>
          </w:p>
        </w:tc>
        <w:tc>
          <w:tcPr>
            <w:tcW w:type="dxa" w:w="4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12,594 </w:t>
            </w:r>
          </w:p>
        </w:tc>
      </w:tr>
    </w:tbl>
    <w:p>
      <w:pPr>
        <w:autoSpaceDN w:val="0"/>
        <w:tabs>
          <w:tab w:pos="5916" w:val="left"/>
        </w:tabs>
        <w:autoSpaceDE w:val="0"/>
        <w:widowControl/>
        <w:spacing w:line="232" w:lineRule="exact" w:before="434" w:after="0"/>
        <w:ind w:left="62" w:right="2448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 xml:space="preserve">Table F2.1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 xml:space="preserve">In millions of U.S. dollars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June 30, 2024</w:t>
      </w:r>
    </w:p>
    <w:p>
      <w:pPr>
        <w:autoSpaceDN w:val="0"/>
        <w:autoSpaceDE w:val="0"/>
        <w:widowControl/>
        <w:spacing w:line="192" w:lineRule="exact" w:before="70" w:after="6"/>
        <w:ind w:left="5328" w:right="2016" w:firstLine="0"/>
        <w:jc w:val="center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Currency swaps (including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 xml:space="preserve">currency forward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14"/>
        </w:trPr>
        <w:tc>
          <w:tcPr>
            <w:tcW w:type="dxa" w:w="34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Portfolio</w:t>
            </w:r>
          </w:p>
        </w:tc>
        <w:tc>
          <w:tcPr>
            <w:tcW w:type="dxa" w:w="2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Interest rate swaps</w:t>
            </w:r>
          </w:p>
        </w:tc>
        <w:tc>
          <w:tcPr>
            <w:tcW w:type="dxa" w:w="4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3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contracts)</w:t>
            </w:r>
          </w:p>
        </w:tc>
        <w:tc>
          <w:tcPr>
            <w:tcW w:type="dxa" w:w="4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83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226"/>
        </w:trPr>
        <w:tc>
          <w:tcPr>
            <w:tcW w:type="dxa" w:w="34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</w:t>
            </w:r>
          </w:p>
        </w:tc>
        <w:tc>
          <w:tcPr>
            <w:tcW w:type="dxa" w:w="20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6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8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 </w:t>
            </w:r>
          </w:p>
        </w:tc>
        <w:tc>
          <w:tcPr>
            <w:tcW w:type="dxa" w:w="4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8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812 </w:t>
            </w:r>
          </w:p>
        </w:tc>
        <w:tc>
          <w:tcPr>
            <w:tcW w:type="dxa" w:w="46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8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826 </w:t>
            </w:r>
          </w:p>
        </w:tc>
      </w:tr>
      <w:tr>
        <w:trPr>
          <w:trHeight w:hRule="exact" w:val="220"/>
        </w:trPr>
        <w:tc>
          <w:tcPr>
            <w:tcW w:type="dxa" w:w="34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3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5,893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3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1,314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3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7,207 </w:t>
            </w:r>
          </w:p>
        </w:tc>
      </w:tr>
      <w:tr>
        <w:trPr>
          <w:trHeight w:hRule="exact" w:val="220"/>
        </w:trPr>
        <w:tc>
          <w:tcPr>
            <w:tcW w:type="dxa" w:w="34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Client operations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8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274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8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424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8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698 </w:t>
            </w:r>
          </w:p>
        </w:tc>
      </w:tr>
      <w:tr>
        <w:trPr>
          <w:trHeight w:hRule="exact" w:val="220"/>
        </w:trPr>
        <w:tc>
          <w:tcPr>
            <w:tcW w:type="dxa" w:w="34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3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1,555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3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1,507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3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3,062 </w:t>
            </w:r>
          </w:p>
        </w:tc>
      </w:tr>
      <w:tr>
        <w:trPr>
          <w:trHeight w:hRule="exact" w:val="240"/>
        </w:trPr>
        <w:tc>
          <w:tcPr>
            <w:tcW w:type="dxa" w:w="34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asset/liability management derivatives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8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241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8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8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241 </w:t>
            </w:r>
          </w:p>
        </w:tc>
      </w:tr>
      <w:tr>
        <w:trPr>
          <w:trHeight w:hRule="exact" w:val="206"/>
        </w:trPr>
        <w:tc>
          <w:tcPr>
            <w:tcW w:type="dxa" w:w="34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Exposure</w:t>
            </w:r>
          </w:p>
        </w:tc>
        <w:tc>
          <w:tcPr>
            <w:tcW w:type="dxa" w:w="2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3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7,977 </w:t>
            </w:r>
          </w:p>
        </w:tc>
        <w:tc>
          <w:tcPr>
            <w:tcW w:type="dxa" w:w="4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3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4,057 </w:t>
            </w:r>
          </w:p>
        </w:tc>
        <w:tc>
          <w:tcPr>
            <w:tcW w:type="dxa" w:w="4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12,034 </w:t>
            </w:r>
          </w:p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220" w:after="0"/>
        <w:ind w:left="62" w:right="144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Excludes exchange traded instruments as they are generally subject to daily margin requirements and are deemed to have no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material credit risk.</w:t>
      </w:r>
    </w:p>
    <w:p>
      <w:pPr>
        <w:autoSpaceDN w:val="0"/>
        <w:autoSpaceDE w:val="0"/>
        <w:widowControl/>
        <w:spacing w:line="224" w:lineRule="exact" w:before="90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46     IBRD Condensed Quarterly Financial Statements: December 31, 2024 (Unaudited)</w:t>
      </w:r>
    </w:p>
    <w:p>
      <w:pPr>
        <w:sectPr>
          <w:pgSz w:w="12240" w:h="15840"/>
          <w:pgMar w:top="700" w:right="137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volume of derivative contracts is measured using the U.S. dollar equivalent notional balance. The notional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balance represents the face value or reference value on which the calculations of payments on the derivative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instruments are determined. As of December 31, 2024, the notional amounts of IBRD’s derivative contracts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outstanding were as follows: interest rate swaps $428,598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million ($436,783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million—June 30, 2024), currency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swaps $126,819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million ($120,483 million—June 30, 2024), long positions of other derivatives $331 million ($280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million—June 30, 2024), and short positions of other derivatives $203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million ($201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million—June 30, 2024).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is not required to post collateral under its derivative agreements as long as it maintains a triple-A credit rating.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aggregate fair value of all derivative instruments with credit-risk related contingent features that were in 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liability position as of December 31, 2024 was $19,547 million ($22,858 million—June 30, 2024). IBRD has not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posted any collateral with these counterparties due to its triple-A credit rating.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If the credit risk related contingent features underlying these agreements were triggered to the extent that IBRD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would be required to post collateral as of December 31, 2024, the amount of collateral that would need to be posted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would be $14,963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million ($18,593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million—June 30, 2024). Subsequent triggers of contingent features would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require posting of additional collateral, up to a maximum of $19,547 million ($22,858 million—June 30, 2024).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IBRD received collateral totaling $315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million as of December 31, 2024 ($343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million—June 30, 2024), in relation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to swap transactions (Note C—Investments).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 provides information on the unrealized mark-to-market gains and losses on the non-trading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derivatives and their location on the Condensed Statements of Income: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F3: Unrealized mark-to-market gains or losses on non-trading derivatives</w:t>
      </w:r>
    </w:p>
    <w:p>
      <w:pPr>
        <w:autoSpaceDN w:val="0"/>
        <w:autoSpaceDE w:val="0"/>
        <w:widowControl/>
        <w:spacing w:line="178" w:lineRule="exact" w:before="86" w:after="14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80"/>
      </w:tblGrid>
      <w:tr>
        <w:trPr>
          <w:trHeight w:hRule="exact" w:val="184"/>
        </w:trPr>
        <w:tc>
          <w:tcPr>
            <w:tcW w:type="dxa" w:w="269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Type of instrument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32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Reported as:</w:t>
            </w:r>
          </w:p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Three Months Ended </w:t>
            </w:r>
          </w:p>
        </w:tc>
        <w:tc>
          <w:tcPr>
            <w:tcW w:type="dxa" w:w="23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1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Six Months Ended </w:t>
            </w:r>
          </w:p>
        </w:tc>
      </w:tr>
      <w:tr>
        <w:trPr>
          <w:trHeight w:hRule="exact" w:val="230"/>
        </w:trPr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70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December 31,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51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December 31,</w:t>
            </w:r>
          </w:p>
        </w:tc>
      </w:tr>
      <w:tr>
        <w:trPr>
          <w:trHeight w:hRule="exact" w:val="224"/>
        </w:trPr>
        <w:tc>
          <w:tcPr>
            <w:tcW w:type="dxa" w:w="26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2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6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2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4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85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</w:tr>
      <w:tr>
        <w:trPr>
          <w:trHeight w:hRule="exact" w:val="248"/>
        </w:trPr>
        <w:tc>
          <w:tcPr>
            <w:tcW w:type="dxa" w:w="26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325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6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Unrealized mark-to-market (losses) gains </w:t>
            </w:r>
          </w:p>
        </w:tc>
        <w:tc>
          <w:tcPr>
            <w:tcW w:type="dxa" w:w="107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(2,406) $ </w:t>
            </w:r>
          </w:p>
        </w:tc>
        <w:tc>
          <w:tcPr>
            <w:tcW w:type="dxa" w:w="63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6,647 </w:t>
            </w:r>
          </w:p>
        </w:tc>
        <w:tc>
          <w:tcPr>
            <w:tcW w:type="dxa" w:w="23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3,191 </w:t>
            </w:r>
          </w:p>
        </w:tc>
        <w:tc>
          <w:tcPr>
            <w:tcW w:type="dxa" w:w="294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56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4,511 </w:t>
            </w:r>
          </w:p>
        </w:tc>
      </w:tr>
      <w:tr>
        <w:trPr>
          <w:trHeight w:hRule="exact" w:val="214"/>
        </w:trPr>
        <w:tc>
          <w:tcPr>
            <w:tcW w:type="dxa" w:w="2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swaps (including currency </w:t>
            </w:r>
          </w:p>
        </w:tc>
        <w:tc>
          <w:tcPr>
            <w:tcW w:type="dxa" w:w="1180"/>
            <w:vMerge/>
            <w:tcBorders>
              <w:top w:sz="8.0" w:val="single" w:color="#000000"/>
            </w:tcBorders>
          </w:tcPr>
          <w:p/>
        </w:tc>
        <w:tc>
          <w:tcPr>
            <w:tcW w:type="dxa" w:w="1180"/>
            <w:vMerge/>
            <w:tcBorders>
              <w:top w:sz="8.0" w:val="single" w:color="#000000"/>
            </w:tcBorders>
          </w:tcPr>
          <w:p/>
        </w:tc>
        <w:tc>
          <w:tcPr>
            <w:tcW w:type="dxa" w:w="1180"/>
            <w:vMerge/>
            <w:tcBorders>
              <w:top w:sz="8.0" w:val="single" w:color="#000000"/>
            </w:tcBorders>
          </w:tcPr>
          <w:p/>
        </w:tc>
        <w:tc>
          <w:tcPr>
            <w:tcW w:type="dxa" w:w="118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80"/>
            <w:vMerge/>
            <w:tcBorders>
              <w:top w:sz="8.0" w:val="single" w:color="#000000"/>
            </w:tcBorders>
          </w:tcPr>
          <w:p/>
        </w:tc>
        <w:tc>
          <w:tcPr>
            <w:tcW w:type="dxa" w:w="1180"/>
            <w:vMerge/>
            <w:tcBorders>
              <w:top w:sz="8.0" w:val="single" w:color="#000000"/>
            </w:tcBorders>
          </w:tcPr>
          <w:p/>
        </w:tc>
        <w:tc>
          <w:tcPr>
            <w:tcW w:type="dxa" w:w="1180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08"/>
        </w:trPr>
        <w:tc>
          <w:tcPr>
            <w:tcW w:type="dxa" w:w="2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forward contracts and structured </w:t>
            </w:r>
          </w:p>
        </w:tc>
        <w:tc>
          <w:tcPr>
            <w:tcW w:type="dxa" w:w="32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on non-trading portfolios, net</w:t>
            </w:r>
          </w:p>
        </w:tc>
        <w:tc>
          <w:tcPr>
            <w:tcW w:type="dxa" w:w="10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(357) </w:t>
            </w:r>
          </w:p>
        </w:tc>
        <w:tc>
          <w:tcPr>
            <w:tcW w:type="dxa" w:w="63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6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1,517 </w:t>
            </w:r>
          </w:p>
        </w:tc>
        <w:tc>
          <w:tcPr>
            <w:tcW w:type="dxa" w:w="118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6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802 </w:t>
            </w:r>
          </w:p>
        </w:tc>
        <w:tc>
          <w:tcPr>
            <w:tcW w:type="dxa" w:w="850"/>
            <w:gridSpan w:val="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1,797 </w:t>
            </w:r>
          </w:p>
        </w:tc>
      </w:tr>
      <w:tr>
        <w:trPr>
          <w:trHeight w:hRule="exact" w:val="216"/>
        </w:trPr>
        <w:tc>
          <w:tcPr>
            <w:tcW w:type="dxa" w:w="26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swaps)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18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2360"/>
            <w:gridSpan w:val="2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06"/>
        </w:trPr>
        <w:tc>
          <w:tcPr>
            <w:tcW w:type="dxa" w:w="26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2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(2,763) $ </w:t>
            </w:r>
          </w:p>
        </w:tc>
        <w:tc>
          <w:tcPr>
            <w:tcW w:type="dxa" w:w="6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8,164 </w:t>
            </w:r>
          </w:p>
        </w:tc>
        <w:tc>
          <w:tcPr>
            <w:tcW w:type="dxa" w:w="2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3,993 </w:t>
            </w:r>
          </w:p>
        </w:tc>
        <w:tc>
          <w:tcPr>
            <w:tcW w:type="dxa" w:w="2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6,308 </w:t>
            </w:r>
          </w:p>
        </w:tc>
      </w:tr>
    </w:tbl>
    <w:p>
      <w:pPr>
        <w:autoSpaceDN w:val="0"/>
        <w:autoSpaceDE w:val="0"/>
        <w:widowControl/>
        <w:spacing w:line="180" w:lineRule="exact" w:before="29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For disclosures related to derivatives in trading portfolio, see Table F4. </w:t>
      </w:r>
    </w:p>
    <w:p>
      <w:pPr>
        <w:autoSpaceDN w:val="0"/>
        <w:autoSpaceDE w:val="0"/>
        <w:widowControl/>
        <w:spacing w:line="240" w:lineRule="exact" w:before="19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All of the instruments in IBRD’s investment portfolio are held for trading purposes. Within the investment portfolio,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holds highly rated fixed income securities, equity securities and derivatives. The trading portfolio is primarily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held to ensure the availability of funds to meet future cash flow requirements and for liquidity management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purposes.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 provides information on the amount of unrealized mark-to-market gains and losses on the net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Investment–Trading portfolio and their location on the Condensed Statements of Income: </w:t>
      </w:r>
    </w:p>
    <w:p>
      <w:pPr>
        <w:autoSpaceDN w:val="0"/>
        <w:autoSpaceDE w:val="0"/>
        <w:widowControl/>
        <w:spacing w:line="222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F4: Unrealized mark-to-market gains or losses on net investment-trading portfolio</w:t>
      </w:r>
    </w:p>
    <w:p>
      <w:pPr>
        <w:autoSpaceDN w:val="0"/>
        <w:autoSpaceDE w:val="0"/>
        <w:widowControl/>
        <w:spacing w:line="180" w:lineRule="exact" w:before="92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14"/>
        </w:trPr>
        <w:tc>
          <w:tcPr>
            <w:tcW w:type="dxa" w:w="59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6" w:after="0"/>
              <w:ind w:left="0" w:right="117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Reported as:</w:t>
            </w:r>
          </w:p>
        </w:tc>
        <w:tc>
          <w:tcPr>
            <w:tcW w:type="dxa" w:w="171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Three Months Ended </w:t>
            </w:r>
          </w:p>
        </w:tc>
        <w:tc>
          <w:tcPr>
            <w:tcW w:type="dxa" w:w="171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22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Six Months Ended </w:t>
            </w:r>
          </w:p>
        </w:tc>
      </w:tr>
      <w:tr>
        <w:trPr>
          <w:trHeight w:hRule="exact" w:val="220"/>
        </w:trPr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71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December 31,</w:t>
            </w:r>
          </w:p>
        </w:tc>
        <w:tc>
          <w:tcPr>
            <w:tcW w:type="dxa" w:w="171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December 31,</w:t>
            </w:r>
          </w:p>
        </w:tc>
      </w:tr>
      <w:tr>
        <w:trPr>
          <w:trHeight w:hRule="exact" w:val="240"/>
        </w:trPr>
        <w:tc>
          <w:tcPr>
            <w:tcW w:type="dxa" w:w="59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8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8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85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</w:tr>
    </w:tbl>
    <w:p>
      <w:pPr>
        <w:autoSpaceDN w:val="0"/>
        <w:autoSpaceDE w:val="0"/>
        <w:widowControl/>
        <w:spacing w:line="200" w:lineRule="exact" w:before="0" w:after="28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Type of instrument </w:t>
      </w:r>
      <w:r>
        <w:rPr>
          <w:w w:val="103.99999618530273"/>
          <w:rFonts w:ascii="ArialMT" w:hAnsi="ArialMT" w:eastAsia="ArialMT"/>
          <w:b w:val="0"/>
          <w:i w:val="0"/>
          <w:color w:val="000000"/>
          <w:sz w:val="10"/>
        </w:rPr>
        <w:t>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80"/>
      </w:tblGrid>
      <w:tr>
        <w:trPr>
          <w:trHeight w:hRule="exact" w:val="202"/>
        </w:trPr>
        <w:tc>
          <w:tcPr>
            <w:tcW w:type="dxa" w:w="2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Fixed income </w:t>
            </w:r>
          </w:p>
        </w:tc>
        <w:tc>
          <w:tcPr>
            <w:tcW w:type="dxa" w:w="36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52" w:after="0"/>
              <w:ind w:left="5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Unrealized mark-to-market (losses) gains </w:t>
            </w:r>
          </w:p>
        </w:tc>
        <w:tc>
          <w:tcPr>
            <w:tcW w:type="dxa" w:w="3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(35) $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 </w:t>
            </w:r>
          </w:p>
        </w:tc>
        <w:tc>
          <w:tcPr>
            <w:tcW w:type="dxa" w:w="3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(70) $ </w:t>
            </w:r>
          </w:p>
        </w:tc>
        <w:tc>
          <w:tcPr>
            <w:tcW w:type="dxa" w:w="4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(6) </w:t>
            </w:r>
          </w:p>
        </w:tc>
      </w:tr>
      <w:tr>
        <w:trPr>
          <w:trHeight w:hRule="exact" w:val="136"/>
        </w:trPr>
        <w:tc>
          <w:tcPr>
            <w:tcW w:type="dxa" w:w="23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Equity and other fund </w:t>
            </w:r>
          </w:p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8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6" w:after="0"/>
              <w:ind w:left="0" w:right="3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(1) </w:t>
            </w:r>
          </w:p>
        </w:tc>
        <w:tc>
          <w:tcPr>
            <w:tcW w:type="dxa" w:w="4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 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8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6" w:after="0"/>
              <w:ind w:left="2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 </w:t>
            </w:r>
          </w:p>
        </w:tc>
        <w:tc>
          <w:tcPr>
            <w:tcW w:type="dxa" w:w="4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 </w:t>
            </w:r>
          </w:p>
        </w:tc>
      </w:tr>
      <w:tr>
        <w:trPr>
          <w:trHeight w:hRule="exact" w:val="114"/>
        </w:trPr>
        <w:tc>
          <w:tcPr>
            <w:tcW w:type="dxa" w:w="1180"/>
            <w:vMerge/>
            <w:tcBorders/>
          </w:tcPr>
          <w:p/>
        </w:tc>
        <w:tc>
          <w:tcPr>
            <w:tcW w:type="dxa" w:w="36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7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on Investments-Trading portfolio, net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23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3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investments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6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(36) $ </w:t>
            </w:r>
          </w:p>
        </w:tc>
        <w:tc>
          <w:tcPr>
            <w:tcW w:type="dxa" w:w="4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 </w:t>
            </w:r>
          </w:p>
        </w:tc>
        <w:tc>
          <w:tcPr>
            <w:tcW w:type="dxa" w:w="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(43) $ </w:t>
            </w:r>
          </w:p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 </w:t>
            </w:r>
          </w:p>
        </w:tc>
      </w:tr>
      <w:tr>
        <w:trPr>
          <w:trHeight w:hRule="exact" w:val="260"/>
        </w:trPr>
        <w:tc>
          <w:tcPr>
            <w:tcW w:type="dxa" w:w="2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22" w:after="0"/>
        <w:ind w:left="62" w:right="576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Amounts associated with each type of instrument include gains and losses on both derivative instruments and investment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securities. 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Related to PEBP holdings.</w:t>
      </w:r>
    </w:p>
    <w:p>
      <w:pPr>
        <w:autoSpaceDN w:val="0"/>
        <w:autoSpaceDE w:val="0"/>
        <w:widowControl/>
        <w:spacing w:line="224" w:lineRule="exact" w:before="876" w:after="0"/>
        <w:ind w:left="155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Condensed Quarterly Financial Statements: December 31, 2024 (Unaudited)     47</w:t>
      </w:r>
    </w:p>
    <w:p>
      <w:pPr>
        <w:sectPr>
          <w:pgSz w:w="12240" w:h="15840"/>
          <w:pgMar w:top="700" w:right="137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6" w:lineRule="exact" w:before="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NOTE G—RETAINED EARNINGS, ALLOCATIONS AND TRANSFERS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makes net income allocation decisions on the basis of reported net income, adjusted to exclude unrealized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mark-to-market gains and losses on the non-trading portfolios, net; restricted income; Board of Governors-approved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and other transfers; non-functional currency translation adjustments; and the allocation to the pension reserve.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On August 6, 2024, IBRD’s Executive Directors approved the following allocations relating to the net income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earned in the fiscal year ended June 30, 2024: an increase in the General Reserve of $834 million and an increase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Pension Reserve by $306 million.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On September 9, 2024, IBRD’s Board of Governors approved contributions from Surplus of $100 million to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Trust Fund for Gaza and the West Bank. The transfer was made on September 16, 2024.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On September 18, 2024, IBRD’s Board of Governors approved a transfer of $515 million to the International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Development Association (IDA) and a transfer of $500 million to Surplus out of the net income earned in the fiscal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year ended June 30, 2024. The transfer to IDA was made on September 30, 2024 and is recorded in Board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Governors-approved and other transfers on the Condensed Statements of Income.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On September 18, 2024, IBRD's Board of Governors approved an additional transfer of $200 million from Surplus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to the Trust Fund for Gaza and the West Bank and a transfer of $200 million from Surplus to the IBRD Surplus-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Funded Livable Planet Fund (LPF1). Both transfers were made on September 30, 2024.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Contributions to the Trust Fund for Gaza and West Bank are recorded in Board of Governors-approved and other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transfers on the Condensed Statements of Income.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the six months ended December 31, 2024, no grants were made by the LPF1 Fund and no contribution expenses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were recognized on the Condensed Statements of Income. Unutilized LPF1 contributions are included in Retained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Earnings on the Condensed Balance Sheet ($301 million —December 31, 2024 and $101 million —June 30, 2024). 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Retained earnings is comprised of the following components: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G1: Retained earnings composition</w:t>
      </w:r>
    </w:p>
    <w:p>
      <w:pPr>
        <w:autoSpaceDN w:val="0"/>
        <w:autoSpaceDE w:val="0"/>
        <w:widowControl/>
        <w:spacing w:line="178" w:lineRule="exact" w:before="9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4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December 31, 2024</w:t>
            </w:r>
          </w:p>
        </w:tc>
        <w:tc>
          <w:tcPr>
            <w:tcW w:type="dxa" w:w="2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7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  <w:tr>
        <w:trPr>
          <w:trHeight w:hRule="exact" w:val="236"/>
        </w:trPr>
        <w:tc>
          <w:tcPr>
            <w:tcW w:type="dxa" w:w="60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Special reserve</w:t>
            </w:r>
          </w:p>
        </w:tc>
        <w:tc>
          <w:tcPr>
            <w:tcW w:type="dxa" w:w="5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293 </w:t>
            </w:r>
          </w:p>
        </w:tc>
        <w:tc>
          <w:tcPr>
            <w:tcW w:type="dxa" w:w="27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293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General reserve</w:t>
            </w:r>
          </w:p>
        </w:tc>
        <w:tc>
          <w:tcPr>
            <w:tcW w:type="dxa" w:w="16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34,058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33,224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Pension reserve</w:t>
            </w:r>
          </w:p>
        </w:tc>
        <w:tc>
          <w:tcPr>
            <w:tcW w:type="dxa" w:w="16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987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681 </w:t>
            </w:r>
          </w:p>
        </w:tc>
      </w:tr>
      <w:tr>
        <w:trPr>
          <w:trHeight w:hRule="exact" w:val="22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Surplus</w:t>
            </w:r>
          </w:p>
        </w:tc>
        <w:tc>
          <w:tcPr>
            <w:tcW w:type="dxa" w:w="16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100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100 </w:t>
            </w:r>
          </w:p>
        </w:tc>
      </w:tr>
      <w:tr>
        <w:trPr>
          <w:trHeight w:hRule="exact" w:val="26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Cumulative fair value adjustments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6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1,390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1,103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Unallocated net income</w:t>
            </w:r>
          </w:p>
        </w:tc>
        <w:tc>
          <w:tcPr>
            <w:tcW w:type="dxa" w:w="16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774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2,513 </w:t>
            </w:r>
          </w:p>
        </w:tc>
      </w:tr>
      <w:tr>
        <w:trPr>
          <w:trHeight w:hRule="exact" w:val="22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Restricted retained earnings</w:t>
            </w:r>
          </w:p>
        </w:tc>
        <w:tc>
          <w:tcPr>
            <w:tcW w:type="dxa" w:w="16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 </w:t>
            </w:r>
          </w:p>
        </w:tc>
      </w:tr>
      <w:tr>
        <w:trPr>
          <w:trHeight w:hRule="exact" w:val="264"/>
        </w:trPr>
        <w:tc>
          <w:tcPr>
            <w:tcW w:type="dxa" w:w="60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reserves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62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629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358 </w:t>
            </w:r>
          </w:p>
        </w:tc>
      </w:tr>
      <w:tr>
        <w:trPr>
          <w:trHeight w:hRule="exact" w:val="22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38,242 </w:t>
            </w:r>
          </w:p>
        </w:tc>
        <w:tc>
          <w:tcPr>
            <w:tcW w:type="dxa" w:w="2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38,283 </w:t>
            </w:r>
          </w:p>
        </w:tc>
      </w:tr>
    </w:tbl>
    <w:p>
      <w:pPr>
        <w:autoSpaceDN w:val="0"/>
        <w:autoSpaceDE w:val="0"/>
        <w:widowControl/>
        <w:spacing w:line="178" w:lineRule="exact" w:before="28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Unrealized mark-to-market gains (losses), net related to non-trading portfolios reported at fair value.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40" w:after="0"/>
        <w:ind w:left="62" w:right="432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b. Comprised of non-functional currency translation gains/losses, the unutilized portion of the cumulative transfers to the LPF1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Fund and revenue from prior years which is set aside for a dedicated purpose.</w:t>
      </w:r>
    </w:p>
    <w:p>
      <w:pPr>
        <w:autoSpaceDN w:val="0"/>
        <w:autoSpaceDE w:val="0"/>
        <w:widowControl/>
        <w:spacing w:line="246" w:lineRule="exact" w:before="31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NOTE H—TRANSACTIONS WITH AFFILIATED ORGANIZATIONS</w:t>
      </w:r>
    </w:p>
    <w:p>
      <w:pPr>
        <w:autoSpaceDN w:val="0"/>
        <w:autoSpaceDE w:val="0"/>
        <w:widowControl/>
        <w:spacing w:line="240" w:lineRule="exact" w:before="11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transacts with affiliated organizations by providing loans, administrative, derivative and investment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intermediation services, and through its pension and other postretirement benefit plans.</w:t>
      </w:r>
    </w:p>
    <w:p>
      <w:pPr>
        <w:autoSpaceDN w:val="0"/>
        <w:autoSpaceDE w:val="0"/>
        <w:widowControl/>
        <w:spacing w:line="240" w:lineRule="exact" w:before="120" w:after="0"/>
        <w:ind w:left="10" w:right="28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addition, IBRD provides transfers to IDA out of its net income, upon approval by the Board of Governors (see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Note G—Retained Earnings, Allocations and Transfers).</w:t>
      </w:r>
    </w:p>
    <w:p>
      <w:pPr>
        <w:autoSpaceDN w:val="0"/>
        <w:autoSpaceDE w:val="0"/>
        <w:widowControl/>
        <w:spacing w:line="224" w:lineRule="exact" w:before="1562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48     IBRD Condensed Quarterly Financial Statements: December 31, 2024 (Unaudited)</w:t>
      </w:r>
    </w:p>
    <w:p>
      <w:pPr>
        <w:sectPr>
          <w:pgSz w:w="12240" w:h="15840"/>
          <w:pgMar w:top="700" w:right="137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IBRD had the following receivables from (payables to) its affiliated organizations</w:t>
      </w:r>
      <w:r>
        <w:rPr>
          <w:rFonts w:ascii="ArialMT" w:hAnsi="ArialMT" w:eastAsia="ArialMT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H1: IBRD’s receivables and payables with affiliated organizations</w:t>
      </w:r>
    </w:p>
    <w:p>
      <w:pPr>
        <w:autoSpaceDN w:val="0"/>
        <w:autoSpaceDE w:val="0"/>
        <w:widowControl/>
        <w:spacing w:line="178" w:lineRule="exact" w:before="86" w:after="14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</w:tblGrid>
      <w:tr>
        <w:trPr>
          <w:trHeight w:hRule="exact" w:val="224"/>
        </w:trPr>
        <w:tc>
          <w:tcPr>
            <w:tcW w:type="dxa" w:w="2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8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December 31, 2024</w:t>
            </w:r>
          </w:p>
        </w:tc>
        <w:tc>
          <w:tcPr>
            <w:tcW w:type="dxa" w:w="2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4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7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  <w:tc>
          <w:tcPr>
            <w:tcW w:type="dxa" w:w="2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4"/>
        </w:trPr>
        <w:tc>
          <w:tcPr>
            <w:tcW w:type="dxa" w:w="2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5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IDA</w:t>
            </w:r>
          </w:p>
        </w:tc>
        <w:tc>
          <w:tcPr>
            <w:tcW w:type="dxa" w:w="104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48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IFC</w:t>
            </w:r>
          </w:p>
        </w:tc>
        <w:tc>
          <w:tcPr>
            <w:tcW w:type="dxa" w:w="6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MIGA</w:t>
            </w:r>
          </w:p>
        </w:tc>
        <w:tc>
          <w:tcPr>
            <w:tcW w:type="dxa" w:w="2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  <w:tc>
          <w:tcPr>
            <w:tcW w:type="dxa" w:w="2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5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IDA</w:t>
            </w:r>
          </w:p>
        </w:tc>
        <w:tc>
          <w:tcPr>
            <w:tcW w:type="dxa" w:w="2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IFC</w:t>
            </w:r>
          </w:p>
        </w:tc>
        <w:tc>
          <w:tcPr>
            <w:tcW w:type="dxa" w:w="76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MIGA</w:t>
            </w:r>
          </w:p>
        </w:tc>
        <w:tc>
          <w:tcPr>
            <w:tcW w:type="dxa" w:w="2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226"/>
        </w:trPr>
        <w:tc>
          <w:tcPr>
            <w:tcW w:type="dxa" w:w="28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Administrative services</w:t>
            </w:r>
          </w:p>
        </w:tc>
        <w:tc>
          <w:tcPr>
            <w:tcW w:type="dxa" w:w="21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598 </w:t>
            </w:r>
          </w:p>
        </w:tc>
        <w:tc>
          <w:tcPr>
            <w:tcW w:type="dxa" w:w="3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(10) $ </w:t>
            </w:r>
          </w:p>
        </w:tc>
        <w:tc>
          <w:tcPr>
            <w:tcW w:type="dxa" w:w="6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 </w:t>
            </w:r>
          </w:p>
        </w:tc>
        <w:tc>
          <w:tcPr>
            <w:tcW w:type="dxa" w:w="236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609 </w:t>
            </w:r>
          </w:p>
        </w:tc>
        <w:tc>
          <w:tcPr>
            <w:tcW w:type="dxa" w:w="25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279 </w:t>
            </w:r>
          </w:p>
        </w:tc>
        <w:tc>
          <w:tcPr>
            <w:tcW w:type="dxa" w:w="264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4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2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 </w:t>
            </w:r>
          </w:p>
        </w:tc>
        <w:tc>
          <w:tcPr>
            <w:tcW w:type="dxa" w:w="236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296 </w:t>
            </w:r>
          </w:p>
        </w:tc>
      </w:tr>
      <w:tr>
        <w:trPr>
          <w:trHeight w:hRule="exact" w:val="258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PCRF investments</w:t>
            </w:r>
          </w:p>
        </w:tc>
        <w:tc>
          <w:tcPr>
            <w:tcW w:type="dxa" w:w="590"/>
            <w:vMerge/>
            <w:tcBorders>
              <w:top w:sz="8.0" w:val="single" w:color="#000000"/>
            </w:tcBorders>
          </w:tcPr>
          <w:p/>
        </w:tc>
        <w:tc>
          <w:tcPr>
            <w:tcW w:type="dxa" w:w="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(599) </w:t>
            </w:r>
          </w:p>
        </w:tc>
        <w:tc>
          <w:tcPr>
            <w:tcW w:type="dxa" w:w="10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(416) </w:t>
            </w:r>
          </w:p>
        </w:tc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90"/>
            <w:vMerge/>
            <w:tcBorders>
              <w:top w:sz="8.0" w:val="single" w:color="#000000"/>
            </w:tcBorders>
          </w:tcPr>
          <w:p/>
        </w:tc>
        <w:tc>
          <w:tcPr>
            <w:tcW w:type="dxa" w:w="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(1,015) </w:t>
            </w:r>
          </w:p>
        </w:tc>
        <w:tc>
          <w:tcPr>
            <w:tcW w:type="dxa" w:w="590"/>
            <w:vMerge/>
            <w:tcBorders>
              <w:top w:sz="8.0" w:val="single" w:color="#000000"/>
            </w:tcBorders>
          </w:tcPr>
          <w:p/>
        </w:tc>
        <w:tc>
          <w:tcPr>
            <w:tcW w:type="dxa" w:w="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(489) </w:t>
            </w:r>
          </w:p>
        </w:tc>
        <w:tc>
          <w:tcPr>
            <w:tcW w:type="dxa" w:w="590"/>
            <w:vMerge/>
            <w:tcBorders>
              <w:top w:sz="8.0" w:val="single" w:color="#000000"/>
            </w:tcBorders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(344) </w:t>
            </w:r>
          </w:p>
        </w:tc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90"/>
            <w:vMerge/>
            <w:tcBorders>
              <w:top w:sz="8.0" w:val="single" w:color="#000000"/>
            </w:tcBorders>
          </w:tcPr>
          <w:p/>
        </w:tc>
        <w:tc>
          <w:tcPr>
            <w:tcW w:type="dxa" w:w="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(833) 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8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Pension and other postretirement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</w:tblGrid>
      <w:tr>
        <w:trPr>
          <w:trHeight w:hRule="exact" w:val="214"/>
        </w:trPr>
        <w:tc>
          <w:tcPr>
            <w:tcW w:type="dxa" w:w="2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benefits</w:t>
            </w:r>
          </w:p>
        </w:tc>
        <w:tc>
          <w:tcPr>
            <w:tcW w:type="dxa" w:w="2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(966) </w:t>
            </w:r>
          </w:p>
        </w:tc>
        <w:tc>
          <w:tcPr>
            <w:tcW w:type="dxa" w:w="11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(793) </w:t>
            </w:r>
          </w:p>
        </w:tc>
        <w:tc>
          <w:tcPr>
            <w:tcW w:type="dxa" w:w="4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(31) </w:t>
            </w:r>
          </w:p>
        </w:tc>
        <w:tc>
          <w:tcPr>
            <w:tcW w:type="dxa" w:w="8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(1,790) </w:t>
            </w:r>
          </w:p>
        </w:tc>
        <w:tc>
          <w:tcPr>
            <w:tcW w:type="dxa" w:w="8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(906) </w:t>
            </w:r>
          </w:p>
        </w:tc>
        <w:tc>
          <w:tcPr>
            <w:tcW w:type="dxa" w:w="11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(774) </w:t>
            </w:r>
          </w:p>
        </w:tc>
        <w:tc>
          <w:tcPr>
            <w:tcW w:type="dxa" w:w="4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(30) </w:t>
            </w:r>
          </w:p>
        </w:tc>
        <w:tc>
          <w:tcPr>
            <w:tcW w:type="dxa" w:w="8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(1,710) </w:t>
            </w:r>
          </w:p>
        </w:tc>
      </w:tr>
      <w:tr>
        <w:trPr>
          <w:trHeight w:hRule="exact" w:val="204"/>
        </w:trPr>
        <w:tc>
          <w:tcPr>
            <w:tcW w:type="dxa" w:w="2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2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680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(967)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  <w:u w:val="single"/>
              </w:rPr>
              <w:t xml:space="preserve">$ (1,219)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300"/>
            <w:gridSpan w:val="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  <w:u w:val="single"/>
              </w:rPr>
              <w:t xml:space="preserve">$ (2,196)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  <w:u w:val="single"/>
              </w:rPr>
              <w:t xml:space="preserve">$ (1,116)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  <w:u w:val="single"/>
              </w:rPr>
              <w:t xml:space="preserve">$ (1,117)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90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(14)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  <w:u w:val="single"/>
              </w:rPr>
              <w:t xml:space="preserve">$ (2,247) </w:t>
            </w:r>
          </w:p>
        </w:tc>
      </w:tr>
      <w:tr>
        <w:trPr>
          <w:trHeight w:hRule="exact" w:val="246"/>
        </w:trPr>
        <w:tc>
          <w:tcPr>
            <w:tcW w:type="dxa" w:w="2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8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3776"/>
            <w:gridSpan w:val="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888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162" w:after="168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receivables from (payables to) these affiliated organizations are reported on the Condensed Balance Sheets 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0"/>
        <w:gridCol w:w="4720"/>
      </w:tblGrid>
      <w:tr>
        <w:trPr>
          <w:trHeight w:hRule="exact" w:val="900"/>
        </w:trPr>
        <w:tc>
          <w:tcPr>
            <w:tcW w:type="dxa" w:w="38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10" w:right="72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Receivables / Payables related to: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Administrative services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PCRF investments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Pension and other postretirement benefits</w:t>
            </w:r>
          </w:p>
        </w:tc>
        <w:tc>
          <w:tcPr>
            <w:tcW w:type="dxa" w:w="55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860" w:right="360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Reported as: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assets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liabilities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liabilities</w:t>
            </w:r>
          </w:p>
        </w:tc>
      </w:tr>
    </w:tbl>
    <w:p>
      <w:pPr>
        <w:autoSpaceDN w:val="0"/>
        <w:autoSpaceDE w:val="0"/>
        <w:widowControl/>
        <w:spacing w:line="244" w:lineRule="exact" w:before="162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Loans and Other Exposures</w:t>
      </w:r>
    </w:p>
    <w:p>
      <w:pPr>
        <w:autoSpaceDN w:val="0"/>
        <w:autoSpaceDE w:val="0"/>
        <w:widowControl/>
        <w:spacing w:line="240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has a Local Currency Loan Facility Agreement with IFC, which is capped at $300 million. As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December 31, 2024 and June 30, 2024, there were no loans outstanding under this facility. 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Administrative Services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Expenses jointly incurred by IBRD and IDA are allocated based on an agreed cost-sharing methodology,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amounts are settled quarterly. For the three and six months ended December 31, 2024, IBRD’s administrative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expenses exclude the share of expenses allocated to IDA of $492 million and $955 million, respectively ($443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million and $871 million—three and six months ended December 31, 2023).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Revenue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Revenue jointly earned by IBRD and IDA is allocated based on an agreed revenue-sharing methodology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amounts are settled quarterly. For the three and six months ended December 31, 2024, IBRD’s other revenue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excludes revenue allocated to IDA of $88 million and $156 million ($91 million and $151 million—three and six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months ended December 31, 2023), and is included in Revenue from externally funded activities in the Condensed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Statements of Income. This revenue also includes revenue from contracts with clients that are not affiliated with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and are as follows: 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H2: Revenue from contracts with clients</w:t>
      </w:r>
    </w:p>
    <w:p>
      <w:pPr>
        <w:autoSpaceDN w:val="0"/>
        <w:autoSpaceDE w:val="0"/>
        <w:widowControl/>
        <w:spacing w:line="178" w:lineRule="exact" w:before="9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</w:tblGrid>
      <w:tr>
        <w:trPr>
          <w:trHeight w:hRule="exact" w:val="240"/>
        </w:trPr>
        <w:tc>
          <w:tcPr>
            <w:tcW w:type="dxa" w:w="3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10"/>
            <w:gridSpan w:val="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Three Months Ended December 31,</w:t>
            </w:r>
          </w:p>
        </w:tc>
        <w:tc>
          <w:tcPr>
            <w:tcW w:type="dxa" w:w="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50"/>
            <w:gridSpan w:val="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4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Six Months Ended December 31,</w:t>
            </w:r>
          </w:p>
        </w:tc>
      </w:tr>
      <w:tr>
        <w:trPr>
          <w:trHeight w:hRule="exact" w:val="240"/>
        </w:trPr>
        <w:tc>
          <w:tcPr>
            <w:tcW w:type="dxa" w:w="3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9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0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162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7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9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159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3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</w:tr>
      <w:tr>
        <w:trPr>
          <w:trHeight w:hRule="exact" w:val="232"/>
        </w:trPr>
        <w:tc>
          <w:tcPr>
            <w:tcW w:type="dxa" w:w="36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Trust fund fees</w:t>
            </w:r>
          </w:p>
        </w:tc>
        <w:tc>
          <w:tcPr>
            <w:tcW w:type="dxa" w:w="5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 </w:t>
            </w:r>
          </w:p>
        </w:tc>
        <w:tc>
          <w:tcPr>
            <w:tcW w:type="dxa" w:w="68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3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56 </w:t>
            </w:r>
          </w:p>
        </w:tc>
        <w:tc>
          <w:tcPr>
            <w:tcW w:type="dxa" w:w="22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90 </w:t>
            </w:r>
          </w:p>
        </w:tc>
        <w:tc>
          <w:tcPr>
            <w:tcW w:type="dxa" w:w="698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9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92 </w:t>
            </w:r>
          </w:p>
        </w:tc>
      </w:tr>
      <w:tr>
        <w:trPr>
          <w:trHeight w:hRule="exact" w:val="240"/>
        </w:trPr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Reimbursable advisory services</w:t>
            </w:r>
          </w:p>
        </w:tc>
        <w:tc>
          <w:tcPr>
            <w:tcW w:type="dxa" w:w="12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 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 </w:t>
            </w:r>
          </w:p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 </w:t>
            </w:r>
          </w:p>
        </w:tc>
        <w:tc>
          <w:tcPr>
            <w:tcW w:type="dxa" w:w="159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 </w:t>
            </w:r>
          </w:p>
        </w:tc>
      </w:tr>
      <w:tr>
        <w:trPr>
          <w:trHeight w:hRule="exact" w:val="248"/>
        </w:trPr>
        <w:tc>
          <w:tcPr>
            <w:tcW w:type="dxa" w:w="3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Asset management services</w:t>
            </w:r>
          </w:p>
        </w:tc>
        <w:tc>
          <w:tcPr>
            <w:tcW w:type="dxa" w:w="129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 </w:t>
            </w:r>
          </w:p>
        </w:tc>
        <w:tc>
          <w:tcPr>
            <w:tcW w:type="dxa" w:w="16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 </w:t>
            </w:r>
          </w:p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 </w:t>
            </w:r>
          </w:p>
        </w:tc>
        <w:tc>
          <w:tcPr>
            <w:tcW w:type="dxa" w:w="159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 </w:t>
            </w:r>
          </w:p>
        </w:tc>
      </w:tr>
      <w:tr>
        <w:trPr>
          <w:trHeight w:hRule="exact" w:val="240"/>
        </w:trPr>
        <w:tc>
          <w:tcPr>
            <w:tcW w:type="dxa" w:w="3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5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78 </w:t>
            </w:r>
          </w:p>
        </w:tc>
        <w:tc>
          <w:tcPr>
            <w:tcW w:type="dxa" w:w="68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3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 </w:t>
            </w:r>
          </w:p>
        </w:tc>
        <w:tc>
          <w:tcPr>
            <w:tcW w:type="dxa" w:w="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142 </w:t>
            </w:r>
          </w:p>
        </w:tc>
        <w:tc>
          <w:tcPr>
            <w:tcW w:type="dxa" w:w="65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3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146 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26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Of which: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196"/>
        </w:trPr>
        <w:tc>
          <w:tcPr>
            <w:tcW w:type="dxa" w:w="25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IBRD’s share</w:t>
            </w:r>
          </w:p>
        </w:tc>
        <w:tc>
          <w:tcPr>
            <w:tcW w:type="dxa" w:w="16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 </w:t>
            </w:r>
          </w:p>
        </w:tc>
        <w:tc>
          <w:tcPr>
            <w:tcW w:type="dxa" w:w="6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3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 </w:t>
            </w:r>
          </w:p>
        </w:tc>
        <w:tc>
          <w:tcPr>
            <w:tcW w:type="dxa" w:w="5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70 </w:t>
            </w:r>
          </w:p>
        </w:tc>
        <w:tc>
          <w:tcPr>
            <w:tcW w:type="dxa" w:w="6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74 </w:t>
            </w:r>
          </w:p>
        </w:tc>
      </w:tr>
      <w:tr>
        <w:trPr>
          <w:trHeight w:hRule="exact" w:val="528"/>
        </w:trPr>
        <w:tc>
          <w:tcPr>
            <w:tcW w:type="dxa" w:w="25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IDA’s share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41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9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72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9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72 </w:t>
            </w:r>
          </w:p>
        </w:tc>
      </w:tr>
    </w:tbl>
    <w:p>
      <w:pPr>
        <w:autoSpaceDN w:val="0"/>
        <w:autoSpaceDE w:val="0"/>
        <w:widowControl/>
        <w:spacing w:line="222" w:lineRule="exact" w:before="18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Each revenue stream represents compensation for services provided and the related revenue is recognized over time.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When IBRD performs services, its rights to consideration are deemed unconditional and are classified 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receivables. IBRD also has an obligation to provide certain services for which it has received consideration in </w:t>
      </w:r>
    </w:p>
    <w:p>
      <w:pPr>
        <w:autoSpaceDN w:val="0"/>
        <w:autoSpaceDE w:val="0"/>
        <w:widowControl/>
        <w:spacing w:line="224" w:lineRule="exact" w:before="626" w:after="0"/>
        <w:ind w:left="155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Condensed Quarterly Financial Statements: December 31, 2024 (Unaudited)     49</w:t>
      </w:r>
    </w:p>
    <w:p>
      <w:pPr>
        <w:sectPr>
          <w:pgSz w:w="12240" w:h="15840"/>
          <w:pgMar w:top="700" w:right="137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advance. Such consideration is presented as contract liability and is subsequently recognized as revenue when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related performance obligation is satisfied.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following table shows IBRD’s receivables and contract liabilities related to revenue from contracts with clients: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H3: Receivables and contract liabilities related to revenue from contracts with clients</w:t>
      </w:r>
    </w:p>
    <w:p>
      <w:pPr>
        <w:autoSpaceDN w:val="0"/>
        <w:autoSpaceDE w:val="0"/>
        <w:widowControl/>
        <w:spacing w:line="178" w:lineRule="exact" w:before="86" w:after="14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24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December 31, 2024</w:t>
            </w:r>
          </w:p>
        </w:tc>
        <w:tc>
          <w:tcPr>
            <w:tcW w:type="dxa" w:w="2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7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  <w:tr>
        <w:trPr>
          <w:trHeight w:hRule="exact" w:val="210"/>
        </w:trPr>
        <w:tc>
          <w:tcPr>
            <w:tcW w:type="dxa" w:w="60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Receivables</w:t>
            </w:r>
          </w:p>
        </w:tc>
        <w:tc>
          <w:tcPr>
            <w:tcW w:type="dxa" w:w="4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2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97 </w:t>
            </w:r>
          </w:p>
        </w:tc>
        <w:tc>
          <w:tcPr>
            <w:tcW w:type="dxa" w:w="27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111 </w:t>
            </w:r>
          </w:p>
        </w:tc>
      </w:tr>
      <w:tr>
        <w:trPr>
          <w:trHeight w:hRule="exact" w:val="466"/>
        </w:trPr>
        <w:tc>
          <w:tcPr>
            <w:tcW w:type="dxa" w:w="60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Contract liabilities</w:t>
            </w:r>
          </w:p>
        </w:tc>
        <w:tc>
          <w:tcPr>
            <w:tcW w:type="dxa" w:w="162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171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185 </w:t>
            </w:r>
          </w:p>
        </w:tc>
      </w:tr>
    </w:tbl>
    <w:p>
      <w:pPr>
        <w:autoSpaceDN w:val="0"/>
        <w:autoSpaceDE w:val="0"/>
        <w:widowControl/>
        <w:spacing w:line="240" w:lineRule="exact" w:before="15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amount of fee revenue associated with services provided to affiliated organizations that is included in Revenue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from externally funded activities in the Condensed Statements of Income, is as follows:</w:t>
      </w:r>
    </w:p>
    <w:p>
      <w:pPr>
        <w:autoSpaceDN w:val="0"/>
        <w:autoSpaceDE w:val="0"/>
        <w:widowControl/>
        <w:spacing w:line="220" w:lineRule="exact" w:before="14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H4: Fee revenue from affiliated organizations</w:t>
      </w:r>
    </w:p>
    <w:p>
      <w:pPr>
        <w:autoSpaceDN w:val="0"/>
        <w:autoSpaceDE w:val="0"/>
        <w:widowControl/>
        <w:spacing w:line="178" w:lineRule="exact" w:before="84" w:after="12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24"/>
        </w:trPr>
        <w:tc>
          <w:tcPr>
            <w:tcW w:type="dxa" w:w="3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10"/>
            <w:gridSpan w:val="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Three Months Ended December 31,</w:t>
            </w:r>
          </w:p>
        </w:tc>
        <w:tc>
          <w:tcPr>
            <w:tcW w:type="dxa" w:w="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5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4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Six Months Ended December 31,</w:t>
            </w:r>
          </w:p>
        </w:tc>
      </w:tr>
      <w:tr>
        <w:trPr>
          <w:trHeight w:hRule="exact" w:val="226"/>
        </w:trPr>
        <w:tc>
          <w:tcPr>
            <w:tcW w:type="dxa" w:w="3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146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167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53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</w:tr>
      <w:tr>
        <w:trPr>
          <w:trHeight w:hRule="exact" w:val="220"/>
        </w:trPr>
        <w:tc>
          <w:tcPr>
            <w:tcW w:type="dxa" w:w="36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Fees charged to IFC</w:t>
            </w:r>
          </w:p>
        </w:tc>
        <w:tc>
          <w:tcPr>
            <w:tcW w:type="dxa" w:w="5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 </w:t>
            </w:r>
          </w:p>
        </w:tc>
        <w:tc>
          <w:tcPr>
            <w:tcW w:type="dxa" w:w="68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 </w:t>
            </w:r>
          </w:p>
        </w:tc>
        <w:tc>
          <w:tcPr>
            <w:tcW w:type="dxa" w:w="22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50 </w:t>
            </w:r>
          </w:p>
        </w:tc>
        <w:tc>
          <w:tcPr>
            <w:tcW w:type="dxa" w:w="65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2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1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2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46 </w:t>
            </w:r>
          </w:p>
        </w:tc>
      </w:tr>
      <w:tr>
        <w:trPr>
          <w:trHeight w:hRule="exact" w:val="454"/>
        </w:trPr>
        <w:tc>
          <w:tcPr>
            <w:tcW w:type="dxa" w:w="3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Fees charged to MIGA</w:t>
            </w:r>
          </w:p>
        </w:tc>
        <w:tc>
          <w:tcPr>
            <w:tcW w:type="dxa" w:w="145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4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167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5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4" w:lineRule="exact" w:before="164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Investments</w:t>
      </w:r>
    </w:p>
    <w:p>
      <w:pPr>
        <w:autoSpaceDN w:val="0"/>
        <w:autoSpaceDE w:val="0"/>
        <w:widowControl/>
        <w:spacing w:line="240" w:lineRule="exact" w:before="128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These relate to investments that IBRD has made on behalf of IFC, associated with the PCRF, and are included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Investments-Trading in IBRD’s Condensed Balance Sheets. The corresponding payable to IFC is included in Other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liabilities in IBRD’s Condensed Balance Sheets. As a result, there is no impact on IBRD’s net asset value from these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transactions.</w:t>
      </w:r>
    </w:p>
    <w:p>
      <w:pPr>
        <w:autoSpaceDN w:val="0"/>
        <w:autoSpaceDE w:val="0"/>
        <w:widowControl/>
        <w:spacing w:line="222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Pension and Other Postretirement Benefits</w:t>
      </w:r>
    </w:p>
    <w:p>
      <w:pPr>
        <w:autoSpaceDN w:val="0"/>
        <w:autoSpaceDE w:val="0"/>
        <w:widowControl/>
        <w:spacing w:line="240" w:lineRule="exact" w:before="122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payable to IDA represents IDA’s net share of prepaid costs for pension and other postretirement benefit plans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PEBP assets. These will be realized over the life of the pension plan participants. The payables to IFC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MIGA represent their respective share of PEBP assets.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PEBP assets are managed by IBRD and are part of the investment portfolio. For Pension and Other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Postretirement Benefits related disclosures, see Note K—Pension and Other Postretirement Benefits.</w:t>
      </w:r>
    </w:p>
    <w:p>
      <w:pPr>
        <w:autoSpaceDN w:val="0"/>
        <w:autoSpaceDE w:val="0"/>
        <w:widowControl/>
        <w:spacing w:line="246" w:lineRule="exact" w:before="26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NOTE I—ACCUMULATED OTHER COMPREHENSIVE INCOME</w:t>
      </w:r>
    </w:p>
    <w:p>
      <w:pPr>
        <w:autoSpaceDN w:val="0"/>
        <w:autoSpaceDE w:val="0"/>
        <w:widowControl/>
        <w:spacing w:line="240" w:lineRule="exact" w:before="118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Comprehensive income or loss consists of net income and other gains and losses affecting equity that, under U.S.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GAAP, are excluded from net income. Other comprehensive income (loss) comprises currency translation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adjustments on assets and liabilities denominated in euro, DVA on Fair Value Option elected liabilities, and pension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related items. These items are presented in the Condensed Statements of Comprehensive Income. </w:t>
      </w:r>
    </w:p>
    <w:p>
      <w:pPr>
        <w:autoSpaceDN w:val="0"/>
        <w:autoSpaceDE w:val="0"/>
        <w:widowControl/>
        <w:spacing w:line="224" w:lineRule="exact" w:before="3832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50     IBRD Condensed Quarterly Financial Statements: December 31, 2024 (Unaudited)</w:t>
      </w:r>
    </w:p>
    <w:p>
      <w:pPr>
        <w:sectPr>
          <w:pgSz w:w="12240" w:h="15840"/>
          <w:pgMar w:top="700" w:right="137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tables present the changes in Accumulated Other Comprehensive Income (AOCI) and Accumulated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Other Comprehensive Loss (AOCL):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I1: AOCI/AOCL changes</w:t>
      </w:r>
    </w:p>
    <w:p>
      <w:pPr>
        <w:autoSpaceDN w:val="0"/>
        <w:autoSpaceDE w:val="0"/>
        <w:widowControl/>
        <w:spacing w:line="178" w:lineRule="exact" w:before="9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0"/>
        <w:ind w:left="0" w:right="155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Six Months Ended December 31, 2024</w:t>
      </w:r>
    </w:p>
    <w:p>
      <w:pPr>
        <w:autoSpaceDN w:val="0"/>
        <w:autoSpaceDE w:val="0"/>
        <w:widowControl/>
        <w:spacing w:line="180" w:lineRule="exact" w:before="70" w:after="6"/>
        <w:ind w:left="0" w:right="2568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Amounts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174"/>
        </w:trPr>
        <w:tc>
          <w:tcPr>
            <w:tcW w:type="dxa" w:w="361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4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Balance, </w:t>
            </w:r>
          </w:p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5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reclassified </w:t>
            </w:r>
          </w:p>
        </w:tc>
        <w:tc>
          <w:tcPr>
            <w:tcW w:type="dxa" w:w="23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Net Changes </w:t>
            </w:r>
          </w:p>
        </w:tc>
      </w:tr>
      <w:tr>
        <w:trPr>
          <w:trHeight w:hRule="exact" w:val="200"/>
        </w:trPr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3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beginning of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Changes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into net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during the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Balance, end </w:t>
            </w:r>
          </w:p>
        </w:tc>
      </w:tr>
      <w:tr>
        <w:trPr>
          <w:trHeight w:hRule="exact" w:val="226"/>
        </w:trPr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36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the fiscal year</w:t>
            </w:r>
          </w:p>
        </w:tc>
        <w:tc>
          <w:tcPr>
            <w:tcW w:type="dxa" w:w="11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6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AOCI</w:t>
            </w:r>
          </w:p>
        </w:tc>
        <w:tc>
          <w:tcPr>
            <w:tcW w:type="dxa" w:w="9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income</w:t>
            </w:r>
          </w:p>
        </w:tc>
        <w:tc>
          <w:tcPr>
            <w:tcW w:type="dxa" w:w="11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period</w:t>
            </w:r>
          </w:p>
        </w:tc>
        <w:tc>
          <w:tcPr>
            <w:tcW w:type="dxa" w:w="11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of the period</w:t>
            </w:r>
          </w:p>
        </w:tc>
      </w:tr>
      <w:tr>
        <w:trPr>
          <w:trHeight w:hRule="exact" w:val="554"/>
        </w:trPr>
        <w:tc>
          <w:tcPr>
            <w:tcW w:type="dxa" w:w="36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Cumulative Translation Adjustments</w:t>
            </w:r>
          </w:p>
        </w:tc>
        <w:tc>
          <w:tcPr>
            <w:tcW w:type="dxa" w:w="4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(445) $ </w:t>
            </w:r>
          </w:p>
        </w:tc>
        <w:tc>
          <w:tcPr>
            <w:tcW w:type="dxa" w:w="11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0" w:right="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(391) $ </w:t>
            </w:r>
          </w:p>
        </w:tc>
        <w:tc>
          <w:tcPr>
            <w:tcW w:type="dxa" w:w="9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2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(391) $ </w:t>
            </w:r>
          </w:p>
        </w:tc>
        <w:tc>
          <w:tcPr>
            <w:tcW w:type="dxa" w:w="4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(836) </w:t>
            </w:r>
          </w:p>
        </w:tc>
      </w:tr>
      <w:tr>
        <w:trPr>
          <w:trHeight w:hRule="exact" w:val="242"/>
        </w:trPr>
        <w:tc>
          <w:tcPr>
            <w:tcW w:type="dxa" w:w="36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DVA on Fair Value Option elected liabilities</w:t>
            </w:r>
          </w:p>
        </w:tc>
        <w:tc>
          <w:tcPr>
            <w:tcW w:type="dxa" w:w="13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673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1,420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(13)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1,407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2,080 </w:t>
            </w:r>
          </w:p>
        </w:tc>
      </w:tr>
    </w:tbl>
    <w:p>
      <w:pPr>
        <w:autoSpaceDN w:val="0"/>
        <w:autoSpaceDE w:val="0"/>
        <w:widowControl/>
        <w:spacing w:line="180" w:lineRule="exact" w:before="32" w:after="6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Unrecognized Net Actuarial Gains (Losses) 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218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Benefit Plans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4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3,741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(32)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(32)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3,709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8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Unrecognized Prior Service (Costs) Credits 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</w:tblGrid>
      <w:tr>
        <w:trPr>
          <w:trHeight w:hRule="exact" w:val="214"/>
        </w:trPr>
        <w:tc>
          <w:tcPr>
            <w:tcW w:type="dxa" w:w="364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Benefit Plans</w:t>
            </w:r>
          </w:p>
        </w:tc>
        <w:tc>
          <w:tcPr>
            <w:tcW w:type="dxa" w:w="4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(15) </w:t>
            </w:r>
          </w:p>
        </w:tc>
        <w:tc>
          <w:tcPr>
            <w:tcW w:type="dxa" w:w="4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5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6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(11) </w:t>
            </w:r>
          </w:p>
        </w:tc>
      </w:tr>
      <w:tr>
        <w:trPr>
          <w:trHeight w:hRule="exact" w:val="220"/>
        </w:trPr>
        <w:tc>
          <w:tcPr>
            <w:tcW w:type="dxa" w:w="36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AOCI</w:t>
            </w:r>
          </w:p>
        </w:tc>
        <w:tc>
          <w:tcPr>
            <w:tcW w:type="dxa" w:w="4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3,954 </w:t>
            </w:r>
          </w:p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1,029 </w:t>
            </w:r>
          </w:p>
        </w:tc>
        <w:tc>
          <w:tcPr>
            <w:tcW w:type="dxa" w:w="5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(41) $ </w:t>
            </w:r>
          </w:p>
        </w:tc>
        <w:tc>
          <w:tcPr>
            <w:tcW w:type="dxa" w:w="6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988 </w:t>
            </w:r>
          </w:p>
        </w:tc>
        <w:tc>
          <w:tcPr>
            <w:tcW w:type="dxa" w:w="4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4,942 </w:t>
            </w:r>
          </w:p>
        </w:tc>
      </w:tr>
      <w:tr>
        <w:trPr>
          <w:trHeight w:hRule="exact" w:val="260"/>
        </w:trPr>
        <w:tc>
          <w:tcPr>
            <w:tcW w:type="dxa" w:w="36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2" w:lineRule="exact" w:before="254" w:after="0"/>
        <w:ind w:left="62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I1.1: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60" w:after="0"/>
        <w:ind w:left="0" w:right="155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Six Months Ended December 31, 2023</w:t>
      </w:r>
    </w:p>
    <w:p>
      <w:pPr>
        <w:autoSpaceDN w:val="0"/>
        <w:autoSpaceDE w:val="0"/>
        <w:widowControl/>
        <w:spacing w:line="178" w:lineRule="exact" w:before="70" w:after="6"/>
        <w:ind w:left="0" w:right="2568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Amounts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</w:tblGrid>
      <w:tr>
        <w:trPr>
          <w:trHeight w:hRule="exact" w:val="180"/>
        </w:trPr>
        <w:tc>
          <w:tcPr>
            <w:tcW w:type="dxa" w:w="361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24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Balance, </w:t>
            </w:r>
          </w:p>
        </w:tc>
        <w:tc>
          <w:tcPr>
            <w:tcW w:type="dxa" w:w="9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0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Changes </w:t>
            </w:r>
          </w:p>
        </w:tc>
        <w:tc>
          <w:tcPr>
            <w:tcW w:type="dxa" w:w="11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9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reclassified </w:t>
            </w:r>
          </w:p>
        </w:tc>
        <w:tc>
          <w:tcPr>
            <w:tcW w:type="dxa" w:w="11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3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Net Changes </w:t>
            </w:r>
          </w:p>
        </w:tc>
        <w:tc>
          <w:tcPr>
            <w:tcW w:type="dxa" w:w="115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0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Balance, end </w:t>
            </w:r>
          </w:p>
        </w:tc>
      </w:tr>
      <w:tr>
        <w:trPr>
          <w:trHeight w:hRule="exact" w:val="200"/>
        </w:trPr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13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beginning of </w:t>
            </w:r>
          </w:p>
        </w:tc>
        <w:tc>
          <w:tcPr>
            <w:tcW w:type="dxa" w:w="944"/>
            <w:vMerge/>
            <w:tcBorders/>
          </w:tcPr>
          <w:p/>
        </w:tc>
        <w:tc>
          <w:tcPr>
            <w:tcW w:type="dxa" w:w="11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25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into net </w:t>
            </w:r>
          </w:p>
        </w:tc>
        <w:tc>
          <w:tcPr>
            <w:tcW w:type="dxa" w:w="11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24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during the </w:t>
            </w:r>
          </w:p>
        </w:tc>
        <w:tc>
          <w:tcPr>
            <w:tcW w:type="dxa" w:w="1888"/>
            <w:gridSpan w:val="2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136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the fiscal year</w:t>
            </w:r>
          </w:p>
        </w:tc>
        <w:tc>
          <w:tcPr>
            <w:tcW w:type="dxa" w:w="9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6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AOCI</w:t>
            </w:r>
          </w:p>
        </w:tc>
        <w:tc>
          <w:tcPr>
            <w:tcW w:type="dxa" w:w="115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income</w:t>
            </w:r>
          </w:p>
        </w:tc>
        <w:tc>
          <w:tcPr>
            <w:tcW w:type="dxa" w:w="115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period</w:t>
            </w:r>
          </w:p>
        </w:tc>
        <w:tc>
          <w:tcPr>
            <w:tcW w:type="dxa" w:w="115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of the period</w:t>
            </w:r>
          </w:p>
        </w:tc>
      </w:tr>
      <w:tr>
        <w:trPr>
          <w:trHeight w:hRule="exact" w:val="540"/>
        </w:trPr>
        <w:tc>
          <w:tcPr>
            <w:tcW w:type="dxa" w:w="36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Cumulative Translation Adjustments</w:t>
            </w:r>
          </w:p>
        </w:tc>
        <w:tc>
          <w:tcPr>
            <w:tcW w:type="dxa" w:w="4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(295) $ </w:t>
            </w:r>
          </w:p>
        </w:tc>
        <w:tc>
          <w:tcPr>
            <w:tcW w:type="dxa" w:w="9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262 </w:t>
            </w:r>
          </w:p>
        </w:tc>
        <w:tc>
          <w:tcPr>
            <w:tcW w:type="dxa" w:w="5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262 </w:t>
            </w:r>
          </w:p>
        </w:tc>
        <w:tc>
          <w:tcPr>
            <w:tcW w:type="dxa" w:w="5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(33) </w:t>
            </w:r>
          </w:p>
        </w:tc>
      </w:tr>
      <w:tr>
        <w:trPr>
          <w:trHeight w:hRule="exact" w:val="258"/>
        </w:trPr>
        <w:tc>
          <w:tcPr>
            <w:tcW w:type="dxa" w:w="36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DVA on Fair Value Option elected liabilities</w:t>
            </w:r>
          </w:p>
        </w:tc>
        <w:tc>
          <w:tcPr>
            <w:tcW w:type="dxa" w:w="13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351 </w:t>
            </w:r>
          </w:p>
        </w:tc>
        <w:tc>
          <w:tcPr>
            <w:tcW w:type="dxa" w:w="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825 </w:t>
            </w:r>
          </w:p>
        </w:tc>
        <w:tc>
          <w:tcPr>
            <w:tcW w:type="dxa" w:w="11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11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828 </w:t>
            </w:r>
          </w:p>
        </w:tc>
        <w:tc>
          <w:tcPr>
            <w:tcW w:type="dxa" w:w="11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1,179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8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Unrecognized Net Actuarial Gains (Losses) 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216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Benefit Plans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4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3,490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(34)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(34)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3,456 </w:t>
            </w:r>
          </w:p>
        </w:tc>
      </w:tr>
    </w:tbl>
    <w:p>
      <w:pPr>
        <w:autoSpaceDN w:val="0"/>
        <w:autoSpaceDE w:val="0"/>
        <w:widowControl/>
        <w:spacing w:line="180" w:lineRule="exact" w:before="32" w:after="6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Unrecognized Prior Service (Costs) Credits 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</w:tblGrid>
      <w:tr>
        <w:trPr>
          <w:trHeight w:hRule="exact" w:val="216"/>
        </w:trPr>
        <w:tc>
          <w:tcPr>
            <w:tcW w:type="dxa" w:w="364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Benefit Plans</w:t>
            </w:r>
          </w:p>
        </w:tc>
        <w:tc>
          <w:tcPr>
            <w:tcW w:type="dxa" w:w="4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(23) </w:t>
            </w:r>
          </w:p>
        </w:tc>
        <w:tc>
          <w:tcPr>
            <w:tcW w:type="dxa" w:w="4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7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4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(19) </w:t>
            </w:r>
          </w:p>
        </w:tc>
      </w:tr>
      <w:tr>
        <w:trPr>
          <w:trHeight w:hRule="exact" w:val="220"/>
        </w:trPr>
        <w:tc>
          <w:tcPr>
            <w:tcW w:type="dxa" w:w="36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AOCI</w:t>
            </w:r>
          </w:p>
        </w:tc>
        <w:tc>
          <w:tcPr>
            <w:tcW w:type="dxa" w:w="4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3,523 </w:t>
            </w:r>
          </w:p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1,087 </w:t>
            </w:r>
          </w:p>
        </w:tc>
        <w:tc>
          <w:tcPr>
            <w:tcW w:type="dxa" w:w="5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(27) $ </w:t>
            </w:r>
          </w:p>
        </w:tc>
        <w:tc>
          <w:tcPr>
            <w:tcW w:type="dxa" w:w="7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1,060 </w:t>
            </w:r>
          </w:p>
        </w:tc>
        <w:tc>
          <w:tcPr>
            <w:tcW w:type="dxa" w:w="4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4,583 </w:t>
            </w:r>
          </w:p>
        </w:tc>
      </w:tr>
      <w:tr>
        <w:trPr>
          <w:trHeight w:hRule="exact" w:val="260"/>
        </w:trPr>
        <w:tc>
          <w:tcPr>
            <w:tcW w:type="dxa" w:w="36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6" w:lineRule="exact" w:before="30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NOTE J— FAIR VALUE DISCLOSURES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 xml:space="preserve">Valuation Methods and Assumptions </w:t>
      </w:r>
    </w:p>
    <w:p>
      <w:pPr>
        <w:autoSpaceDN w:val="0"/>
        <w:autoSpaceDE w:val="0"/>
        <w:widowControl/>
        <w:spacing w:line="240" w:lineRule="exact" w:before="12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As of December 31, 2024 and June 30, 2024, IBRD had no assets or liabilities measured at fair value on a non-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recurring basis. </w:t>
      </w:r>
    </w:p>
    <w:p>
      <w:pPr>
        <w:autoSpaceDN w:val="0"/>
        <w:autoSpaceDE w:val="0"/>
        <w:widowControl/>
        <w:spacing w:line="222" w:lineRule="exact" w:before="14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Due from banks</w:t>
      </w:r>
    </w:p>
    <w:p>
      <w:pPr>
        <w:autoSpaceDN w:val="0"/>
        <w:autoSpaceDE w:val="0"/>
        <w:widowControl/>
        <w:spacing w:line="240" w:lineRule="exact" w:before="11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carrying amount of unrestricted and restricted cash is considered a reasonable estimate of the fair value of these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positions.</w:t>
      </w:r>
    </w:p>
    <w:p>
      <w:pPr>
        <w:autoSpaceDN w:val="0"/>
        <w:autoSpaceDE w:val="0"/>
        <w:widowControl/>
        <w:spacing w:line="222" w:lineRule="exact" w:before="14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Loans and Loan commitments</w:t>
      </w:r>
    </w:p>
    <w:p>
      <w:pPr>
        <w:autoSpaceDN w:val="0"/>
        <w:autoSpaceDE w:val="0"/>
        <w:widowControl/>
        <w:spacing w:line="240" w:lineRule="exact" w:before="11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There were no loans carried at fair value as of December 31, 2024 or June 30, 2024. IBRD’s loans and loan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commitments would be classified as Level 3 within the fair value hierarchy.</w:t>
      </w:r>
    </w:p>
    <w:p>
      <w:pPr>
        <w:autoSpaceDN w:val="0"/>
        <w:autoSpaceDE w:val="0"/>
        <w:widowControl/>
        <w:spacing w:line="224" w:lineRule="exact" w:before="1762" w:after="0"/>
        <w:ind w:left="155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Condensed Quarterly Financial Statements: December 31, 2024 (Unaudited)     51</w:t>
      </w:r>
    </w:p>
    <w:p>
      <w:pPr>
        <w:sectPr>
          <w:pgSz w:w="12240" w:h="15840"/>
          <w:pgMar w:top="700" w:right="137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Summarized below are the techniques applied in determining the fair values of IBRD’s financial instruments. </w:t>
      </w:r>
    </w:p>
    <w:p>
      <w:pPr>
        <w:autoSpaceDN w:val="0"/>
        <w:autoSpaceDE w:val="0"/>
        <w:widowControl/>
        <w:spacing w:line="222" w:lineRule="exact" w:before="13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Investment securities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Investment securities are classified based on management’s intention on the date of purchase, their nature,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policies governing the level and use of such investments. As of December 31, 2024, all of the financial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instruments in IBRD’s investment portfolio were classified as trading. These securities are carried and reported at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fair value, or at face value or NAV, which approximates fair value. Where available, quoted market prices are used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to determine the fair value of trading securities. Examples include most government, agency and corporate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securities, mutual funds, exchange-traded equity securities and ABS securities. 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instruments for which market quotations are not available, fair values are determined using model-based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valuation techniques, whether internally generated or vendor-supplied, that include the standard discounted cash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flow method using observable market inputs such as yield curves, credit spreads, and conditional prepayment rates.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Where applicable, unobservable inputs such as conditional prepayment rates, probability of default and loss severity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are used. Unless quoted prices are available, time deposits are reported at face value, which approximates fair value,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as they are short term in nature.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 xml:space="preserve">Securities purchased under resale agreements, Securities sold under repurchase agreements, and Securities lent </w:t>
      </w:r>
      <w:r>
        <w:rPr>
          <w:rFonts w:ascii="TimesNewRoman" w:hAnsi="TimesNewRoman" w:eastAsia="TimesNewRoman"/>
          <w:b w:val="0"/>
          <w:i/>
          <w:color w:val="000000"/>
          <w:sz w:val="20"/>
        </w:rPr>
        <w:t>under securities lending agreements</w:t>
      </w:r>
    </w:p>
    <w:p>
      <w:pPr>
        <w:autoSpaceDN w:val="0"/>
        <w:autoSpaceDE w:val="0"/>
        <w:widowControl/>
        <w:spacing w:line="222" w:lineRule="exact" w:before="13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These securities are of a short-term nature and reported at face value, which approximates fair value.</w:t>
      </w:r>
    </w:p>
    <w:p>
      <w:pPr>
        <w:autoSpaceDN w:val="0"/>
        <w:autoSpaceDE w:val="0"/>
        <w:widowControl/>
        <w:spacing w:line="222" w:lineRule="exact" w:before="13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 xml:space="preserve">Borrowings </w:t>
      </w:r>
    </w:p>
    <w:p>
      <w:pPr>
        <w:autoSpaceDN w:val="0"/>
        <w:autoSpaceDE w:val="0"/>
        <w:widowControl/>
        <w:spacing w:line="222" w:lineRule="exact" w:before="13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(i) Discount notes and vanilla bonds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Discount notes and vanilla bonds issued by IBRD are valued using the standard discounted cash flow method which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relies on observable market inputs such as yield curves, foreign exchange rates, basis spreads and funding spreads.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Where available, quoted market prices are used to determine the fair value of short-term notes, as well as some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floating rate notes of longer maturity.</w:t>
      </w:r>
    </w:p>
    <w:p>
      <w:pPr>
        <w:autoSpaceDN w:val="0"/>
        <w:autoSpaceDE w:val="0"/>
        <w:widowControl/>
        <w:spacing w:line="222" w:lineRule="exact" w:before="13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(ii) Structured bonds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Structured bonds issued by IBRD have coupon or repayment terms linked to the level or the performance of interest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rates, foreign exchange rates, equity indices, catastrophic events, or commodities. The fair value of the structured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bonds is generally derived using the discounted cash flow method based on estimated future pay-offs determined by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applicable models and computation of embedded optionality such as caps, floors and calls. A wide range of industry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standard models such as one factor Hull-White, Generalized Forward Market Model and Black-Scholes are used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depending on the specific structure. These models incorporate observable market inputs, such as yield curves,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foreign exchange rates, basis spreads, funding spreads, interest rate volatilities, equity index volatilities and equity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indices. Where applicable, the models also incorporate significant unobservable inputs such as correlations between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relevant market data and long-dated interest rate volatilities. Generally, the movements in correlations are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considered to be independent of movements in long-dated interest rate volatilities.</w:t>
      </w:r>
    </w:p>
    <w:p>
      <w:pPr>
        <w:autoSpaceDN w:val="0"/>
        <w:autoSpaceDE w:val="0"/>
        <w:widowControl/>
        <w:spacing w:line="222" w:lineRule="exact" w:before="13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(iii) Borrowings, at amortized cost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fair value of borrowings measured at amortized cost would be classified as Level 3 within the fair value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hierarchy.</w:t>
      </w:r>
    </w:p>
    <w:p>
      <w:pPr>
        <w:autoSpaceDN w:val="0"/>
        <w:autoSpaceDE w:val="0"/>
        <w:widowControl/>
        <w:spacing w:line="222" w:lineRule="exact" w:before="13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Derivative instruments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Derivative contracts include currency forward contracts, TBA securities, swaptions, options and futures contracts,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currency swaps and interest rate swaps. Currency swaps and interest rate swaps are either plain vanilla or structured.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Currency forward contracts and plain vanilla currency and interest rate swaps are valued using the standard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discounted cash flow methods using observable market inputs such as yield curves, foreign exchange rates, basis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spreads and funding spreads. For structured currency and interest rate swaps, which primarily consist of callable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swaps linked to interest rates, foreign exchange rates, and equity indices, valuation models and inputs similar to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ones applicable to the valuation of structured bonds are used. Where applicable, the models also incorporate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significant unobservable inputs such as correlations and long-dated interest rate volatilities.</w:t>
      </w:r>
    </w:p>
    <w:p>
      <w:pPr>
        <w:autoSpaceDN w:val="0"/>
        <w:autoSpaceDE w:val="0"/>
        <w:widowControl/>
        <w:spacing w:line="224" w:lineRule="exact" w:before="79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52     IBRD Condensed Quarterly Financial Statements: December 31, 2024 (Unaudited)</w:t>
      </w:r>
    </w:p>
    <w:p>
      <w:pPr>
        <w:sectPr>
          <w:pgSz w:w="12240" w:h="15840"/>
          <w:pgMar w:top="700" w:right="137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Valuation adjustments on fair value option elected liabilities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DVA on fair value option elected liabilities (borrowings reported at fair value) is measured by revaluing each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liability to determine the changes in fair value of that liability arising from changes in IBRD’s funding spread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applicable to the relevant reference rates.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table below presents IBRD’s estimates of fair value of its financial assets and liabilities along with their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respective carrying amounts: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J1: Fair value and carrying amount of financial assets and liabilities</w:t>
      </w:r>
    </w:p>
    <w:p>
      <w:pPr>
        <w:autoSpaceDN w:val="0"/>
        <w:autoSpaceDE w:val="0"/>
        <w:widowControl/>
        <w:spacing w:line="180" w:lineRule="exact" w:before="108" w:after="18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60"/>
        <w:gridCol w:w="2360"/>
        <w:gridCol w:w="2360"/>
        <w:gridCol w:w="2360"/>
      </w:tblGrid>
      <w:tr>
        <w:trPr>
          <w:trHeight w:hRule="exact" w:val="256"/>
        </w:trPr>
        <w:tc>
          <w:tcPr>
            <w:tcW w:type="dxa" w:w="647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73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December 31, 2024</w:t>
            </w:r>
          </w:p>
        </w:tc>
        <w:tc>
          <w:tcPr>
            <w:tcW w:type="dxa" w:w="291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  <w:tr>
        <w:trPr>
          <w:trHeight w:hRule="exact" w:val="256"/>
        </w:trPr>
        <w:tc>
          <w:tcPr>
            <w:tcW w:type="dxa" w:w="505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21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Carrying Value</w:t>
            </w:r>
          </w:p>
        </w:tc>
        <w:tc>
          <w:tcPr>
            <w:tcW w:type="dxa" w:w="14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Fair Value</w:t>
            </w:r>
          </w:p>
        </w:tc>
        <w:tc>
          <w:tcPr>
            <w:tcW w:type="dxa" w:w="14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Carrying Value</w:t>
            </w:r>
          </w:p>
        </w:tc>
        <w:tc>
          <w:tcPr>
            <w:tcW w:type="dxa" w:w="145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Fair Value</w:t>
            </w:r>
          </w:p>
        </w:tc>
      </w:tr>
    </w:tbl>
    <w:p>
      <w:pPr>
        <w:autoSpaceDN w:val="0"/>
        <w:autoSpaceDE w:val="0"/>
        <w:widowControl/>
        <w:spacing w:line="178" w:lineRule="exact" w:before="36" w:after="38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Assets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50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Due from banks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3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1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496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496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3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490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3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490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8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Investments-Trading (including Securities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04"/>
        </w:trPr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purchased under resale agreements)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4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89,065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4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89,065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4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82,807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82,807 </w:t>
            </w:r>
          </w:p>
        </w:tc>
      </w:tr>
      <w:tr>
        <w:trPr>
          <w:trHeight w:hRule="exact" w:val="260"/>
        </w:trPr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loans outstanding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4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268,961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265,135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260,236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257,415 </w:t>
            </w:r>
          </w:p>
        </w:tc>
      </w:tr>
      <w:tr>
        <w:trPr>
          <w:trHeight w:hRule="exact" w:val="260"/>
        </w:trPr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assets, net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4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390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4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390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4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456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456 </w:t>
            </w:r>
          </w:p>
        </w:tc>
      </w:tr>
      <w:tr>
        <w:trPr>
          <w:trHeight w:hRule="exact" w:val="286"/>
        </w:trPr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Miscellaneous assets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4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107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4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107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4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 </w:t>
            </w:r>
          </w:p>
        </w:tc>
      </w:tr>
    </w:tbl>
    <w:p>
      <w:pPr>
        <w:autoSpaceDN w:val="0"/>
        <w:autoSpaceDE w:val="0"/>
        <w:widowControl/>
        <w:spacing w:line="180" w:lineRule="exact" w:before="270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Liabilities</w:t>
      </w:r>
    </w:p>
    <w:p>
      <w:pPr>
        <w:autoSpaceDN w:val="0"/>
        <w:autoSpaceDE w:val="0"/>
        <w:widowControl/>
        <w:spacing w:line="178" w:lineRule="exact" w:before="76" w:after="38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Borrowings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52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Borrowings, at fair value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279,848 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279,848 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261,790 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261,790 </w:t>
            </w:r>
          </w:p>
        </w:tc>
      </w:tr>
      <w:tr>
        <w:trPr>
          <w:trHeight w:hRule="exact" w:val="262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Borrowings, at amortized cost</w:t>
            </w:r>
          </w:p>
        </w:tc>
        <w:tc>
          <w:tcPr>
            <w:tcW w:type="dxa" w:w="1049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187 </w:t>
            </w:r>
          </w:p>
        </w:tc>
        <w:tc>
          <w:tcPr>
            <w:tcW w:type="dxa" w:w="1049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188 </w:t>
            </w:r>
          </w:p>
        </w:tc>
        <w:tc>
          <w:tcPr>
            <w:tcW w:type="dxa" w:w="1049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28" w:after="6"/>
        <w:ind w:left="62" w:right="604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Securities sold/lent under repurchase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agreements/securities lending agreements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20"/>
        </w:trPr>
        <w:tc>
          <w:tcPr>
            <w:tcW w:type="dxa" w:w="3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and payable for cash collateral received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4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105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105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4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256 </w:t>
            </w:r>
          </w:p>
        </w:tc>
        <w:tc>
          <w:tcPr>
            <w:tcW w:type="dxa" w:w="12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256 </w:t>
            </w:r>
          </w:p>
        </w:tc>
      </w:tr>
      <w:tr>
        <w:trPr>
          <w:trHeight w:hRule="exact" w:val="506"/>
        </w:trPr>
        <w:tc>
          <w:tcPr>
            <w:tcW w:type="dxa" w:w="36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liabilities, net</w:t>
            </w:r>
          </w:p>
        </w:tc>
        <w:tc>
          <w:tcPr>
            <w:tcW w:type="dxa" w:w="1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4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19,388 </w:t>
            </w:r>
          </w:p>
        </w:tc>
        <w:tc>
          <w:tcPr>
            <w:tcW w:type="dxa" w:w="14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19,388 </w:t>
            </w:r>
          </w:p>
        </w:tc>
        <w:tc>
          <w:tcPr>
            <w:tcW w:type="dxa" w:w="14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22,728 </w:t>
            </w:r>
          </w:p>
        </w:tc>
        <w:tc>
          <w:tcPr>
            <w:tcW w:type="dxa" w:w="12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22,728 </w:t>
            </w:r>
          </w:p>
        </w:tc>
      </w:tr>
    </w:tbl>
    <w:p>
      <w:pPr>
        <w:autoSpaceDN w:val="0"/>
        <w:autoSpaceDE w:val="0"/>
        <w:widowControl/>
        <w:spacing w:line="240" w:lineRule="exact" w:before="16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December 31, 2024, IBRD’s signed loan commitments were $73 billion ($67 billion—June 30, 2024) and had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 fair value of $(0.1) billion ($0.3 billion—June 30, 2024).</w:t>
      </w:r>
    </w:p>
    <w:p>
      <w:pPr>
        <w:autoSpaceDN w:val="0"/>
        <w:autoSpaceDE w:val="0"/>
        <w:widowControl/>
        <w:spacing w:line="224" w:lineRule="exact" w:before="5870" w:after="0"/>
        <w:ind w:left="0" w:right="7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December 31, 2024     53</w:t>
      </w:r>
    </w:p>
    <w:p>
      <w:pPr>
        <w:sectPr>
          <w:pgSz w:w="12240" w:h="15840"/>
          <w:pgMar w:top="700" w:right="137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tables present IBRD’s fair value hierarchy for assets and liabilities measured at fair value on 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recurring basis. The fair value of Other fund investments measured using the NAV as a practical expedient are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included in the table below but excluded from the fair value hierarchy.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J2: Fair value hierarchy of IBRD’s assets and liabilities</w:t>
      </w:r>
    </w:p>
    <w:p>
      <w:pPr>
        <w:autoSpaceDN w:val="0"/>
        <w:autoSpaceDE w:val="0"/>
        <w:widowControl/>
        <w:spacing w:line="178" w:lineRule="exact" w:before="9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0"/>
        <w:ind w:left="0" w:right="47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Fair Value Measurements on a Recurring Basis</w:t>
      </w:r>
    </w:p>
    <w:p>
      <w:pPr>
        <w:autoSpaceDN w:val="0"/>
        <w:autoSpaceDE w:val="0"/>
        <w:widowControl/>
        <w:spacing w:line="178" w:lineRule="exact" w:before="62" w:after="20"/>
        <w:ind w:left="0" w:right="145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December 31,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90.0" w:type="dxa"/>
      </w:tblPr>
      <w:tblGrid>
        <w:gridCol w:w="2359"/>
        <w:gridCol w:w="2359"/>
        <w:gridCol w:w="2359"/>
        <w:gridCol w:w="2359"/>
      </w:tblGrid>
      <w:tr>
        <w:trPr>
          <w:trHeight w:hRule="exact" w:val="240"/>
        </w:trPr>
        <w:tc>
          <w:tcPr>
            <w:tcW w:type="dxa" w:w="9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Level 1</w:t>
            </w:r>
          </w:p>
        </w:tc>
        <w:tc>
          <w:tcPr>
            <w:tcW w:type="dxa" w:w="103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Level 2</w:t>
            </w:r>
          </w:p>
        </w:tc>
        <w:tc>
          <w:tcPr>
            <w:tcW w:type="dxa" w:w="103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Level 3</w:t>
            </w:r>
          </w:p>
        </w:tc>
        <w:tc>
          <w:tcPr>
            <w:tcW w:type="dxa" w:w="112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Assets:</w:t>
      </w:r>
    </w:p>
    <w:p>
      <w:pPr>
        <w:autoSpaceDN w:val="0"/>
        <w:autoSpaceDE w:val="0"/>
        <w:widowControl/>
        <w:spacing w:line="178" w:lineRule="exact" w:before="62" w:after="32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Investments–Trading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38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Government, agency and corporate obligations</w:t>
            </w:r>
          </w:p>
        </w:tc>
        <w:tc>
          <w:tcPr>
            <w:tcW w:type="dxa" w:w="3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15,756 </w:t>
            </w:r>
          </w:p>
        </w:tc>
        <w:tc>
          <w:tcPr>
            <w:tcW w:type="dxa" w:w="34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29,605 </w:t>
            </w:r>
          </w:p>
        </w:tc>
        <w:tc>
          <w:tcPr>
            <w:tcW w:type="dxa" w:w="5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45,361 </w:t>
            </w:r>
          </w:p>
        </w:tc>
      </w:tr>
      <w:tr>
        <w:trPr>
          <w:trHeight w:hRule="exact" w:val="240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Time deposits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4,420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34,310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38,730 </w:t>
            </w:r>
          </w:p>
        </w:tc>
      </w:tr>
      <w:tr>
        <w:trPr>
          <w:trHeight w:hRule="exact" w:val="220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ABS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2,324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2,324 </w:t>
            </w:r>
          </w:p>
        </w:tc>
      </w:tr>
      <w:tr>
        <w:trPr>
          <w:trHeight w:hRule="exact" w:val="260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fund investments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2,229 </w:t>
            </w:r>
          </w:p>
        </w:tc>
      </w:tr>
      <w:tr>
        <w:trPr>
          <w:trHeight w:hRule="exact" w:val="240"/>
        </w:trPr>
        <w:tc>
          <w:tcPr>
            <w:tcW w:type="dxa" w:w="50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Equity securities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333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333 </w:t>
            </w:r>
          </w:p>
        </w:tc>
      </w:tr>
      <w:tr>
        <w:trPr>
          <w:trHeight w:hRule="exact" w:val="240"/>
        </w:trPr>
        <w:tc>
          <w:tcPr>
            <w:tcW w:type="dxa" w:w="50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Investments–Trading</w:t>
            </w:r>
          </w:p>
        </w:tc>
        <w:tc>
          <w:tcPr>
            <w:tcW w:type="dxa" w:w="3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20,509 </w:t>
            </w:r>
          </w:p>
        </w:tc>
        <w:tc>
          <w:tcPr>
            <w:tcW w:type="dxa" w:w="3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66,239 </w:t>
            </w:r>
          </w:p>
        </w:tc>
        <w:tc>
          <w:tcPr>
            <w:tcW w:type="dxa" w:w="5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88,977 </w:t>
            </w:r>
          </w:p>
        </w:tc>
      </w:tr>
      <w:tr>
        <w:trPr>
          <w:trHeight w:hRule="exact" w:val="242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Securities purchased under resale agreements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 </w:t>
            </w:r>
          </w:p>
        </w:tc>
        <w:tc>
          <w:tcPr>
            <w:tcW w:type="dxa" w:w="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60 </w:t>
            </w:r>
          </w:p>
        </w:tc>
        <w:tc>
          <w:tcPr>
            <w:tcW w:type="dxa" w:w="5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 </w:t>
            </w:r>
          </w:p>
        </w:tc>
      </w:tr>
    </w:tbl>
    <w:p>
      <w:pPr>
        <w:autoSpaceDN w:val="0"/>
        <w:autoSpaceDE w:val="0"/>
        <w:widowControl/>
        <w:spacing w:line="178" w:lineRule="exact" w:before="30" w:after="20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Derivative assets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50"/>
        </w:trPr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swaps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4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4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5,159 </w:t>
            </w:r>
          </w:p>
        </w:tc>
        <w:tc>
          <w:tcPr>
            <w:tcW w:type="dxa" w:w="4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78 </w:t>
            </w:r>
          </w:p>
        </w:tc>
        <w:tc>
          <w:tcPr>
            <w:tcW w:type="dxa" w:w="39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5,237 </w:t>
            </w:r>
          </w:p>
        </w:tc>
      </w:tr>
      <w:tr>
        <w:trPr>
          <w:trHeight w:hRule="exact" w:val="220"/>
        </w:trPr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7,200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157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7,357 </w:t>
            </w:r>
          </w:p>
        </w:tc>
      </w:tr>
      <w:tr>
        <w:trPr>
          <w:trHeight w:hRule="exact" w:val="260"/>
        </w:trPr>
        <w:tc>
          <w:tcPr>
            <w:tcW w:type="dxa" w:w="49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</w:tr>
      <w:tr>
        <w:trPr>
          <w:trHeight w:hRule="exact" w:val="242"/>
        </w:trPr>
        <w:tc>
          <w:tcPr>
            <w:tcW w:type="dxa" w:w="49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3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12,359 </w:t>
            </w:r>
          </w:p>
        </w:tc>
        <w:tc>
          <w:tcPr>
            <w:tcW w:type="dxa" w:w="4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235 </w:t>
            </w:r>
          </w:p>
        </w:tc>
        <w:tc>
          <w:tcPr>
            <w:tcW w:type="dxa" w:w="3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12,596 </w:t>
            </w:r>
          </w:p>
        </w:tc>
      </w:tr>
    </w:tbl>
    <w:p>
      <w:pPr>
        <w:autoSpaceDN w:val="0"/>
        <w:autoSpaceDE w:val="0"/>
        <w:widowControl/>
        <w:spacing w:line="178" w:lineRule="exact" w:before="30" w:after="20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Less: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50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Amounts subject to legally enforceable master netting agreements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d</w:t>
            </w:r>
          </w:p>
        </w:tc>
        <w:tc>
          <w:tcPr>
            <w:tcW w:type="dxa" w:w="4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12,154 </w:t>
            </w:r>
          </w:p>
        </w:tc>
      </w:tr>
      <w:tr>
        <w:trPr>
          <w:trHeight w:hRule="exact" w:val="240"/>
        </w:trPr>
        <w:tc>
          <w:tcPr>
            <w:tcW w:type="dxa" w:w="50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Cash collateral received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 </w:t>
            </w:r>
          </w:p>
        </w:tc>
      </w:tr>
      <w:tr>
        <w:trPr>
          <w:trHeight w:hRule="exact" w:val="240"/>
        </w:trPr>
        <w:tc>
          <w:tcPr>
            <w:tcW w:type="dxa" w:w="50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assets, net</w:t>
            </w:r>
          </w:p>
        </w:tc>
        <w:tc>
          <w:tcPr>
            <w:tcW w:type="dxa" w:w="46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2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107 </w:t>
            </w:r>
          </w:p>
        </w:tc>
        <w:tc>
          <w:tcPr>
            <w:tcW w:type="dxa" w:w="48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4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390 </w:t>
            </w:r>
          </w:p>
        </w:tc>
      </w:tr>
      <w:tr>
        <w:trPr>
          <w:trHeight w:hRule="exact" w:val="270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Miscellaneous assets</w:t>
            </w:r>
          </w:p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107 </w:t>
            </w:r>
          </w:p>
        </w:tc>
      </w:tr>
    </w:tbl>
    <w:p>
      <w:pPr>
        <w:autoSpaceDN w:val="0"/>
        <w:autoSpaceDE w:val="0"/>
        <w:widowControl/>
        <w:spacing w:line="178" w:lineRule="exact" w:before="242" w:after="32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Liabilities: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38"/>
        </w:trPr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Borrowings, at fair value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275,423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4,425 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279,848 </w:t>
            </w:r>
          </w:p>
        </w:tc>
      </w:tr>
      <w:tr>
        <w:trPr>
          <w:trHeight w:hRule="exact" w:val="208"/>
        </w:trPr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Securities sold under repurchase agreements and  securities lent 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6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105 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6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6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6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105 </w:t>
            </w:r>
          </w:p>
        </w:tc>
      </w:tr>
      <w:tr>
        <w:trPr>
          <w:trHeight w:hRule="exact" w:val="228"/>
        </w:trPr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under securities lending agreements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e</w:t>
            </w:r>
          </w:p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0" w:lineRule="exact" w:before="30" w:after="18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Derivative liabilities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36"/>
        </w:trPr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swaps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4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4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11,353 </w:t>
            </w:r>
          </w:p>
        </w:tc>
        <w:tc>
          <w:tcPr>
            <w:tcW w:type="dxa" w:w="4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175 </w:t>
            </w:r>
          </w:p>
        </w:tc>
        <w:tc>
          <w:tcPr>
            <w:tcW w:type="dxa" w:w="39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11,528 </w:t>
            </w:r>
          </w:p>
        </w:tc>
      </w:tr>
      <w:tr>
        <w:trPr>
          <w:trHeight w:hRule="exact" w:val="240"/>
        </w:trPr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20,149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156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20,305 </w:t>
            </w:r>
          </w:p>
        </w:tc>
      </w:tr>
      <w:tr>
        <w:trPr>
          <w:trHeight w:hRule="exact" w:val="254"/>
        </w:trPr>
        <w:tc>
          <w:tcPr>
            <w:tcW w:type="dxa" w:w="49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42"/>
        </w:trPr>
        <w:tc>
          <w:tcPr>
            <w:tcW w:type="dxa" w:w="49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31,502 </w:t>
            </w:r>
          </w:p>
        </w:tc>
        <w:tc>
          <w:tcPr>
            <w:tcW w:type="dxa" w:w="4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331 </w:t>
            </w:r>
          </w:p>
        </w:tc>
        <w:tc>
          <w:tcPr>
            <w:tcW w:type="dxa" w:w="3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31,833 </w:t>
            </w:r>
          </w:p>
        </w:tc>
      </w:tr>
    </w:tbl>
    <w:p>
      <w:pPr>
        <w:autoSpaceDN w:val="0"/>
        <w:autoSpaceDE w:val="0"/>
        <w:widowControl/>
        <w:spacing w:line="180" w:lineRule="exact" w:before="30" w:after="18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Less: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50"/>
        </w:trPr>
        <w:tc>
          <w:tcPr>
            <w:tcW w:type="dxa" w:w="51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3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Amounts subject to legally enforceable master netting agreements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f</w:t>
            </w:r>
          </w:p>
        </w:tc>
        <w:tc>
          <w:tcPr>
            <w:tcW w:type="dxa" w:w="4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12,445 </w:t>
            </w:r>
          </w:p>
        </w:tc>
      </w:tr>
      <w:tr>
        <w:trPr>
          <w:trHeight w:hRule="exact" w:val="226"/>
        </w:trPr>
        <w:tc>
          <w:tcPr>
            <w:tcW w:type="dxa" w:w="51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liabilities, net</w:t>
            </w:r>
          </w:p>
        </w:tc>
        <w:tc>
          <w:tcPr>
            <w:tcW w:type="dxa" w:w="4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2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2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2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2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 </w:t>
            </w:r>
          </w:p>
        </w:tc>
        <w:tc>
          <w:tcPr>
            <w:tcW w:type="dxa" w:w="4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19,388 </w:t>
            </w:r>
          </w:p>
        </w:tc>
      </w:tr>
      <w:tr>
        <w:trPr>
          <w:trHeight w:hRule="exact" w:val="494"/>
        </w:trPr>
        <w:tc>
          <w:tcPr>
            <w:tcW w:type="dxa" w:w="51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Accounts payable and miscellaneous liabilities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3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180" w:lineRule="exact" w:before="3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Investments at NAV related to PEBP holdings, not included in the fair value hierarchy.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Includes currency forward contracts.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c. Includes swaptions, options, and futures contracts. 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d. Includes $32 million CVA.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e. Excludes payable for cash collateral received.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f. Includes $323 million DVA.</w:t>
      </w:r>
    </w:p>
    <w:p>
      <w:pPr>
        <w:autoSpaceDN w:val="0"/>
        <w:autoSpaceDE w:val="0"/>
        <w:widowControl/>
        <w:spacing w:line="224" w:lineRule="exact" w:before="189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54     IBRD Condensed Quarterly Financial Statements: December 31, 2024 (Unaudited)</w:t>
      </w:r>
    </w:p>
    <w:p>
      <w:pPr>
        <w:sectPr>
          <w:pgSz w:w="12240" w:h="15840"/>
          <w:pgMar w:top="700" w:right="1372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tabs>
          <w:tab w:pos="5606" w:val="left"/>
          <w:tab w:pos="6778" w:val="left"/>
        </w:tabs>
        <w:autoSpaceDE w:val="0"/>
        <w:widowControl/>
        <w:spacing w:line="224" w:lineRule="exact" w:before="0" w:after="12"/>
        <w:ind w:left="62" w:right="432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 xml:space="preserve">Table J2.1: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 xml:space="preserve">In millions of U.S. dollars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Fair Value Measurements on a Recurring Basis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June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90.0" w:type="dxa"/>
      </w:tblPr>
      <w:tblGrid>
        <w:gridCol w:w="2360"/>
        <w:gridCol w:w="2360"/>
        <w:gridCol w:w="2360"/>
        <w:gridCol w:w="2360"/>
      </w:tblGrid>
      <w:tr>
        <w:trPr>
          <w:trHeight w:hRule="exact" w:val="224"/>
        </w:trPr>
        <w:tc>
          <w:tcPr>
            <w:tcW w:type="dxa" w:w="9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Level 1</w:t>
            </w:r>
          </w:p>
        </w:tc>
        <w:tc>
          <w:tcPr>
            <w:tcW w:type="dxa" w:w="103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Level 2</w:t>
            </w:r>
          </w:p>
        </w:tc>
        <w:tc>
          <w:tcPr>
            <w:tcW w:type="dxa" w:w="107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Level 3</w:t>
            </w:r>
          </w:p>
        </w:tc>
        <w:tc>
          <w:tcPr>
            <w:tcW w:type="dxa" w:w="108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</w:tbl>
    <w:p>
      <w:pPr>
        <w:autoSpaceDN w:val="0"/>
        <w:tabs>
          <w:tab w:pos="242" w:val="left"/>
        </w:tabs>
        <w:autoSpaceDE w:val="0"/>
        <w:widowControl/>
        <w:spacing w:line="210" w:lineRule="exact" w:before="0" w:after="24"/>
        <w:ind w:left="62" w:right="7632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Assets: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Investments–Trading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14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Government and agency obligations</w:t>
            </w:r>
          </w:p>
        </w:tc>
        <w:tc>
          <w:tcPr>
            <w:tcW w:type="dxa" w:w="3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12,940 </w:t>
            </w:r>
          </w:p>
        </w:tc>
        <w:tc>
          <w:tcPr>
            <w:tcW w:type="dxa" w:w="34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19,413 </w:t>
            </w:r>
          </w:p>
        </w:tc>
        <w:tc>
          <w:tcPr>
            <w:tcW w:type="dxa" w:w="5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9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32,353 </w:t>
            </w:r>
          </w:p>
        </w:tc>
      </w:tr>
      <w:tr>
        <w:trPr>
          <w:trHeight w:hRule="exact" w:val="220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Time deposits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3,517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42,474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45,991 </w:t>
            </w:r>
          </w:p>
        </w:tc>
      </w:tr>
      <w:tr>
        <w:trPr>
          <w:trHeight w:hRule="exact" w:val="220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ABS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1,880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1,880 </w:t>
            </w:r>
          </w:p>
        </w:tc>
      </w:tr>
      <w:tr>
        <w:trPr>
          <w:trHeight w:hRule="exact" w:val="240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fund investments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2,155 </w:t>
            </w:r>
          </w:p>
        </w:tc>
      </w:tr>
      <w:tr>
        <w:trPr>
          <w:trHeight w:hRule="exact" w:val="230"/>
        </w:trPr>
        <w:tc>
          <w:tcPr>
            <w:tcW w:type="dxa" w:w="50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Equity securities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349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349 </w:t>
            </w:r>
          </w:p>
        </w:tc>
      </w:tr>
      <w:tr>
        <w:trPr>
          <w:trHeight w:hRule="exact" w:val="210"/>
        </w:trPr>
        <w:tc>
          <w:tcPr>
            <w:tcW w:type="dxa" w:w="50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Investments–Trading</w:t>
            </w:r>
          </w:p>
        </w:tc>
        <w:tc>
          <w:tcPr>
            <w:tcW w:type="dxa" w:w="3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16,806 </w:t>
            </w:r>
          </w:p>
        </w:tc>
        <w:tc>
          <w:tcPr>
            <w:tcW w:type="dxa" w:w="3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63,767 </w:t>
            </w:r>
          </w:p>
        </w:tc>
        <w:tc>
          <w:tcPr>
            <w:tcW w:type="dxa" w:w="5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82,728 </w:t>
            </w:r>
          </w:p>
        </w:tc>
      </w:tr>
      <w:tr>
        <w:trPr>
          <w:trHeight w:hRule="exact" w:val="242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Securities purchased under resale agreements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 </w:t>
            </w:r>
          </w:p>
        </w:tc>
        <w:tc>
          <w:tcPr>
            <w:tcW w:type="dxa" w:w="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59 </w:t>
            </w:r>
          </w:p>
        </w:tc>
        <w:tc>
          <w:tcPr>
            <w:tcW w:type="dxa" w:w="5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79 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14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Derivative assets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24"/>
        </w:trPr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swaps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4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4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3,935 </w:t>
            </w:r>
          </w:p>
        </w:tc>
        <w:tc>
          <w:tcPr>
            <w:tcW w:type="dxa" w:w="4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122 </w:t>
            </w:r>
          </w:p>
        </w:tc>
        <w:tc>
          <w:tcPr>
            <w:tcW w:type="dxa" w:w="3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4,057 </w:t>
            </w:r>
          </w:p>
        </w:tc>
      </w:tr>
      <w:tr>
        <w:trPr>
          <w:trHeight w:hRule="exact" w:val="220"/>
        </w:trPr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7,836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141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7,977 </w:t>
            </w:r>
          </w:p>
        </w:tc>
      </w:tr>
      <w:tr>
        <w:trPr>
          <w:trHeight w:hRule="exact" w:val="240"/>
        </w:trPr>
        <w:tc>
          <w:tcPr>
            <w:tcW w:type="dxa" w:w="49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</w:tr>
      <w:tr>
        <w:trPr>
          <w:trHeight w:hRule="exact" w:val="226"/>
        </w:trPr>
        <w:tc>
          <w:tcPr>
            <w:tcW w:type="dxa" w:w="49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11,771 </w:t>
            </w:r>
          </w:p>
        </w:tc>
        <w:tc>
          <w:tcPr>
            <w:tcW w:type="dxa" w:w="4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263 </w:t>
            </w:r>
          </w:p>
        </w:tc>
        <w:tc>
          <w:tcPr>
            <w:tcW w:type="dxa" w:w="3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12,035 </w:t>
            </w:r>
          </w:p>
        </w:tc>
      </w:tr>
    </w:tbl>
    <w:p>
      <w:pPr>
        <w:autoSpaceDN w:val="0"/>
        <w:autoSpaceDE w:val="0"/>
        <w:widowControl/>
        <w:spacing w:line="178" w:lineRule="exact" w:before="24" w:after="16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Less: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36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2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Amounts subject to legally enforceable master netting agreements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d</w:t>
            </w:r>
          </w:p>
        </w:tc>
        <w:tc>
          <w:tcPr>
            <w:tcW w:type="dxa" w:w="4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11,558 </w:t>
            </w:r>
          </w:p>
        </w:tc>
      </w:tr>
      <w:tr>
        <w:trPr>
          <w:trHeight w:hRule="exact" w:val="234"/>
        </w:trPr>
        <w:tc>
          <w:tcPr>
            <w:tcW w:type="dxa" w:w="50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Cash collateral received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 </w:t>
            </w:r>
          </w:p>
        </w:tc>
      </w:tr>
      <w:tr>
        <w:trPr>
          <w:trHeight w:hRule="exact" w:val="226"/>
        </w:trPr>
        <w:tc>
          <w:tcPr>
            <w:tcW w:type="dxa" w:w="50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assets, net</w:t>
            </w:r>
          </w:p>
        </w:tc>
        <w:tc>
          <w:tcPr>
            <w:tcW w:type="dxa" w:w="46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8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8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8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 </w:t>
            </w:r>
          </w:p>
        </w:tc>
        <w:tc>
          <w:tcPr>
            <w:tcW w:type="dxa" w:w="48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8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4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456 </w:t>
            </w:r>
          </w:p>
        </w:tc>
      </w:tr>
      <w:tr>
        <w:trPr>
          <w:trHeight w:hRule="exact" w:val="270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Miscellaneous assets</w:t>
            </w:r>
          </w:p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 </w:t>
            </w:r>
          </w:p>
        </w:tc>
      </w:tr>
    </w:tbl>
    <w:p>
      <w:pPr>
        <w:autoSpaceDN w:val="0"/>
        <w:autoSpaceDE w:val="0"/>
        <w:widowControl/>
        <w:spacing w:line="178" w:lineRule="exact" w:before="220" w:after="22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Liabilities: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30"/>
        </w:trPr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Borrowings, at fair value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257,735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4,055 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1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261,790 </w:t>
            </w:r>
          </w:p>
        </w:tc>
      </w:tr>
      <w:tr>
        <w:trPr>
          <w:trHeight w:hRule="exact" w:val="204"/>
        </w:trPr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Securities sold under repurchase agreements and securities lent 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2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256 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2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2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256 </w:t>
            </w:r>
          </w:p>
        </w:tc>
      </w:tr>
      <w:tr>
        <w:trPr>
          <w:trHeight w:hRule="exact" w:val="224"/>
        </w:trPr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under securities lending agreements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e</w:t>
            </w:r>
          </w:p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78" w:lineRule="exact" w:before="26" w:after="12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Derivative liabilities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36"/>
        </w:trPr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swaps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4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9,816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91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9,907 </w:t>
            </w:r>
          </w:p>
        </w:tc>
      </w:tr>
      <w:tr>
        <w:trPr>
          <w:trHeight w:hRule="exact" w:val="229"/>
        </w:trPr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24,556 </w:t>
            </w:r>
          </w:p>
        </w:tc>
        <w:tc>
          <w:tcPr>
            <w:tcW w:type="dxa" w:w="4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56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203 </w:t>
            </w:r>
          </w:p>
        </w:tc>
        <w:tc>
          <w:tcPr>
            <w:tcW w:type="dxa" w:w="3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56" w:after="0"/>
              <w:ind w:left="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24,759 </w:t>
            </w:r>
          </w:p>
        </w:tc>
      </w:tr>
      <w:tr>
        <w:trPr>
          <w:trHeight w:hRule="exact" w:val="237"/>
        </w:trPr>
        <w:tc>
          <w:tcPr>
            <w:tcW w:type="dxa" w:w="49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24"/>
        </w:trPr>
        <w:tc>
          <w:tcPr>
            <w:tcW w:type="dxa" w:w="49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34,372 </w:t>
            </w:r>
          </w:p>
        </w:tc>
        <w:tc>
          <w:tcPr>
            <w:tcW w:type="dxa" w:w="4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294 </w:t>
            </w:r>
          </w:p>
        </w:tc>
        <w:tc>
          <w:tcPr>
            <w:tcW w:type="dxa" w:w="3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34,666 </w:t>
            </w:r>
          </w:p>
        </w:tc>
      </w:tr>
    </w:tbl>
    <w:p>
      <w:pPr>
        <w:autoSpaceDN w:val="0"/>
        <w:autoSpaceDE w:val="0"/>
        <w:widowControl/>
        <w:spacing w:line="178" w:lineRule="exact" w:before="24" w:after="16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Less: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46"/>
        </w:trPr>
        <w:tc>
          <w:tcPr>
            <w:tcW w:type="dxa" w:w="51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" w:after="0"/>
              <w:ind w:left="3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Amounts subject to legally enforceable master netting agreements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f</w:t>
            </w:r>
          </w:p>
        </w:tc>
        <w:tc>
          <w:tcPr>
            <w:tcW w:type="dxa" w:w="4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11,938 </w:t>
            </w:r>
          </w:p>
        </w:tc>
      </w:tr>
      <w:tr>
        <w:trPr>
          <w:trHeight w:hRule="exact" w:val="226"/>
        </w:trPr>
        <w:tc>
          <w:tcPr>
            <w:tcW w:type="dxa" w:w="51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liabilities, net</w:t>
            </w:r>
          </w:p>
        </w:tc>
        <w:tc>
          <w:tcPr>
            <w:tcW w:type="dxa" w:w="4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8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8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2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8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8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22,728 </w:t>
            </w:r>
          </w:p>
        </w:tc>
      </w:tr>
      <w:tr>
        <w:trPr>
          <w:trHeight w:hRule="exact" w:val="466"/>
        </w:trPr>
        <w:tc>
          <w:tcPr>
            <w:tcW w:type="dxa" w:w="51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Accounts payable and miscellaneous liabilities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3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</w:tr>
    </w:tbl>
    <w:p>
      <w:pPr>
        <w:autoSpaceDN w:val="0"/>
        <w:autoSpaceDE w:val="0"/>
        <w:widowControl/>
        <w:spacing w:line="214" w:lineRule="exact" w:before="0" w:after="0"/>
        <w:ind w:left="62" w:right="3024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Investments at NAV related to PEBP holdings, not included in the fair value hierarchy. </w:t>
      </w:r>
      <w:r>
        <w:rPr>
          <w:rFonts w:ascii="Arial" w:hAnsi="Arial" w:eastAsia="Arial"/>
          <w:b w:val="0"/>
          <w:i/>
          <w:color w:val="000000"/>
          <w:sz w:val="16"/>
        </w:rPr>
        <w:t>b. Includes currency forward contracts.</w:t>
      </w:r>
    </w:p>
    <w:p>
      <w:pPr>
        <w:autoSpaceDN w:val="0"/>
        <w:autoSpaceDE w:val="0"/>
        <w:widowControl/>
        <w:spacing w:line="224" w:lineRule="exact" w:before="2" w:after="0"/>
        <w:ind w:left="62" w:right="5616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c. Includes swaptions, options, and futures contracts.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>d. Includes $29 million CVA.</w:t>
      </w:r>
    </w:p>
    <w:p>
      <w:pPr>
        <w:autoSpaceDN w:val="0"/>
        <w:autoSpaceDE w:val="0"/>
        <w:widowControl/>
        <w:spacing w:line="232" w:lineRule="exact" w:before="2" w:after="0"/>
        <w:ind w:left="62" w:right="5904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e. Excludes payable for cash collateral received.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>f. Includes $409 million DVA.</w:t>
      </w:r>
    </w:p>
    <w:p>
      <w:pPr>
        <w:autoSpaceDN w:val="0"/>
        <w:autoSpaceDE w:val="0"/>
        <w:widowControl/>
        <w:spacing w:line="240" w:lineRule="exact" w:before="18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Level 3 borrowings primarily relate to structured bonds. The fair value of these bonds is estimated using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discounted cash flow valuation models that incorporate model parameters, observable market inputs,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unobservable inputs. The significant unobservable inputs used in the fair value measurement of structured bonds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swaps are correlations and long-dated market interest rate volatilities. Generally, the movements in correlations are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considered to be independent of the movements in long-dated interest rate volatilities.</w:t>
      </w:r>
    </w:p>
    <w:p>
      <w:pPr>
        <w:autoSpaceDN w:val="0"/>
        <w:autoSpaceDE w:val="0"/>
        <w:widowControl/>
        <w:spacing w:line="224" w:lineRule="exact" w:before="1864" w:after="0"/>
        <w:ind w:left="0" w:right="7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December 31, 2024     55</w:t>
      </w:r>
    </w:p>
    <w:p>
      <w:pPr>
        <w:sectPr>
          <w:pgSz w:w="12240" w:h="15840"/>
          <w:pgMar w:top="724" w:right="137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Correlation is the statistical measurement of the relationship between two variables. For contracts where the holder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benefits from the convergence of the underlying index prices (e.g., market interest rates and foreign exchange rates),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 increase in correlation would generally result in an increase in the fair value of the instrument. The magnitude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and direction of the fair value adjustment would depend on whether the holder is short or long the option.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Interest rate volatility is the extent to which the level of interest rates changes over time. For purchased options, 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increase in volatility will generally result in an increase in the fair value. In general, the volatility used to price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option depends on the maturity of the underlying instrument and the option strike price. During the six months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ended December 31, 2024, and the fiscal year ended June 30, 2024, the interest rate volatilities for certain currencies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were extrapolated for certain tenors and, thus, are considered an unobservable input.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entered into transactions which have an embedded option associated with an equity index. Valuation inputs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such transactions include, among other valuation inputs, volatilities of the equity indices, that are the extent to which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level of equity index changes over time. These index volatility levels are consistent with the respective index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construction methodologies and historical movements. Similar to the impact of the volatility of the other asset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classes described above, an increase in the equity index volatility will result in an increase in the value of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purchase option and vice versa.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certain instances, particularly for instruments with coupon or repayment terms linked to catastrophic events,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management relies on instrument valuations supplied by external pricing vendors.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 provides a summary of the valuation technique applied in determining fair values of these Level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3 instruments and quantitative information regarding the significant unobservable inputs used. Level 3 instruments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represent 2% of IBRD’s borrowings.</w:t>
      </w:r>
    </w:p>
    <w:p>
      <w:pPr>
        <w:autoSpaceDN w:val="0"/>
        <w:autoSpaceDE w:val="0"/>
        <w:widowControl/>
        <w:spacing w:line="240" w:lineRule="exact" w:before="11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 xml:space="preserve">Table J3: Level 3 Borrowings and derivatives valuation technique and quantitative information regarding the </w:t>
      </w:r>
      <w:r>
        <w:rPr>
          <w:rFonts w:ascii="TimesNewRoman" w:hAnsi="TimesNewRoman" w:eastAsia="TimesNewRoman"/>
          <w:b/>
          <w:i w:val="0"/>
          <w:color w:val="000000"/>
          <w:sz w:val="20"/>
        </w:rPr>
        <w:t>significant unobservable inputs:</w:t>
      </w:r>
    </w:p>
    <w:p>
      <w:pPr>
        <w:autoSpaceDN w:val="0"/>
        <w:autoSpaceDE w:val="0"/>
        <w:widowControl/>
        <w:spacing w:line="178" w:lineRule="exact" w:before="9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20"/>
        </w:trPr>
        <w:tc>
          <w:tcPr>
            <w:tcW w:type="dxa" w:w="141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Portfolio</w:t>
            </w:r>
          </w:p>
        </w:tc>
        <w:tc>
          <w:tcPr>
            <w:tcW w:type="dxa" w:w="132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Fair Value as of </w:t>
            </w:r>
          </w:p>
        </w:tc>
        <w:tc>
          <w:tcPr>
            <w:tcW w:type="dxa" w:w="112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Fair Value as </w:t>
            </w:r>
          </w:p>
        </w:tc>
        <w:tc>
          <w:tcPr>
            <w:tcW w:type="dxa" w:w="1034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4" w:after="0"/>
              <w:ind w:left="20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Valuation </w:t>
            </w:r>
          </w:p>
        </w:tc>
        <w:tc>
          <w:tcPr>
            <w:tcW w:type="dxa" w:w="1246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4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Unobservable </w:t>
            </w:r>
          </w:p>
        </w:tc>
        <w:tc>
          <w:tcPr>
            <w:tcW w:type="dxa" w:w="168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4" w:after="0"/>
              <w:ind w:left="2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Range (average), </w:t>
            </w:r>
          </w:p>
        </w:tc>
        <w:tc>
          <w:tcPr>
            <w:tcW w:type="dxa" w:w="156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Range (average),</w:t>
            </w:r>
          </w:p>
        </w:tc>
      </w:tr>
      <w:tr>
        <w:trPr>
          <w:trHeight w:hRule="exact" w:val="100"/>
        </w:trPr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8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December 31, </w:t>
            </w:r>
          </w:p>
        </w:tc>
        <w:tc>
          <w:tcPr>
            <w:tcW w:type="dxa" w:w="112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8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of June 30, </w:t>
            </w:r>
          </w:p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80"/>
        </w:trPr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2098"/>
            <w:gridSpan w:val="2"/>
            <w:vMerge/>
            <w:tcBorders/>
          </w:tcPr>
          <w:p/>
        </w:tc>
        <w:tc>
          <w:tcPr>
            <w:tcW w:type="dxa" w:w="2098"/>
            <w:gridSpan w:val="2"/>
            <w:vMerge/>
            <w:tcBorders/>
          </w:tcPr>
          <w:p/>
        </w:tc>
        <w:tc>
          <w:tcPr>
            <w:tcW w:type="dxa" w:w="103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Technique</w:t>
            </w:r>
          </w:p>
        </w:tc>
        <w:tc>
          <w:tcPr>
            <w:tcW w:type="dxa" w:w="124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input</w:t>
            </w:r>
          </w:p>
        </w:tc>
        <w:tc>
          <w:tcPr>
            <w:tcW w:type="dxa" w:w="16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December 31, 2024</w:t>
            </w:r>
          </w:p>
        </w:tc>
        <w:tc>
          <w:tcPr>
            <w:tcW w:type="dxa" w:w="15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  <w:tr>
        <w:trPr>
          <w:trHeight w:hRule="exact" w:val="246"/>
        </w:trPr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112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141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4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52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4,425 </w:t>
            </w:r>
          </w:p>
        </w:tc>
        <w:tc>
          <w:tcPr>
            <w:tcW w:type="dxa" w:w="33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9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52" w:after="0"/>
              <w:ind w:left="1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4,055 </w:t>
            </w:r>
          </w:p>
        </w:tc>
        <w:tc>
          <w:tcPr>
            <w:tcW w:type="dxa" w:w="103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Correlations</w:t>
            </w:r>
          </w:p>
        </w:tc>
        <w:tc>
          <w:tcPr>
            <w:tcW w:type="dxa" w:w="1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-23% to 82% (7%)</w:t>
            </w:r>
          </w:p>
        </w:tc>
        <w:tc>
          <w:tcPr>
            <w:tcW w:type="dxa" w:w="15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-11% to 84% (7%)</w:t>
            </w:r>
          </w:p>
        </w:tc>
      </w:tr>
      <w:tr>
        <w:trPr>
          <w:trHeight w:hRule="exact" w:val="214"/>
        </w:trPr>
        <w:tc>
          <w:tcPr>
            <w:tcW w:type="dxa" w:w="141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34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6" w:after="0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Discounted </w:t>
            </w:r>
          </w:p>
        </w:tc>
        <w:tc>
          <w:tcPr>
            <w:tcW w:type="dxa" w:w="124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2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Interest rate </w:t>
            </w:r>
          </w:p>
        </w:tc>
        <w:tc>
          <w:tcPr>
            <w:tcW w:type="dxa" w:w="16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59% to 68% (66%)</w:t>
            </w:r>
          </w:p>
        </w:tc>
        <w:tc>
          <w:tcPr>
            <w:tcW w:type="dxa" w:w="15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65% to 77% (73%)</w:t>
            </w:r>
          </w:p>
        </w:tc>
      </w:tr>
      <w:tr>
        <w:trPr>
          <w:trHeight w:hRule="exact" w:val="80"/>
        </w:trPr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24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volatilities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140"/>
        </w:trPr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3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Cash Flow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1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7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8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4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3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8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9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3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4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Equity index </w:t>
            </w:r>
          </w:p>
        </w:tc>
        <w:tc>
          <w:tcPr>
            <w:tcW w:type="dxa" w:w="16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3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5% to 15% (9%)</w:t>
            </w:r>
          </w:p>
        </w:tc>
        <w:tc>
          <w:tcPr>
            <w:tcW w:type="dxa" w:w="15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5% to 15% (9%)</w:t>
            </w:r>
          </w:p>
        </w:tc>
      </w:tr>
      <w:tr>
        <w:trPr>
          <w:trHeight w:hRule="exact" w:val="234"/>
        </w:trPr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4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volatilities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141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3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Correlations</w:t>
            </w:r>
          </w:p>
        </w:tc>
        <w:tc>
          <w:tcPr>
            <w:tcW w:type="dxa" w:w="1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2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-23% to 82% (7%)</w:t>
            </w:r>
          </w:p>
        </w:tc>
        <w:tc>
          <w:tcPr>
            <w:tcW w:type="dxa" w:w="15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-11% to 84% (7%)</w:t>
            </w:r>
          </w:p>
        </w:tc>
      </w:tr>
      <w:tr>
        <w:trPr>
          <w:trHeight w:hRule="exact" w:val="206"/>
        </w:trPr>
        <w:tc>
          <w:tcPr>
            <w:tcW w:type="dxa" w:w="141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Derivative 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(96) 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9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(31) </w:t>
            </w:r>
          </w:p>
        </w:tc>
        <w:tc>
          <w:tcPr>
            <w:tcW w:type="dxa" w:w="1034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8" w:after="0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Discounted </w:t>
            </w:r>
          </w:p>
        </w:tc>
        <w:tc>
          <w:tcPr>
            <w:tcW w:type="dxa" w:w="124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Interest rate </w:t>
            </w:r>
          </w:p>
        </w:tc>
        <w:tc>
          <w:tcPr>
            <w:tcW w:type="dxa" w:w="16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59% to 68% (66%)</w:t>
            </w:r>
          </w:p>
        </w:tc>
        <w:tc>
          <w:tcPr>
            <w:tcW w:type="dxa" w:w="15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65% to 77% (73%)</w:t>
            </w:r>
          </w:p>
        </w:tc>
      </w:tr>
      <w:tr>
        <w:trPr>
          <w:trHeight w:hRule="exact" w:val="100"/>
        </w:trPr>
        <w:tc>
          <w:tcPr>
            <w:tcW w:type="dxa" w:w="141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assets/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24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volatilities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130"/>
        </w:trPr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3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Cash Flow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10"/>
        </w:trPr>
        <w:tc>
          <w:tcPr>
            <w:tcW w:type="dxa" w:w="141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(liabilities), net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9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3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4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Equity index </w:t>
            </w:r>
          </w:p>
        </w:tc>
        <w:tc>
          <w:tcPr>
            <w:tcW w:type="dxa" w:w="16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3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5% to 15% (9%)</w:t>
            </w:r>
          </w:p>
        </w:tc>
        <w:tc>
          <w:tcPr>
            <w:tcW w:type="dxa" w:w="15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5% to 15% (9%)</w:t>
            </w:r>
          </w:p>
        </w:tc>
      </w:tr>
      <w:tr>
        <w:trPr>
          <w:trHeight w:hRule="exact" w:val="226"/>
        </w:trPr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4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volatilities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24" w:lineRule="exact" w:before="446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56     IBRD Condensed Quarterly Financial Statements: December 31, 2024 (Unaudited)</w:t>
      </w:r>
    </w:p>
    <w:p>
      <w:pPr>
        <w:sectPr>
          <w:pgSz w:w="12240" w:h="15840"/>
          <w:pgMar w:top="700" w:right="137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tables below provide the details of transfers between Level 2 and Level 3 that are due to changes in observable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inputs.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J4: Borrowings and derivatives inter level transfers</w:t>
      </w:r>
    </w:p>
    <w:p>
      <w:pPr>
        <w:autoSpaceDN w:val="0"/>
        <w:autoSpaceDE w:val="0"/>
        <w:widowControl/>
        <w:spacing w:line="178" w:lineRule="exact" w:before="9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59"/>
        <w:gridCol w:w="2359"/>
        <w:gridCol w:w="2359"/>
        <w:gridCol w:w="2359"/>
      </w:tblGrid>
      <w:tr>
        <w:trPr>
          <w:trHeight w:hRule="exact" w:val="240"/>
        </w:trPr>
        <w:tc>
          <w:tcPr>
            <w:tcW w:type="dxa" w:w="600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9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Three Months Ended December 31, 2024</w:t>
            </w:r>
          </w:p>
        </w:tc>
        <w:tc>
          <w:tcPr>
            <w:tcW w:type="dxa" w:w="3328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Six Months Ended December 31, 2024</w:t>
            </w:r>
          </w:p>
        </w:tc>
      </w:tr>
      <w:tr>
        <w:trPr>
          <w:trHeight w:hRule="exact" w:val="240"/>
        </w:trPr>
        <w:tc>
          <w:tcPr>
            <w:tcW w:type="dxa" w:w="42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5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Level 2</w:t>
            </w:r>
          </w:p>
        </w:tc>
        <w:tc>
          <w:tcPr>
            <w:tcW w:type="dxa" w:w="171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5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Level 3</w:t>
            </w:r>
          </w:p>
        </w:tc>
        <w:tc>
          <w:tcPr>
            <w:tcW w:type="dxa" w:w="16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Level 2</w:t>
            </w:r>
          </w:p>
        </w:tc>
        <w:tc>
          <w:tcPr>
            <w:tcW w:type="dxa" w:w="16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Level 3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Borrowings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38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 into (out of)</w:t>
            </w:r>
          </w:p>
        </w:tc>
        <w:tc>
          <w:tcPr>
            <w:tcW w:type="dxa" w:w="7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 </w:t>
            </w:r>
          </w:p>
        </w:tc>
        <w:tc>
          <w:tcPr>
            <w:tcW w:type="dxa" w:w="7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(26) $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(26) </w:t>
            </w:r>
          </w:p>
        </w:tc>
      </w:tr>
      <w:tr>
        <w:trPr>
          <w:trHeight w:hRule="exact" w:val="240"/>
        </w:trPr>
        <w:tc>
          <w:tcPr>
            <w:tcW w:type="dxa" w:w="2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 (out of) into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9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(75)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90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75 </w:t>
            </w:r>
          </w:p>
        </w:tc>
        <w:tc>
          <w:tcPr>
            <w:tcW w:type="dxa" w:w="752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6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(75) $ </w:t>
            </w:r>
          </w:p>
        </w:tc>
        <w:tc>
          <w:tcPr>
            <w:tcW w:type="dxa" w:w="8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75 </w:t>
            </w:r>
          </w:p>
        </w:tc>
      </w:tr>
      <w:tr>
        <w:trPr>
          <w:trHeight w:hRule="exact" w:val="231"/>
        </w:trPr>
        <w:tc>
          <w:tcPr>
            <w:tcW w:type="dxa" w:w="2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(49) </w:t>
            </w:r>
          </w:p>
        </w:tc>
        <w:tc>
          <w:tcPr>
            <w:tcW w:type="dxa" w:w="7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0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 </w:t>
            </w:r>
          </w:p>
        </w:tc>
        <w:tc>
          <w:tcPr>
            <w:tcW w:type="dxa" w:w="75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66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(49) $ </w:t>
            </w:r>
          </w:p>
        </w:tc>
        <w:tc>
          <w:tcPr>
            <w:tcW w:type="dxa" w:w="8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 </w:t>
            </w:r>
          </w:p>
        </w:tc>
      </w:tr>
    </w:tbl>
    <w:p>
      <w:pPr>
        <w:autoSpaceDN w:val="0"/>
        <w:autoSpaceDE w:val="0"/>
        <w:widowControl/>
        <w:spacing w:line="178" w:lineRule="exact" w:before="40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Derivative assets, net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80"/>
      </w:tblGrid>
      <w:tr>
        <w:trPr>
          <w:trHeight w:hRule="exact" w:val="238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 into (out of)</w:t>
            </w:r>
          </w:p>
        </w:tc>
        <w:tc>
          <w:tcPr>
            <w:tcW w:type="dxa" w:w="7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87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$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8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</w:t>
            </w:r>
          </w:p>
        </w:tc>
      </w:tr>
      <w:tr>
        <w:trPr>
          <w:trHeight w:hRule="exact" w:val="240"/>
        </w:trPr>
        <w:tc>
          <w:tcPr>
            <w:tcW w:type="dxa" w:w="2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 (out of) into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8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7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8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</w:tr>
      <w:tr>
        <w:trPr>
          <w:trHeight w:hRule="exact" w:val="241"/>
        </w:trPr>
        <w:tc>
          <w:tcPr>
            <w:tcW w:type="dxa" w:w="2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8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8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</w:t>
            </w:r>
          </w:p>
        </w:tc>
        <w:tc>
          <w:tcPr>
            <w:tcW w:type="dxa" w:w="8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</w:t>
            </w:r>
          </w:p>
        </w:tc>
      </w:tr>
    </w:tbl>
    <w:p>
      <w:pPr>
        <w:autoSpaceDN w:val="0"/>
        <w:autoSpaceDE w:val="0"/>
        <w:widowControl/>
        <w:spacing w:line="178" w:lineRule="exact" w:before="30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Derivative liabilities, net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38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 (into) out of</w:t>
            </w:r>
          </w:p>
        </w:tc>
        <w:tc>
          <w:tcPr>
            <w:tcW w:type="dxa" w:w="7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3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7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</w:tr>
      <w:tr>
        <w:trPr>
          <w:trHeight w:hRule="exact" w:val="240"/>
        </w:trPr>
        <w:tc>
          <w:tcPr>
            <w:tcW w:type="dxa" w:w="26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 out of (into)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8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6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(21) </w:t>
            </w:r>
          </w:p>
        </w:tc>
        <w:tc>
          <w:tcPr>
            <w:tcW w:type="dxa" w:w="8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8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(21) </w:t>
            </w:r>
          </w:p>
        </w:tc>
      </w:tr>
      <w:tr>
        <w:trPr>
          <w:trHeight w:hRule="exact" w:val="240"/>
        </w:trPr>
        <w:tc>
          <w:tcPr>
            <w:tcW w:type="dxa" w:w="26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 </w:t>
            </w:r>
          </w:p>
        </w:tc>
        <w:tc>
          <w:tcPr>
            <w:tcW w:type="dxa" w:w="8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(21) </w:t>
            </w:r>
          </w:p>
        </w:tc>
        <w:tc>
          <w:tcPr>
            <w:tcW w:type="dxa" w:w="8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 </w:t>
            </w:r>
          </w:p>
        </w:tc>
        <w:tc>
          <w:tcPr>
            <w:tcW w:type="dxa" w:w="7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(21) </w:t>
            </w:r>
          </w:p>
        </w:tc>
      </w:tr>
      <w:tr>
        <w:trPr>
          <w:trHeight w:hRule="exact" w:val="220"/>
        </w:trPr>
        <w:tc>
          <w:tcPr>
            <w:tcW w:type="dxa" w:w="26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Derivative Transfers, net</w:t>
            </w:r>
          </w:p>
        </w:tc>
        <w:tc>
          <w:tcPr>
            <w:tcW w:type="dxa" w:w="7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 </w:t>
            </w:r>
          </w:p>
        </w:tc>
        <w:tc>
          <w:tcPr>
            <w:tcW w:type="dxa" w:w="8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680"/>
            <w:gridSpan w:val="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(23) $ </w:t>
            </w:r>
          </w:p>
        </w:tc>
        <w:tc>
          <w:tcPr>
            <w:tcW w:type="dxa" w:w="8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 </w:t>
            </w:r>
          </w:p>
        </w:tc>
        <w:tc>
          <w:tcPr>
            <w:tcW w:type="dxa" w:w="7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(23) </w:t>
            </w:r>
          </w:p>
        </w:tc>
      </w:tr>
      <w:tr>
        <w:trPr>
          <w:trHeight w:hRule="exact" w:val="50"/>
        </w:trPr>
        <w:tc>
          <w:tcPr>
            <w:tcW w:type="dxa" w:w="26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98"/>
            <w:gridSpan w:val="2"/>
            <w:vMerge/>
            <w:tcBorders>
              <w:top w:sz="8.0" w:val="single" w:color="#000000"/>
            </w:tcBorders>
          </w:tcPr>
          <w:p/>
        </w:tc>
        <w:tc>
          <w:tcPr>
            <w:tcW w:type="dxa" w:w="8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2" w:lineRule="exact" w:before="224" w:after="0"/>
        <w:ind w:left="62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 xml:space="preserve">Table J4.1: </w:t>
      </w:r>
    </w:p>
    <w:p>
      <w:pPr>
        <w:autoSpaceDN w:val="0"/>
        <w:autoSpaceDE w:val="0"/>
        <w:widowControl/>
        <w:spacing w:line="180" w:lineRule="exact" w:before="60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59"/>
        <w:gridCol w:w="2359"/>
        <w:gridCol w:w="2359"/>
        <w:gridCol w:w="2359"/>
      </w:tblGrid>
      <w:tr>
        <w:trPr>
          <w:trHeight w:hRule="exact" w:val="240"/>
        </w:trPr>
        <w:tc>
          <w:tcPr>
            <w:tcW w:type="dxa" w:w="600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9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Three Months Ended December 31, 2023</w:t>
            </w:r>
          </w:p>
        </w:tc>
        <w:tc>
          <w:tcPr>
            <w:tcW w:type="dxa" w:w="3328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4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Six Months Ended December 31, 2023</w:t>
            </w:r>
          </w:p>
        </w:tc>
      </w:tr>
      <w:tr>
        <w:trPr>
          <w:trHeight w:hRule="exact" w:val="240"/>
        </w:trPr>
        <w:tc>
          <w:tcPr>
            <w:tcW w:type="dxa" w:w="42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55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Level 2</w:t>
            </w:r>
          </w:p>
        </w:tc>
        <w:tc>
          <w:tcPr>
            <w:tcW w:type="dxa" w:w="171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55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Level 3</w:t>
            </w:r>
          </w:p>
        </w:tc>
        <w:tc>
          <w:tcPr>
            <w:tcW w:type="dxa" w:w="16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Level 2</w:t>
            </w:r>
          </w:p>
        </w:tc>
        <w:tc>
          <w:tcPr>
            <w:tcW w:type="dxa" w:w="16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Level 3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Borrowings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80"/>
      </w:tblGrid>
      <w:tr>
        <w:trPr>
          <w:trHeight w:hRule="exact" w:val="234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 into (out of)</w:t>
            </w:r>
          </w:p>
        </w:tc>
        <w:tc>
          <w:tcPr>
            <w:tcW w:type="dxa" w:w="7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 </w:t>
            </w:r>
          </w:p>
        </w:tc>
        <w:tc>
          <w:tcPr>
            <w:tcW w:type="dxa" w:w="83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(25) $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 </w:t>
            </w:r>
          </w:p>
        </w:tc>
        <w:tc>
          <w:tcPr>
            <w:tcW w:type="dxa" w:w="7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(25) </w:t>
            </w:r>
          </w:p>
        </w:tc>
      </w:tr>
      <w:tr>
        <w:trPr>
          <w:trHeight w:hRule="exact" w:val="246"/>
        </w:trPr>
        <w:tc>
          <w:tcPr>
            <w:tcW w:type="dxa" w:w="2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 (out of) into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8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(1) 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6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8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8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(21) 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8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 </w:t>
            </w:r>
          </w:p>
        </w:tc>
      </w:tr>
      <w:tr>
        <w:trPr>
          <w:trHeight w:hRule="exact" w:val="230"/>
        </w:trPr>
        <w:tc>
          <w:tcPr>
            <w:tcW w:type="dxa" w:w="2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 </w:t>
            </w:r>
          </w:p>
        </w:tc>
        <w:tc>
          <w:tcPr>
            <w:tcW w:type="dxa" w:w="8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6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(24) $ </w:t>
            </w:r>
          </w:p>
        </w:tc>
        <w:tc>
          <w:tcPr>
            <w:tcW w:type="dxa" w:w="8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7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(4) </w:t>
            </w:r>
          </w:p>
        </w:tc>
      </w:tr>
    </w:tbl>
    <w:p>
      <w:pPr>
        <w:autoSpaceDN w:val="0"/>
        <w:autoSpaceDE w:val="0"/>
        <w:widowControl/>
        <w:spacing w:line="180" w:lineRule="exact" w:before="40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Derivative assets, net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80"/>
      </w:tblGrid>
      <w:tr>
        <w:trPr>
          <w:trHeight w:hRule="exact" w:val="234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 into (out of)</w:t>
            </w:r>
          </w:p>
        </w:tc>
        <w:tc>
          <w:tcPr>
            <w:tcW w:type="dxa" w:w="7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87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(1) $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96 </w:t>
            </w:r>
          </w:p>
        </w:tc>
        <w:tc>
          <w:tcPr>
            <w:tcW w:type="dxa" w:w="7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(96) </w:t>
            </w:r>
          </w:p>
        </w:tc>
      </w:tr>
      <w:tr>
        <w:trPr>
          <w:trHeight w:hRule="exact" w:val="246"/>
        </w:trPr>
        <w:tc>
          <w:tcPr>
            <w:tcW w:type="dxa" w:w="2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 (out of) into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8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6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8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8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40"/>
        </w:trPr>
        <w:tc>
          <w:tcPr>
            <w:tcW w:type="dxa" w:w="2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8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7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(1) </w:t>
            </w:r>
          </w:p>
        </w:tc>
        <w:tc>
          <w:tcPr>
            <w:tcW w:type="dxa" w:w="8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96 </w:t>
            </w:r>
          </w:p>
        </w:tc>
        <w:tc>
          <w:tcPr>
            <w:tcW w:type="dxa" w:w="7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(96) </w:t>
            </w:r>
          </w:p>
        </w:tc>
      </w:tr>
    </w:tbl>
    <w:p>
      <w:pPr>
        <w:autoSpaceDN w:val="0"/>
        <w:autoSpaceDE w:val="0"/>
        <w:widowControl/>
        <w:spacing w:line="180" w:lineRule="exact" w:before="30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Derivative liabilities, net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34"/>
        </w:trPr>
        <w:tc>
          <w:tcPr>
            <w:tcW w:type="dxa" w:w="2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3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 (into) out of</w:t>
            </w:r>
          </w:p>
        </w:tc>
        <w:tc>
          <w:tcPr>
            <w:tcW w:type="dxa" w:w="7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7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5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$ </w:t>
            </w:r>
          </w:p>
        </w:tc>
        <w:tc>
          <w:tcPr>
            <w:tcW w:type="dxa" w:w="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</w:tr>
      <w:tr>
        <w:trPr>
          <w:trHeight w:hRule="exact" w:val="246"/>
        </w:trPr>
        <w:tc>
          <w:tcPr>
            <w:tcW w:type="dxa" w:w="26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3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 out of (into)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8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60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7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6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 </w:t>
            </w:r>
          </w:p>
        </w:tc>
        <w:tc>
          <w:tcPr>
            <w:tcW w:type="dxa" w:w="9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(6) </w:t>
            </w:r>
          </w:p>
        </w:tc>
      </w:tr>
      <w:tr>
        <w:trPr>
          <w:trHeight w:hRule="exact" w:val="240"/>
        </w:trPr>
        <w:tc>
          <w:tcPr>
            <w:tcW w:type="dxa" w:w="26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7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64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9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(4) </w:t>
            </w:r>
          </w:p>
        </w:tc>
      </w:tr>
      <w:tr>
        <w:trPr>
          <w:trHeight w:hRule="exact" w:val="220"/>
        </w:trPr>
        <w:tc>
          <w:tcPr>
            <w:tcW w:type="dxa" w:w="26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Derivative Transfers, net</w:t>
            </w:r>
          </w:p>
        </w:tc>
        <w:tc>
          <w:tcPr>
            <w:tcW w:type="dxa" w:w="7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8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600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5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(1) $ </w:t>
            </w:r>
          </w:p>
        </w:tc>
        <w:tc>
          <w:tcPr>
            <w:tcW w:type="dxa" w:w="9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100 </w:t>
            </w:r>
          </w:p>
        </w:tc>
        <w:tc>
          <w:tcPr>
            <w:tcW w:type="dxa" w:w="7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(100) </w:t>
            </w:r>
          </w:p>
        </w:tc>
      </w:tr>
      <w:tr>
        <w:trPr>
          <w:trHeight w:hRule="exact" w:val="200"/>
        </w:trPr>
        <w:tc>
          <w:tcPr>
            <w:tcW w:type="dxa" w:w="26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98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4" w:lineRule="exact" w:before="4250" w:after="0"/>
        <w:ind w:left="0" w:right="6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December 31, 2024     57</w:t>
      </w:r>
    </w:p>
    <w:p>
      <w:pPr>
        <w:sectPr>
          <w:pgSz w:w="12240" w:h="15840"/>
          <w:pgMar w:top="700" w:right="1372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following tables provide a summary of changes in the fair value of IBRD’s Level 3 borrowings and derivatives: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J5: Borrowings Level 3 changes</w:t>
      </w:r>
    </w:p>
    <w:p>
      <w:pPr>
        <w:autoSpaceDN w:val="0"/>
        <w:autoSpaceDE w:val="0"/>
        <w:widowControl/>
        <w:spacing w:line="178" w:lineRule="exact" w:before="9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rPr>
          <w:trHeight w:hRule="exact" w:val="240"/>
        </w:trPr>
        <w:tc>
          <w:tcPr>
            <w:tcW w:type="dxa" w:w="30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8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7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Three Months Ended December 31,</w:t>
            </w:r>
          </w:p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9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2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Six Months Ended December 31,</w:t>
            </w:r>
          </w:p>
        </w:tc>
      </w:tr>
      <w:tr>
        <w:trPr>
          <w:trHeight w:hRule="exact" w:val="240"/>
        </w:trPr>
        <w:tc>
          <w:tcPr>
            <w:tcW w:type="dxa" w:w="30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164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6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1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157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</w:tr>
      <w:tr>
        <w:trPr>
          <w:trHeight w:hRule="exact" w:val="240"/>
        </w:trPr>
        <w:tc>
          <w:tcPr>
            <w:tcW w:type="dxa" w:w="304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Beginning of the period/fiscal year</w:t>
            </w:r>
          </w:p>
        </w:tc>
        <w:tc>
          <w:tcPr>
            <w:tcW w:type="dxa" w:w="244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4,511 </w:t>
            </w:r>
          </w:p>
        </w:tc>
        <w:tc>
          <w:tcPr>
            <w:tcW w:type="dxa" w:w="6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1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3,384 </w:t>
            </w:r>
          </w:p>
        </w:tc>
        <w:tc>
          <w:tcPr>
            <w:tcW w:type="dxa" w:w="42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4,055 </w:t>
            </w:r>
          </w:p>
        </w:tc>
        <w:tc>
          <w:tcPr>
            <w:tcW w:type="dxa" w:w="4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3,607 </w:t>
            </w:r>
          </w:p>
        </w:tc>
      </w:tr>
      <w:tr>
        <w:trPr>
          <w:trHeight w:hRule="exact" w:val="240"/>
        </w:trPr>
        <w:tc>
          <w:tcPr>
            <w:tcW w:type="dxa" w:w="3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Issuances</w:t>
            </w:r>
          </w:p>
        </w:tc>
        <w:tc>
          <w:tcPr>
            <w:tcW w:type="dxa" w:w="1047"/>
            <w:vMerge/>
            <w:tcBorders>
              <w:top w:sz="8.0" w:val="single" w:color="#000000"/>
            </w:tcBorders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243 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7"/>
            <w:vMerge/>
            <w:tcBorders>
              <w:top w:sz="8.0" w:val="single" w:color="#000000"/>
            </w:tcBorders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577 </w:t>
            </w:r>
          </w:p>
        </w:tc>
        <w:tc>
          <w:tcPr>
            <w:tcW w:type="dxa" w:w="1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 </w:t>
            </w:r>
          </w:p>
        </w:tc>
      </w:tr>
      <w:tr>
        <w:trPr>
          <w:trHeight w:hRule="exact" w:val="242"/>
        </w:trPr>
        <w:tc>
          <w:tcPr>
            <w:tcW w:type="dxa" w:w="3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Settlements</w:t>
            </w:r>
          </w:p>
        </w:tc>
        <w:tc>
          <w:tcPr>
            <w:tcW w:type="dxa" w:w="1047"/>
            <w:vMerge/>
            <w:tcBorders>
              <w:top w:sz="8.0" w:val="single" w:color="#000000"/>
            </w:tcBorders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(75) 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(266) </w:t>
            </w:r>
          </w:p>
        </w:tc>
        <w:tc>
          <w:tcPr>
            <w:tcW w:type="dxa" w:w="1047"/>
            <w:vMerge/>
            <w:tcBorders>
              <w:top w:sz="8.0" w:val="single" w:color="#000000"/>
            </w:tcBorders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(227) </w:t>
            </w:r>
          </w:p>
        </w:tc>
        <w:tc>
          <w:tcPr>
            <w:tcW w:type="dxa" w:w="1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(412) </w:t>
            </w:r>
          </w:p>
        </w:tc>
      </w:tr>
    </w:tbl>
    <w:p>
      <w:pPr>
        <w:autoSpaceDN w:val="0"/>
        <w:autoSpaceDE w:val="0"/>
        <w:widowControl/>
        <w:spacing w:line="192" w:lineRule="exact" w:before="10" w:after="30"/>
        <w:ind w:left="62" w:right="633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Total realized/unrealized mark-to-market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>losses (gains) in: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rPr>
          <w:trHeight w:hRule="exact" w:val="224"/>
        </w:trPr>
        <w:tc>
          <w:tcPr>
            <w:tcW w:type="dxa" w:w="3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(loss) income</w:t>
            </w:r>
          </w:p>
        </w:tc>
        <w:tc>
          <w:tcPr>
            <w:tcW w:type="dxa" w:w="42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(126) </w:t>
            </w:r>
          </w:p>
        </w:tc>
        <w:tc>
          <w:tcPr>
            <w:tcW w:type="dxa" w:w="4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282 </w:t>
            </w:r>
          </w:p>
        </w:tc>
        <w:tc>
          <w:tcPr>
            <w:tcW w:type="dxa" w:w="8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160 </w:t>
            </w:r>
          </w:p>
        </w:tc>
        <w:tc>
          <w:tcPr>
            <w:tcW w:type="dxa" w:w="4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5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184 </w:t>
            </w:r>
          </w:p>
        </w:tc>
      </w:tr>
      <w:tr>
        <w:trPr>
          <w:trHeight w:hRule="exact" w:val="240"/>
        </w:trPr>
        <w:tc>
          <w:tcPr>
            <w:tcW w:type="dxa" w:w="3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comprehensive (loss) income</w:t>
            </w:r>
          </w:p>
        </w:tc>
        <w:tc>
          <w:tcPr>
            <w:tcW w:type="dxa" w:w="1047"/>
            <w:vMerge/>
            <w:tcBorders>
              <w:bottom w:sz="8.0" w:val="single" w:color="#000000"/>
            </w:tcBorders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(177) </w:t>
            </w:r>
          </w:p>
        </w:tc>
        <w:tc>
          <w:tcPr>
            <w:tcW w:type="dxa" w:w="1047"/>
            <w:vMerge/>
            <w:tcBorders>
              <w:bottom w:sz="8.0" w:val="single" w:color="#000000"/>
            </w:tcBorders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 </w:t>
            </w:r>
          </w:p>
        </w:tc>
        <w:tc>
          <w:tcPr>
            <w:tcW w:type="dxa" w:w="1047"/>
            <w:vMerge/>
            <w:tcBorders>
              <w:bottom w:sz="8.0" w:val="single" w:color="#000000"/>
            </w:tcBorders>
          </w:tcPr>
          <w:p/>
        </w:tc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(189) </w:t>
            </w:r>
          </w:p>
        </w:tc>
        <w:tc>
          <w:tcPr>
            <w:tcW w:type="dxa" w:w="1047"/>
            <w:vMerge/>
            <w:tcBorders>
              <w:bottom w:sz="8.0" w:val="single" w:color="#000000"/>
            </w:tcBorders>
          </w:tcPr>
          <w:p/>
        </w:tc>
        <w:tc>
          <w:tcPr>
            <w:tcW w:type="dxa" w:w="1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(7) </w:t>
            </w:r>
          </w:p>
        </w:tc>
      </w:tr>
      <w:tr>
        <w:trPr>
          <w:trHeight w:hRule="exact" w:val="254"/>
        </w:trPr>
        <w:tc>
          <w:tcPr>
            <w:tcW w:type="dxa" w:w="304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Transfers to (from) Level 3, net</w:t>
            </w:r>
          </w:p>
        </w:tc>
        <w:tc>
          <w:tcPr>
            <w:tcW w:type="dxa" w:w="1047"/>
            <w:vMerge/>
            <w:tcBorders>
              <w:bottom w:sz="8.0" w:val="single" w:color="#000000"/>
            </w:tcBorders>
          </w:tcPr>
          <w:p/>
        </w:tc>
        <w:tc>
          <w:tcPr>
            <w:tcW w:type="dxa" w:w="11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 </w:t>
            </w:r>
          </w:p>
        </w:tc>
        <w:tc>
          <w:tcPr>
            <w:tcW w:type="dxa" w:w="1047"/>
            <w:vMerge/>
            <w:tcBorders>
              <w:bottom w:sz="8.0" w:val="single" w:color="#000000"/>
            </w:tcBorders>
          </w:tcPr>
          <w:p/>
        </w:tc>
        <w:tc>
          <w:tcPr>
            <w:tcW w:type="dxa" w:w="9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(24) </w:t>
            </w:r>
          </w:p>
        </w:tc>
        <w:tc>
          <w:tcPr>
            <w:tcW w:type="dxa" w:w="1047"/>
            <w:vMerge/>
            <w:tcBorders>
              <w:bottom w:sz="8.0" w:val="single" w:color="#000000"/>
            </w:tcBorders>
          </w:tcPr>
          <w:p/>
        </w:tc>
        <w:tc>
          <w:tcPr>
            <w:tcW w:type="dxa" w:w="9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 </w:t>
            </w:r>
          </w:p>
        </w:tc>
        <w:tc>
          <w:tcPr>
            <w:tcW w:type="dxa" w:w="1047"/>
            <w:vMerge/>
            <w:tcBorders>
              <w:bottom w:sz="8.0" w:val="single" w:color="#000000"/>
            </w:tcBorders>
          </w:tcPr>
          <w:p/>
        </w:tc>
        <w:tc>
          <w:tcPr>
            <w:tcW w:type="dxa" w:w="11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(4) </w:t>
            </w:r>
          </w:p>
        </w:tc>
      </w:tr>
      <w:tr>
        <w:trPr>
          <w:trHeight w:hRule="exact" w:val="220"/>
        </w:trPr>
        <w:tc>
          <w:tcPr>
            <w:tcW w:type="dxa" w:w="30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End of the period</w:t>
            </w:r>
          </w:p>
        </w:tc>
        <w:tc>
          <w:tcPr>
            <w:tcW w:type="dxa" w:w="4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4,425 </w:t>
            </w:r>
          </w:p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3,395 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4,425 </w:t>
            </w:r>
          </w:p>
        </w:tc>
        <w:tc>
          <w:tcPr>
            <w:tcW w:type="dxa" w:w="4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3,395 </w:t>
            </w:r>
          </w:p>
        </w:tc>
      </w:tr>
    </w:tbl>
    <w:p>
      <w:pPr>
        <w:autoSpaceDN w:val="0"/>
        <w:autoSpaceDE w:val="0"/>
        <w:widowControl/>
        <w:spacing w:line="222" w:lineRule="exact" w:before="438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J6: Derivatives Level 3 changes</w:t>
      </w:r>
    </w:p>
    <w:p>
      <w:pPr>
        <w:autoSpaceDN w:val="0"/>
        <w:autoSpaceDE w:val="0"/>
        <w:widowControl/>
        <w:spacing w:line="180" w:lineRule="exact" w:before="92" w:after="22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sectPr>
          <w:pgSz w:w="12240" w:h="15840"/>
          <w:pgMar w:top="700" w:right="139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3024" w:right="0" w:firstLine="0"/>
        <w:jc w:val="center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Three Months Ended December 31, 2024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>Derivatives, Assets/(Liabilities)</w:t>
      </w:r>
    </w:p>
    <w:p>
      <w:pPr>
        <w:sectPr>
          <w:type w:val="continuous"/>
          <w:pgSz w:w="12240" w:h="15840"/>
          <w:pgMar w:top="700" w:right="1390" w:bottom="360" w:left="1430" w:header="720" w:footer="720" w:gutter="0"/>
          <w:cols w:num="2" w:equalWidth="0">
            <w:col w:w="6220" w:space="0"/>
            <w:col w:w="3200" w:space="0"/>
          </w:cols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26"/>
        <w:ind w:left="144" w:right="144" w:firstLine="0"/>
        <w:jc w:val="center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Six Months Ended December 31, 2024 </w:t>
      </w:r>
      <w:r>
        <w:rPr>
          <w:rFonts w:ascii="Arial" w:hAnsi="Arial" w:eastAsia="Arial"/>
          <w:b w:val="0"/>
          <w:i/>
          <w:color w:val="000000"/>
          <w:sz w:val="16"/>
        </w:rPr>
        <w:t>Derivatives, Assets/(Liabilities)</w:t>
      </w:r>
    </w:p>
    <w:p>
      <w:pPr>
        <w:sectPr>
          <w:type w:val="nextColumn"/>
          <w:pgSz w:w="12240" w:h="15840"/>
          <w:pgMar w:top="700" w:right="1390" w:bottom="360" w:left="1430" w:header="720" w:footer="720" w:gutter="0"/>
          <w:cols w:num="2" w:equalWidth="0">
            <w:col w:w="6220" w:space="0"/>
            <w:col w:w="320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725"/>
        <w:gridCol w:w="725"/>
        <w:gridCol w:w="725"/>
        <w:gridCol w:w="725"/>
        <w:gridCol w:w="725"/>
        <w:gridCol w:w="725"/>
        <w:gridCol w:w="725"/>
        <w:gridCol w:w="725"/>
        <w:gridCol w:w="725"/>
        <w:gridCol w:w="725"/>
        <w:gridCol w:w="725"/>
        <w:gridCol w:w="725"/>
        <w:gridCol w:w="725"/>
      </w:tblGrid>
      <w:tr>
        <w:trPr>
          <w:trHeight w:hRule="exact" w:val="170"/>
        </w:trPr>
        <w:tc>
          <w:tcPr>
            <w:tcW w:type="dxa" w:w="301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Currency </w:t>
            </w:r>
          </w:p>
        </w:tc>
        <w:tc>
          <w:tcPr>
            <w:tcW w:type="dxa" w:w="11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Interest </w:t>
            </w:r>
          </w:p>
        </w:tc>
        <w:tc>
          <w:tcPr>
            <w:tcW w:type="dxa" w:w="2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2" w:after="0"/>
              <w:ind w:left="8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  <w:tc>
          <w:tcPr>
            <w:tcW w:type="dxa" w:w="10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2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Currency </w:t>
            </w:r>
          </w:p>
        </w:tc>
        <w:tc>
          <w:tcPr>
            <w:tcW w:type="dxa" w:w="13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8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Interest </w:t>
            </w:r>
          </w:p>
        </w:tc>
        <w:tc>
          <w:tcPr>
            <w:tcW w:type="dxa" w:w="4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  <w:tc>
          <w:tcPr>
            <w:tcW w:type="dxa" w:w="33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725"/>
            <w:vMerge/>
            <w:tcBorders>
              <w:bottom w:sz="8.0" w:val="single" w:color="#000000"/>
            </w:tcBorders>
          </w:tcPr>
          <w:p/>
        </w:tc>
        <w:tc>
          <w:tcPr>
            <w:tcW w:type="dxa" w:w="102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Swaps</w:t>
            </w:r>
          </w:p>
        </w:tc>
        <w:tc>
          <w:tcPr>
            <w:tcW w:type="dxa" w:w="110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Rate Swaps</w:t>
            </w:r>
          </w:p>
        </w:tc>
        <w:tc>
          <w:tcPr>
            <w:tcW w:type="dxa" w:w="725"/>
            <w:vMerge/>
            <w:tcBorders>
              <w:bottom w:sz="8.0" w:val="single" w:color="#000000"/>
            </w:tcBorders>
          </w:tcPr>
          <w:p/>
        </w:tc>
        <w:tc>
          <w:tcPr>
            <w:tcW w:type="dxa" w:w="725"/>
            <w:vMerge/>
            <w:tcBorders>
              <w:bottom w:sz="8.0" w:val="single" w:color="#000000"/>
            </w:tcBorders>
          </w:tcPr>
          <w:p/>
        </w:tc>
        <w:tc>
          <w:tcPr>
            <w:tcW w:type="dxa" w:w="106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Swaps</w:t>
            </w:r>
          </w:p>
        </w:tc>
        <w:tc>
          <w:tcPr>
            <w:tcW w:type="dxa" w:w="136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Rate Swaps</w:t>
            </w:r>
          </w:p>
        </w:tc>
        <w:tc>
          <w:tcPr>
            <w:tcW w:type="dxa" w:w="725"/>
            <w:vMerge/>
            <w:tcBorders>
              <w:bottom w:sz="8.0" w:val="single" w:color="#000000"/>
            </w:tcBorders>
          </w:tcPr>
          <w:p/>
        </w:tc>
        <w:tc>
          <w:tcPr>
            <w:tcW w:type="dxa" w:w="725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550"/>
        </w:trPr>
        <w:tc>
          <w:tcPr>
            <w:tcW w:type="dxa" w:w="30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Beginning of the period/fiscal year</w:t>
            </w:r>
          </w:p>
        </w:tc>
        <w:tc>
          <w:tcPr>
            <w:tcW w:type="dxa" w:w="4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166 </w:t>
            </w:r>
          </w:p>
        </w:tc>
        <w:tc>
          <w:tcPr>
            <w:tcW w:type="dxa" w:w="5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 </w:t>
            </w:r>
          </w:p>
        </w:tc>
        <w:tc>
          <w:tcPr>
            <w:tcW w:type="dxa" w:w="256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181 </w:t>
            </w:r>
          </w:p>
        </w:tc>
        <w:tc>
          <w:tcPr>
            <w:tcW w:type="dxa" w:w="5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</w:t>
            </w:r>
          </w:p>
        </w:tc>
        <w:tc>
          <w:tcPr>
            <w:tcW w:type="dxa" w:w="4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(62) $ </w:t>
            </w:r>
          </w:p>
        </w:tc>
        <w:tc>
          <w:tcPr>
            <w:tcW w:type="dxa" w:w="42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(31) </w:t>
            </w:r>
          </w:p>
        </w:tc>
      </w:tr>
      <w:tr>
        <w:trPr>
          <w:trHeight w:hRule="exact" w:val="240"/>
        </w:trPr>
        <w:tc>
          <w:tcPr>
            <w:tcW w:type="dxa" w:w="3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Issuances</w:t>
            </w:r>
          </w:p>
        </w:tc>
        <w:tc>
          <w:tcPr>
            <w:tcW w:type="dxa" w:w="10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(5) </w:t>
            </w:r>
          </w:p>
        </w:tc>
        <w:tc>
          <w:tcPr>
            <w:tcW w:type="dxa" w:w="11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25"/>
            <w:vMerge/>
            <w:tcBorders>
              <w:top w:sz="8.0" w:val="single" w:color="#000000"/>
            </w:tcBorders>
          </w:tcPr>
          <w:p/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(5) </w:t>
            </w:r>
          </w:p>
        </w:tc>
        <w:tc>
          <w:tcPr>
            <w:tcW w:type="dxa" w:w="10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(4) </w:t>
            </w:r>
          </w:p>
        </w:tc>
        <w:tc>
          <w:tcPr>
            <w:tcW w:type="dxa" w:w="13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25"/>
            <w:vMerge/>
            <w:tcBorders>
              <w:top w:sz="8.0" w:val="single" w:color="#000000"/>
            </w:tcBorders>
          </w:tcPr>
          <w:p/>
        </w:tc>
        <w:tc>
          <w:tcPr>
            <w:tcW w:type="dxa" w:w="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(4) </w:t>
            </w:r>
          </w:p>
        </w:tc>
      </w:tr>
      <w:tr>
        <w:trPr>
          <w:trHeight w:hRule="exact" w:val="248"/>
        </w:trPr>
        <w:tc>
          <w:tcPr>
            <w:tcW w:type="dxa" w:w="3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Settlements</w:t>
            </w:r>
          </w:p>
        </w:tc>
        <w:tc>
          <w:tcPr>
            <w:tcW w:type="dxa" w:w="10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11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 </w:t>
            </w:r>
          </w:p>
        </w:tc>
        <w:tc>
          <w:tcPr>
            <w:tcW w:type="dxa" w:w="725"/>
            <w:vMerge/>
            <w:tcBorders>
              <w:top w:sz="8.0" w:val="single" w:color="#000000"/>
            </w:tcBorders>
          </w:tcPr>
          <w:p/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 </w:t>
            </w:r>
          </w:p>
        </w:tc>
        <w:tc>
          <w:tcPr>
            <w:tcW w:type="dxa" w:w="10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 </w:t>
            </w:r>
          </w:p>
        </w:tc>
        <w:tc>
          <w:tcPr>
            <w:tcW w:type="dxa" w:w="13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 </w:t>
            </w:r>
          </w:p>
        </w:tc>
        <w:tc>
          <w:tcPr>
            <w:tcW w:type="dxa" w:w="725"/>
            <w:vMerge/>
            <w:tcBorders>
              <w:top w:sz="8.0" w:val="single" w:color="#000000"/>
            </w:tcBorders>
          </w:tcPr>
          <w:p/>
        </w:tc>
        <w:tc>
          <w:tcPr>
            <w:tcW w:type="dxa" w:w="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73 </w:t>
            </w:r>
          </w:p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18" w:after="32"/>
        <w:ind w:left="62" w:right="691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Total realized/unrealized mark-to-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market (losses) gains in: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</w:tblGrid>
      <w:tr>
        <w:trPr>
          <w:trHeight w:hRule="exact" w:val="238"/>
        </w:trPr>
        <w:tc>
          <w:tcPr>
            <w:tcW w:type="dxa" w:w="3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(loss) income</w:t>
            </w:r>
          </w:p>
        </w:tc>
        <w:tc>
          <w:tcPr>
            <w:tcW w:type="dxa" w:w="40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(139) </w:t>
            </w:r>
          </w:p>
        </w:tc>
        <w:tc>
          <w:tcPr>
            <w:tcW w:type="dxa" w:w="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(46) </w:t>
            </w:r>
          </w:p>
        </w:tc>
        <w:tc>
          <w:tcPr>
            <w:tcW w:type="dxa" w:w="43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(185)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4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(16)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 </w:t>
            </w:r>
          </w:p>
        </w:tc>
        <w:tc>
          <w:tcPr>
            <w:tcW w:type="dxa" w:w="4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</w:tr>
      <w:tr>
        <w:trPr>
          <w:trHeight w:hRule="exact" w:val="240"/>
        </w:trPr>
        <w:tc>
          <w:tcPr>
            <w:tcW w:type="dxa" w:w="3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comprehensive (loss) income</w:t>
            </w:r>
          </w:p>
        </w:tc>
        <w:tc>
          <w:tcPr>
            <w:tcW w:type="dxa" w:w="942"/>
            <w:vMerge/>
            <w:tcBorders>
              <w:bottom w:sz="8.0" w:val="single" w:color="#000000"/>
            </w:tcBorders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(100) </w:t>
            </w:r>
          </w:p>
        </w:tc>
        <w:tc>
          <w:tcPr>
            <w:tcW w:type="dxa" w:w="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942"/>
            <w:vMerge/>
            <w:tcBorders>
              <w:bottom w:sz="8.0" w:val="single" w:color="#000000"/>
            </w:tcBorders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(97)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(120)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42"/>
            <w:vMerge/>
            <w:tcBorders>
              <w:bottom w:sz="8.0" w:val="single" w:color="#000000"/>
            </w:tcBorders>
          </w:tcPr>
          <w:p/>
        </w:tc>
        <w:tc>
          <w:tcPr>
            <w:tcW w:type="dxa" w:w="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(120) </w:t>
            </w:r>
          </w:p>
        </w:tc>
      </w:tr>
      <w:tr>
        <w:trPr>
          <w:trHeight w:hRule="exact" w:val="240"/>
        </w:trPr>
        <w:tc>
          <w:tcPr>
            <w:tcW w:type="dxa" w:w="304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Transfers (from) to Level 3, net</w:t>
            </w:r>
          </w:p>
        </w:tc>
        <w:tc>
          <w:tcPr>
            <w:tcW w:type="dxa" w:w="942"/>
            <w:vMerge/>
            <w:tcBorders>
              <w:bottom w:sz="8.0" w:val="single" w:color="#000000"/>
            </w:tcBorders>
          </w:tcPr>
          <w:p/>
        </w:tc>
        <w:tc>
          <w:tcPr>
            <w:tcW w:type="dxa" w:w="11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(23) </w:t>
            </w:r>
          </w:p>
        </w:tc>
        <w:tc>
          <w:tcPr>
            <w:tcW w:type="dxa" w:w="5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42"/>
            <w:vMerge/>
            <w:tcBorders>
              <w:bottom w:sz="8.0" w:val="single" w:color="#000000"/>
            </w:tcBorders>
          </w:tcPr>
          <w:p/>
        </w:tc>
        <w:tc>
          <w:tcPr>
            <w:tcW w:type="dxa" w:w="10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(23) </w:t>
            </w:r>
          </w:p>
        </w:tc>
        <w:tc>
          <w:tcPr>
            <w:tcW w:type="dxa" w:w="11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(23) </w:t>
            </w:r>
          </w:p>
        </w:tc>
        <w:tc>
          <w:tcPr>
            <w:tcW w:type="dxa" w:w="5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42"/>
            <w:vMerge/>
            <w:tcBorders>
              <w:bottom w:sz="8.0" w:val="single" w:color="#000000"/>
            </w:tcBorders>
          </w:tcPr>
          <w:p/>
        </w:tc>
        <w:tc>
          <w:tcPr>
            <w:tcW w:type="dxa" w:w="6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(23) </w:t>
            </w:r>
          </w:p>
        </w:tc>
      </w:tr>
      <w:tr>
        <w:trPr>
          <w:trHeight w:hRule="exact" w:val="220"/>
        </w:trPr>
        <w:tc>
          <w:tcPr>
            <w:tcW w:type="dxa" w:w="30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End of the period</w:t>
            </w:r>
          </w:p>
        </w:tc>
        <w:tc>
          <w:tcPr>
            <w:tcW w:type="dxa" w:w="4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(97) $ </w:t>
            </w:r>
          </w:p>
        </w:tc>
        <w:tc>
          <w:tcPr>
            <w:tcW w:type="dxa" w:w="5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(96) $ </w:t>
            </w:r>
          </w:p>
        </w:tc>
        <w:tc>
          <w:tcPr>
            <w:tcW w:type="dxa" w:w="11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(97) $ </w:t>
            </w:r>
          </w:p>
        </w:tc>
        <w:tc>
          <w:tcPr>
            <w:tcW w:type="dxa" w:w="5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(96) </w:t>
            </w:r>
          </w:p>
        </w:tc>
      </w:tr>
      <w:tr>
        <w:trPr>
          <w:trHeight w:hRule="exact" w:val="260"/>
        </w:trPr>
        <w:tc>
          <w:tcPr>
            <w:tcW w:type="dxa" w:w="30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2" w:lineRule="exact" w:before="274" w:after="0"/>
        <w:ind w:left="62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J6.1:</w:t>
      </w:r>
    </w:p>
    <w:p>
      <w:pPr>
        <w:autoSpaceDN w:val="0"/>
        <w:autoSpaceDE w:val="0"/>
        <w:widowControl/>
        <w:spacing w:line="180" w:lineRule="exact" w:before="60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sectPr>
          <w:type w:val="continuous"/>
          <w:pgSz w:w="12240" w:h="15840"/>
          <w:pgMar w:top="700" w:right="139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3024" w:right="0" w:firstLine="0"/>
        <w:jc w:val="center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Three Months Ended December 31, 2023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>Derivatives, Assets/(Liabilities)</w:t>
      </w:r>
    </w:p>
    <w:p>
      <w:pPr>
        <w:sectPr>
          <w:type w:val="continuous"/>
          <w:pgSz w:w="12240" w:h="15840"/>
          <w:pgMar w:top="700" w:right="1390" w:bottom="360" w:left="1430" w:header="720" w:footer="720" w:gutter="0"/>
          <w:cols w:num="2" w:equalWidth="0">
            <w:col w:w="6220" w:space="0"/>
            <w:col w:w="3200" w:space="0"/>
          </w:cols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24"/>
        <w:ind w:left="144" w:right="144" w:firstLine="0"/>
        <w:jc w:val="center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Six Months ended December 31, 2023 </w:t>
      </w:r>
      <w:r>
        <w:rPr>
          <w:rFonts w:ascii="Arial" w:hAnsi="Arial" w:eastAsia="Arial"/>
          <w:b w:val="0"/>
          <w:i/>
          <w:color w:val="000000"/>
          <w:sz w:val="16"/>
        </w:rPr>
        <w:t>Derivatives, Assets/(Liabilities)</w:t>
      </w:r>
    </w:p>
    <w:p>
      <w:pPr>
        <w:sectPr>
          <w:type w:val="nextColumn"/>
          <w:pgSz w:w="12240" w:h="15840"/>
          <w:pgMar w:top="700" w:right="1390" w:bottom="360" w:left="1430" w:header="720" w:footer="720" w:gutter="0"/>
          <w:cols w:num="2" w:equalWidth="0">
            <w:col w:w="6220" w:space="0"/>
            <w:col w:w="320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</w:tblGrid>
      <w:tr>
        <w:trPr>
          <w:trHeight w:hRule="exact" w:val="180"/>
        </w:trPr>
        <w:tc>
          <w:tcPr>
            <w:tcW w:type="dxa" w:w="301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Currency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4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Interest </w:t>
            </w:r>
          </w:p>
        </w:tc>
        <w:tc>
          <w:tcPr>
            <w:tcW w:type="dxa" w:w="18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8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Currency </w:t>
            </w:r>
          </w:p>
        </w:tc>
        <w:tc>
          <w:tcPr>
            <w:tcW w:type="dxa" w:w="13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4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Interest </w:t>
            </w:r>
          </w:p>
        </w:tc>
        <w:tc>
          <w:tcPr>
            <w:tcW w:type="dxa" w:w="7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2" w:after="0"/>
              <w:ind w:left="6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220"/>
        </w:trPr>
        <w:tc>
          <w:tcPr>
            <w:tcW w:type="dxa" w:w="942"/>
            <w:vMerge/>
            <w:tcBorders>
              <w:bottom w:sz="8.0" w:val="single" w:color="#000000"/>
            </w:tcBorders>
          </w:tcPr>
          <w:p/>
        </w:tc>
        <w:tc>
          <w:tcPr>
            <w:tcW w:type="dxa" w:w="106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Swaps</w:t>
            </w:r>
          </w:p>
        </w:tc>
        <w:tc>
          <w:tcPr>
            <w:tcW w:type="dxa" w:w="13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8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Rate Swaps</w:t>
            </w:r>
          </w:p>
        </w:tc>
        <w:tc>
          <w:tcPr>
            <w:tcW w:type="dxa" w:w="10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8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  <w:tc>
          <w:tcPr>
            <w:tcW w:type="dxa" w:w="8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4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Swaps</w:t>
            </w:r>
          </w:p>
        </w:tc>
        <w:tc>
          <w:tcPr>
            <w:tcW w:type="dxa" w:w="132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8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Rate Swaps</w:t>
            </w:r>
          </w:p>
        </w:tc>
        <w:tc>
          <w:tcPr>
            <w:tcW w:type="dxa" w:w="942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540"/>
        </w:trPr>
        <w:tc>
          <w:tcPr>
            <w:tcW w:type="dxa" w:w="30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Beginning of the period/fiscal year</w:t>
            </w:r>
          </w:p>
        </w:tc>
        <w:tc>
          <w:tcPr>
            <w:tcW w:type="dxa" w:w="4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2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(170) $ </w:t>
            </w:r>
          </w:p>
        </w:tc>
        <w:tc>
          <w:tcPr>
            <w:tcW w:type="dxa" w:w="90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2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(146) $ </w:t>
            </w:r>
          </w:p>
        </w:tc>
        <w:tc>
          <w:tcPr>
            <w:tcW w:type="dxa" w:w="10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(316) $ </w:t>
            </w:r>
          </w:p>
        </w:tc>
        <w:tc>
          <w:tcPr>
            <w:tcW w:type="dxa" w:w="8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 </w:t>
            </w:r>
          </w:p>
        </w:tc>
        <w:tc>
          <w:tcPr>
            <w:tcW w:type="dxa" w:w="4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(134) $ </w:t>
            </w:r>
          </w:p>
        </w:tc>
        <w:tc>
          <w:tcPr>
            <w:tcW w:type="dxa" w:w="7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(121) </w:t>
            </w:r>
          </w:p>
        </w:tc>
      </w:tr>
      <w:tr>
        <w:trPr>
          <w:trHeight w:hRule="exact" w:val="240"/>
        </w:trPr>
        <w:tc>
          <w:tcPr>
            <w:tcW w:type="dxa" w:w="3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Issuances</w:t>
            </w:r>
          </w:p>
        </w:tc>
        <w:tc>
          <w:tcPr>
            <w:tcW w:type="dxa" w:w="10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3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</w:tr>
      <w:tr>
        <w:trPr>
          <w:trHeight w:hRule="exact" w:val="258"/>
        </w:trPr>
        <w:tc>
          <w:tcPr>
            <w:tcW w:type="dxa" w:w="3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Settlements</w:t>
            </w:r>
          </w:p>
        </w:tc>
        <w:tc>
          <w:tcPr>
            <w:tcW w:type="dxa" w:w="10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 </w:t>
            </w:r>
          </w:p>
        </w:tc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 </w:t>
            </w:r>
          </w:p>
        </w:tc>
        <w:tc>
          <w:tcPr>
            <w:tcW w:type="dxa" w:w="13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 </w:t>
            </w:r>
          </w:p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60 </w:t>
            </w:r>
          </w:p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18" w:after="30"/>
        <w:ind w:left="62" w:right="691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Total realized/unrealized mark-to-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market gains (losses) in: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</w:tblGrid>
      <w:tr>
        <w:trPr>
          <w:trHeight w:hRule="exact" w:val="230"/>
        </w:trPr>
        <w:tc>
          <w:tcPr>
            <w:tcW w:type="dxa" w:w="3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income</w:t>
            </w:r>
          </w:p>
        </w:tc>
        <w:tc>
          <w:tcPr>
            <w:tcW w:type="dxa" w:w="42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163 </w:t>
            </w:r>
          </w:p>
        </w:tc>
        <w:tc>
          <w:tcPr>
            <w:tcW w:type="dxa" w:w="4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72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235 </w:t>
            </w:r>
          </w:p>
        </w:tc>
        <w:tc>
          <w:tcPr>
            <w:tcW w:type="dxa" w:w="6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84 </w:t>
            </w:r>
          </w:p>
        </w:tc>
        <w:tc>
          <w:tcPr>
            <w:tcW w:type="dxa" w:w="48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 </w:t>
            </w:r>
          </w:p>
        </w:tc>
        <w:tc>
          <w:tcPr>
            <w:tcW w:type="dxa" w:w="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133 </w:t>
            </w:r>
          </w:p>
        </w:tc>
      </w:tr>
      <w:tr>
        <w:trPr>
          <w:trHeight w:hRule="exact" w:val="240"/>
        </w:trPr>
        <w:tc>
          <w:tcPr>
            <w:tcW w:type="dxa" w:w="3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comprehensive income (loss)</w:t>
            </w:r>
          </w:p>
        </w:tc>
        <w:tc>
          <w:tcPr>
            <w:tcW w:type="dxa" w:w="942"/>
            <w:vMerge/>
            <w:tcBorders>
              <w:bottom w:sz="8.0" w:val="single" w:color="#000000"/>
            </w:tcBorders>
          </w:tcPr>
          <w:p/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 </w:t>
            </w:r>
          </w:p>
        </w:tc>
        <w:tc>
          <w:tcPr>
            <w:tcW w:type="dxa" w:w="942"/>
            <w:vMerge/>
            <w:tcBorders>
              <w:bottom w:sz="8.0" w:val="single" w:color="#000000"/>
            </w:tcBorders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4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(4)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6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(23) </w:t>
            </w:r>
          </w:p>
        </w:tc>
        <w:tc>
          <w:tcPr>
            <w:tcW w:type="dxa" w:w="942"/>
            <w:vMerge/>
            <w:tcBorders>
              <w:bottom w:sz="8.0" w:val="single" w:color="#000000"/>
            </w:tcBorders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</w:t>
            </w:r>
          </w:p>
        </w:tc>
        <w:tc>
          <w:tcPr>
            <w:tcW w:type="dxa" w:w="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(25) </w:t>
            </w:r>
          </w:p>
        </w:tc>
      </w:tr>
      <w:tr>
        <w:trPr>
          <w:trHeight w:hRule="exact" w:val="250"/>
        </w:trPr>
        <w:tc>
          <w:tcPr>
            <w:tcW w:type="dxa" w:w="304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Transfers (from) to Level 3, net</w:t>
            </w:r>
          </w:p>
        </w:tc>
        <w:tc>
          <w:tcPr>
            <w:tcW w:type="dxa" w:w="942"/>
            <w:vMerge/>
            <w:tcBorders>
              <w:bottom w:sz="8.0" w:val="single" w:color="#000000"/>
            </w:tcBorders>
          </w:tcPr>
          <w:p/>
        </w:tc>
        <w:tc>
          <w:tcPr>
            <w:tcW w:type="dxa" w:w="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(1) </w:t>
            </w:r>
          </w:p>
        </w:tc>
        <w:tc>
          <w:tcPr>
            <w:tcW w:type="dxa" w:w="942"/>
            <w:vMerge/>
            <w:tcBorders>
              <w:bottom w:sz="8.0" w:val="single" w:color="#000000"/>
            </w:tcBorders>
          </w:tcPr>
          <w:p/>
        </w:tc>
        <w:tc>
          <w:tcPr>
            <w:tcW w:type="dxa" w:w="10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(1) </w:t>
            </w:r>
          </w:p>
        </w:tc>
        <w:tc>
          <w:tcPr>
            <w:tcW w:type="dxa" w:w="6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(100) </w:t>
            </w:r>
          </w:p>
        </w:tc>
        <w:tc>
          <w:tcPr>
            <w:tcW w:type="dxa" w:w="942"/>
            <w:vMerge/>
            <w:tcBorders>
              <w:bottom w:sz="8.0" w:val="single" w:color="#000000"/>
            </w:tcBorders>
          </w:tcPr>
          <w:p/>
        </w:tc>
        <w:tc>
          <w:tcPr>
            <w:tcW w:type="dxa" w:w="10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4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(100) </w:t>
            </w:r>
          </w:p>
        </w:tc>
      </w:tr>
      <w:tr>
        <w:trPr>
          <w:trHeight w:hRule="exact" w:val="220"/>
        </w:trPr>
        <w:tc>
          <w:tcPr>
            <w:tcW w:type="dxa" w:w="30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End of the period</w:t>
            </w:r>
          </w:p>
        </w:tc>
        <w:tc>
          <w:tcPr>
            <w:tcW w:type="dxa" w:w="4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 </w:t>
            </w:r>
          </w:p>
        </w:tc>
        <w:tc>
          <w:tcPr>
            <w:tcW w:type="dxa" w:w="4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(65) $ </w:t>
            </w:r>
          </w:p>
        </w:tc>
        <w:tc>
          <w:tcPr>
            <w:tcW w:type="dxa" w:w="10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(52) $ </w:t>
            </w:r>
          </w:p>
        </w:tc>
        <w:tc>
          <w:tcPr>
            <w:tcW w:type="dxa" w:w="6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 </w:t>
            </w:r>
          </w:p>
        </w:tc>
        <w:tc>
          <w:tcPr>
            <w:tcW w:type="dxa" w:w="4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(65) $ </w:t>
            </w:r>
          </w:p>
        </w:tc>
        <w:tc>
          <w:tcPr>
            <w:tcW w:type="dxa" w:w="6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(52) </w:t>
            </w:r>
          </w:p>
        </w:tc>
      </w:tr>
      <w:tr>
        <w:trPr>
          <w:trHeight w:hRule="exact" w:val="336"/>
        </w:trPr>
        <w:tc>
          <w:tcPr>
            <w:tcW w:type="dxa" w:w="30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4" w:lineRule="exact" w:before="107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58     IBRD Condensed Quarterly Financial Statements: December 31, 2024 (Unaudited)</w:t>
      </w:r>
    </w:p>
    <w:p>
      <w:pPr>
        <w:sectPr>
          <w:type w:val="continuous"/>
          <w:pgSz w:w="12240" w:h="15840"/>
          <w:pgMar w:top="700" w:right="139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Information on the unrealized gains or losses included in the Condensed Statements of Income and Condensed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Statements of Comprehensive Income relating to IBRD’s Level 3 borrowings and derivatives that are still held at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reporting dates, is presented in the following table: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J7: Unrealized gains or losses relating to IBRD’s Level 3 borrowings and derivatives</w:t>
      </w:r>
    </w:p>
    <w:p>
      <w:pPr>
        <w:autoSpaceDN w:val="0"/>
        <w:autoSpaceDE w:val="0"/>
        <w:widowControl/>
        <w:spacing w:line="178" w:lineRule="exact" w:before="9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60"/>
        <w:gridCol w:w="2360"/>
        <w:gridCol w:w="2360"/>
        <w:gridCol w:w="2360"/>
      </w:tblGrid>
      <w:tr>
        <w:trPr>
          <w:trHeight w:hRule="exact" w:val="434"/>
        </w:trPr>
        <w:tc>
          <w:tcPr>
            <w:tcW w:type="dxa" w:w="725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" w:after="0"/>
              <w:ind w:left="5328" w:right="144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Three Months Ended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December 31,</w:t>
            </w:r>
          </w:p>
        </w:tc>
        <w:tc>
          <w:tcPr>
            <w:tcW w:type="dxa" w:w="213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" w:after="0"/>
              <w:ind w:left="432" w:right="288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Six Months Ended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December 31,</w:t>
            </w:r>
          </w:p>
        </w:tc>
      </w:tr>
      <w:tr>
        <w:trPr>
          <w:trHeight w:hRule="exact" w:val="256"/>
        </w:trPr>
        <w:tc>
          <w:tcPr>
            <w:tcW w:type="dxa" w:w="618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3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10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11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102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</w:tr>
    </w:tbl>
    <w:p>
      <w:pPr>
        <w:autoSpaceDN w:val="0"/>
        <w:autoSpaceDE w:val="0"/>
        <w:widowControl/>
        <w:spacing w:line="178" w:lineRule="exact" w:before="14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Reported as:</w:t>
      </w:r>
    </w:p>
    <w:p>
      <w:pPr>
        <w:autoSpaceDN w:val="0"/>
        <w:autoSpaceDE w:val="0"/>
        <w:widowControl/>
        <w:spacing w:line="178" w:lineRule="exact" w:before="48" w:after="12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Borrowings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10"/>
        </w:trPr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(loss) income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(5) $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 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(99) $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 </w:t>
            </w:r>
          </w:p>
        </w:tc>
      </w:tr>
      <w:tr>
        <w:trPr>
          <w:trHeight w:hRule="exact" w:val="252"/>
        </w:trPr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Comprehensive income (loss)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2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174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(19)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2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187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12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Derivatives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80"/>
      </w:tblGrid>
      <w:tr>
        <w:trPr>
          <w:trHeight w:hRule="exact" w:val="216"/>
        </w:trPr>
        <w:tc>
          <w:tcPr>
            <w:tcW w:type="dxa" w:w="4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income (loss)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4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64 </w:t>
            </w:r>
          </w:p>
        </w:tc>
        <w:tc>
          <w:tcPr>
            <w:tcW w:type="dxa" w:w="4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(22) $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132 </w:t>
            </w:r>
          </w:p>
        </w:tc>
        <w:tc>
          <w:tcPr>
            <w:tcW w:type="dxa" w:w="4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(4) </w:t>
            </w:r>
          </w:p>
        </w:tc>
      </w:tr>
      <w:tr>
        <w:trPr>
          <w:trHeight w:hRule="exact" w:val="470"/>
        </w:trPr>
        <w:tc>
          <w:tcPr>
            <w:tcW w:type="dxa" w:w="41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Comprehensive (loss) income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6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(94) 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0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6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(119) 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5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(20) </w:t>
            </w:r>
          </w:p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2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Amounts are included in Unrealized mark-to-market gains (losses) on non-trading portfolios, net on the Condensed Statements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of Income.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5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b. Amounts are included in Currency translation adjustment on functional currency and Net Change in DVA on fair value option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elected liabilities, in the Condensed Statements of Comprehensive Income.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5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c.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Amounts are included in Currency translation adjustment on functional currency, in the Condensed Statements of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Comprehensive Income.</w:t>
      </w:r>
    </w:p>
    <w:p>
      <w:pPr>
        <w:autoSpaceDN w:val="0"/>
        <w:autoSpaceDE w:val="0"/>
        <w:widowControl/>
        <w:spacing w:line="222" w:lineRule="exact" w:before="20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J8: Borrowings fair value and contractual principal balance</w:t>
      </w:r>
    </w:p>
    <w:p>
      <w:pPr>
        <w:autoSpaceDN w:val="0"/>
        <w:autoSpaceDE w:val="0"/>
        <w:widowControl/>
        <w:spacing w:line="180" w:lineRule="exact" w:before="21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4" w:after="8"/>
        <w:ind w:left="0" w:right="2012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Principal Amount Due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14"/>
        </w:trPr>
        <w:tc>
          <w:tcPr>
            <w:tcW w:type="dxa" w:w="3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7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Fair Value</w:t>
            </w:r>
          </w:p>
        </w:tc>
        <w:tc>
          <w:tcPr>
            <w:tcW w:type="dxa" w:w="3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Upon Maturity</w:t>
            </w:r>
          </w:p>
        </w:tc>
        <w:tc>
          <w:tcPr>
            <w:tcW w:type="dxa" w:w="4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7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Difference</w:t>
            </w:r>
          </w:p>
        </w:tc>
      </w:tr>
      <w:tr>
        <w:trPr>
          <w:trHeight w:hRule="exact" w:val="230"/>
        </w:trPr>
        <w:tc>
          <w:tcPr>
            <w:tcW w:type="dxa" w:w="3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December 31, 2024</w:t>
            </w:r>
          </w:p>
        </w:tc>
        <w:tc>
          <w:tcPr>
            <w:tcW w:type="dxa" w:w="3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279,848 </w:t>
            </w:r>
          </w:p>
        </w:tc>
        <w:tc>
          <w:tcPr>
            <w:tcW w:type="dxa" w:w="3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301,199 </w:t>
            </w:r>
          </w:p>
        </w:tc>
        <w:tc>
          <w:tcPr>
            <w:tcW w:type="dxa" w:w="4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(21,351) </w:t>
            </w:r>
          </w:p>
        </w:tc>
      </w:tr>
      <w:tr>
        <w:trPr>
          <w:trHeight w:hRule="exact" w:val="490"/>
        </w:trPr>
        <w:tc>
          <w:tcPr>
            <w:tcW w:type="dxa" w:w="3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June 30, 2024</w:t>
            </w:r>
          </w:p>
        </w:tc>
        <w:tc>
          <w:tcPr>
            <w:tcW w:type="dxa" w:w="3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261,790 </w:t>
            </w:r>
          </w:p>
        </w:tc>
        <w:tc>
          <w:tcPr>
            <w:tcW w:type="dxa" w:w="3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285,322 </w:t>
            </w:r>
          </w:p>
        </w:tc>
        <w:tc>
          <w:tcPr>
            <w:tcW w:type="dxa" w:w="4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(23,532) </w:t>
            </w:r>
          </w:p>
        </w:tc>
      </w:tr>
    </w:tbl>
    <w:p>
      <w:pPr>
        <w:autoSpaceDN w:val="0"/>
        <w:autoSpaceDE w:val="0"/>
        <w:widowControl/>
        <w:spacing w:line="240" w:lineRule="exact" w:before="42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tables provide information on the changes in fair value due to the change in IBRD’s own credit risk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financial liabilities measured under the fair value option, included in the Condensed Statements of Other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Comprehensive Income: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J9: Changes in fair value due to IBRD’s own credit risk</w:t>
      </w:r>
    </w:p>
    <w:p>
      <w:pPr>
        <w:autoSpaceDN w:val="0"/>
        <w:autoSpaceDE w:val="0"/>
        <w:widowControl/>
        <w:spacing w:line="178" w:lineRule="exact" w:before="9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10"/>
        </w:trPr>
        <w:tc>
          <w:tcPr>
            <w:tcW w:type="dxa" w:w="58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Unrealized mark-to-market gains (losses) due to DVA on fair value option </w:t>
            </w:r>
          </w:p>
        </w:tc>
        <w:tc>
          <w:tcPr>
            <w:tcW w:type="dxa" w:w="174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Three Months Ended </w:t>
            </w:r>
          </w:p>
        </w:tc>
        <w:tc>
          <w:tcPr>
            <w:tcW w:type="dxa" w:w="181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0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Six Months Ended </w:t>
            </w:r>
          </w:p>
        </w:tc>
      </w:tr>
      <w:tr>
        <w:trPr>
          <w:trHeight w:hRule="exact" w:val="226"/>
        </w:trPr>
        <w:tc>
          <w:tcPr>
            <w:tcW w:type="dxa" w:w="5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elected liabilities</w:t>
            </w:r>
          </w:p>
        </w:tc>
        <w:tc>
          <w:tcPr>
            <w:tcW w:type="dxa" w:w="174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December 31, 2024</w:t>
            </w:r>
          </w:p>
        </w:tc>
        <w:tc>
          <w:tcPr>
            <w:tcW w:type="dxa" w:w="181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4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December 31, 2024</w:t>
            </w:r>
          </w:p>
        </w:tc>
      </w:tr>
      <w:tr>
        <w:trPr>
          <w:trHeight w:hRule="exact" w:val="214"/>
        </w:trPr>
        <w:tc>
          <w:tcPr>
            <w:tcW w:type="dxa" w:w="58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DVA on Fair Value Option Elected Liabilities</w:t>
            </w:r>
          </w:p>
        </w:tc>
        <w:tc>
          <w:tcPr>
            <w:tcW w:type="dxa" w:w="7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902 </w:t>
            </w:r>
          </w:p>
        </w:tc>
        <w:tc>
          <w:tcPr>
            <w:tcW w:type="dxa" w:w="8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1,420 </w:t>
            </w:r>
          </w:p>
        </w:tc>
      </w:tr>
      <w:tr>
        <w:trPr>
          <w:trHeight w:hRule="exact" w:val="234"/>
        </w:trPr>
        <w:tc>
          <w:tcPr>
            <w:tcW w:type="dxa" w:w="5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Amounts reclassified to net income upon derecognition of a liability</w:t>
            </w:r>
          </w:p>
        </w:tc>
        <w:tc>
          <w:tcPr>
            <w:tcW w:type="dxa" w:w="174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(9) </w:t>
            </w:r>
          </w:p>
        </w:tc>
        <w:tc>
          <w:tcPr>
            <w:tcW w:type="dxa" w:w="181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(13) </w:t>
            </w:r>
          </w:p>
        </w:tc>
      </w:tr>
      <w:tr>
        <w:trPr>
          <w:trHeight w:hRule="exact" w:val="206"/>
        </w:trPr>
        <w:tc>
          <w:tcPr>
            <w:tcW w:type="dxa" w:w="5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change in DVA on Fair Value Option Elected Liabilities</w:t>
            </w:r>
          </w:p>
        </w:tc>
        <w:tc>
          <w:tcPr>
            <w:tcW w:type="dxa" w:w="79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893 </w:t>
            </w:r>
          </w:p>
        </w:tc>
        <w:tc>
          <w:tcPr>
            <w:tcW w:type="dxa" w:w="80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1,407 </w:t>
            </w:r>
          </w:p>
        </w:tc>
      </w:tr>
      <w:tr>
        <w:trPr>
          <w:trHeight w:hRule="exact" w:val="246"/>
        </w:trPr>
        <w:tc>
          <w:tcPr>
            <w:tcW w:type="dxa" w:w="5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2" w:lineRule="exact" w:before="308" w:after="0"/>
        <w:ind w:left="62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J9.1:</w:t>
      </w:r>
    </w:p>
    <w:p>
      <w:pPr>
        <w:autoSpaceDN w:val="0"/>
        <w:autoSpaceDE w:val="0"/>
        <w:widowControl/>
        <w:spacing w:line="180" w:lineRule="exact" w:before="60" w:after="18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06"/>
        </w:trPr>
        <w:tc>
          <w:tcPr>
            <w:tcW w:type="dxa" w:w="58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Unrealized mark-to-market gains (losses) due to DVA on fair value option </w:t>
            </w:r>
          </w:p>
        </w:tc>
        <w:tc>
          <w:tcPr>
            <w:tcW w:type="dxa" w:w="179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Three Months Ended </w:t>
            </w:r>
          </w:p>
        </w:tc>
        <w:tc>
          <w:tcPr>
            <w:tcW w:type="dxa" w:w="177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2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Six Months Ended </w:t>
            </w:r>
          </w:p>
        </w:tc>
      </w:tr>
      <w:tr>
        <w:trPr>
          <w:trHeight w:hRule="exact" w:val="230"/>
        </w:trPr>
        <w:tc>
          <w:tcPr>
            <w:tcW w:type="dxa" w:w="5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elected liabilities</w:t>
            </w:r>
          </w:p>
        </w:tc>
        <w:tc>
          <w:tcPr>
            <w:tcW w:type="dxa" w:w="179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December 31, 2023</w:t>
            </w:r>
          </w:p>
        </w:tc>
        <w:tc>
          <w:tcPr>
            <w:tcW w:type="dxa" w:w="177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December 31, 2023</w:t>
            </w:r>
          </w:p>
        </w:tc>
      </w:tr>
      <w:tr>
        <w:trPr>
          <w:trHeight w:hRule="exact" w:val="230"/>
        </w:trPr>
        <w:tc>
          <w:tcPr>
            <w:tcW w:type="dxa" w:w="58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DVA on Fair Value Option Elected Liabilities</w:t>
            </w:r>
          </w:p>
        </w:tc>
        <w:tc>
          <w:tcPr>
            <w:tcW w:type="dxa" w:w="7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882 </w:t>
            </w:r>
          </w:p>
        </w:tc>
        <w:tc>
          <w:tcPr>
            <w:tcW w:type="dxa" w:w="8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825 </w:t>
            </w:r>
          </w:p>
        </w:tc>
      </w:tr>
      <w:tr>
        <w:trPr>
          <w:trHeight w:hRule="exact" w:val="250"/>
        </w:trPr>
        <w:tc>
          <w:tcPr>
            <w:tcW w:type="dxa" w:w="5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Amounts reclassified to net income upon derecognition of a liability</w:t>
            </w:r>
          </w:p>
        </w:tc>
        <w:tc>
          <w:tcPr>
            <w:tcW w:type="dxa" w:w="179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77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  <w:tr>
        <w:trPr>
          <w:trHeight w:hRule="exact" w:val="220"/>
        </w:trPr>
        <w:tc>
          <w:tcPr>
            <w:tcW w:type="dxa" w:w="5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change in DVA on Fair Value Option Elected Liabilities</w:t>
            </w:r>
          </w:p>
        </w:tc>
        <w:tc>
          <w:tcPr>
            <w:tcW w:type="dxa" w:w="7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883 </w:t>
            </w:r>
          </w:p>
        </w:tc>
        <w:tc>
          <w:tcPr>
            <w:tcW w:type="dxa" w:w="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828 </w:t>
            </w:r>
          </w:p>
        </w:tc>
      </w:tr>
    </w:tbl>
    <w:p>
      <w:pPr>
        <w:autoSpaceDN w:val="0"/>
        <w:autoSpaceDE w:val="0"/>
        <w:widowControl/>
        <w:spacing w:line="224" w:lineRule="exact" w:before="1656" w:after="0"/>
        <w:ind w:left="0" w:right="7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December 31, 2024     59</w:t>
      </w:r>
    </w:p>
    <w:p>
      <w:pPr>
        <w:sectPr>
          <w:pgSz w:w="12240" w:h="15840"/>
          <w:pgMar w:top="700" w:right="137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December 31, 2024, IBRD’s Condensed Balance Sheets included a DVA of $2,080 million cumulative gain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($673 million cumulative gain—June 30, 2024) in Accumulated other comprehensive income, associated with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changes in IBRD’s own credit for financial liabilities measured under the fair value option.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J10: Unrealized mark-to-market gains or losses on investments-trading, and non-trading portfolios, net</w:t>
      </w:r>
    </w:p>
    <w:p>
      <w:pPr>
        <w:autoSpaceDN w:val="0"/>
        <w:autoSpaceDE w:val="0"/>
        <w:widowControl/>
        <w:spacing w:line="178" w:lineRule="exact" w:before="9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</w:tblGrid>
      <w:tr>
        <w:trPr>
          <w:trHeight w:hRule="exact" w:val="220"/>
        </w:trPr>
        <w:tc>
          <w:tcPr>
            <w:tcW w:type="dxa" w:w="30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170"/>
            <w:gridSpan w:val="6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Three Months Ended</w:t>
            </w:r>
          </w:p>
        </w:tc>
        <w:tc>
          <w:tcPr>
            <w:tcW w:type="dxa" w:w="3210"/>
            <w:gridSpan w:val="5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89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Six Months Ended </w:t>
            </w:r>
          </w:p>
        </w:tc>
      </w:tr>
      <w:tr>
        <w:trPr>
          <w:trHeight w:hRule="exact" w:val="214"/>
        </w:trPr>
        <w:tc>
          <w:tcPr>
            <w:tcW w:type="dxa" w:w="78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3170"/>
            <w:gridSpan w:val="6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December 31, 2024</w:t>
            </w:r>
          </w:p>
        </w:tc>
        <w:tc>
          <w:tcPr>
            <w:tcW w:type="dxa" w:w="3210"/>
            <w:gridSpan w:val="5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December 31, 2024</w:t>
            </w:r>
          </w:p>
        </w:tc>
      </w:tr>
      <w:tr>
        <w:trPr>
          <w:trHeight w:hRule="exact" w:val="206"/>
        </w:trPr>
        <w:tc>
          <w:tcPr>
            <w:tcW w:type="dxa" w:w="30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170"/>
            <w:gridSpan w:val="6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Unrealized </w:t>
            </w:r>
          </w:p>
        </w:tc>
        <w:tc>
          <w:tcPr>
            <w:tcW w:type="dxa" w:w="3210"/>
            <w:gridSpan w:val="5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15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Unrealized </w:t>
            </w:r>
          </w:p>
        </w:tc>
      </w:tr>
      <w:tr>
        <w:trPr>
          <w:trHeight w:hRule="exact" w:val="200"/>
        </w:trPr>
        <w:tc>
          <w:tcPr>
            <w:tcW w:type="dxa" w:w="78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317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gains (losses) </w:t>
            </w:r>
          </w:p>
        </w:tc>
        <w:tc>
          <w:tcPr>
            <w:tcW w:type="dxa" w:w="321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04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gains (losses) </w:t>
            </w:r>
          </w:p>
        </w:tc>
      </w:tr>
      <w:tr>
        <w:trPr>
          <w:trHeight w:hRule="exact" w:val="180"/>
        </w:trPr>
        <w:tc>
          <w:tcPr>
            <w:tcW w:type="dxa" w:w="78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Realized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excluding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5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Unrealized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21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Realized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4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excluding </w:t>
            </w:r>
          </w:p>
        </w:tc>
        <w:tc>
          <w:tcPr>
            <w:tcW w:type="dxa" w:w="9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Unrealized </w:t>
            </w:r>
          </w:p>
        </w:tc>
      </w:tr>
      <w:tr>
        <w:trPr>
          <w:trHeight w:hRule="exact" w:val="180"/>
        </w:trPr>
        <w:tc>
          <w:tcPr>
            <w:tcW w:type="dxa" w:w="78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gains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4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realized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24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gains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48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gains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0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realized </w:t>
            </w:r>
          </w:p>
        </w:tc>
        <w:tc>
          <w:tcPr>
            <w:tcW w:type="dxa" w:w="9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gains </w:t>
            </w:r>
          </w:p>
        </w:tc>
      </w:tr>
      <w:tr>
        <w:trPr>
          <w:trHeight w:hRule="exact" w:val="240"/>
        </w:trPr>
        <w:tc>
          <w:tcPr>
            <w:tcW w:type="dxa" w:w="78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9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(losses)</w:t>
            </w:r>
          </w:p>
        </w:tc>
        <w:tc>
          <w:tcPr>
            <w:tcW w:type="dxa" w:w="9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2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amounts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12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0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(losses)</w:t>
            </w:r>
          </w:p>
        </w:tc>
        <w:tc>
          <w:tcPr>
            <w:tcW w:type="dxa" w:w="12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(losses)</w:t>
            </w:r>
          </w:p>
        </w:tc>
        <w:tc>
          <w:tcPr>
            <w:tcW w:type="dxa" w:w="10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amounts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97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(losses)</w:t>
            </w:r>
          </w:p>
        </w:tc>
      </w:tr>
      <w:tr>
        <w:trPr>
          <w:trHeight w:hRule="exact" w:val="240"/>
        </w:trPr>
        <w:tc>
          <w:tcPr>
            <w:tcW w:type="dxa" w:w="30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Investments-Trading, net</w:t>
            </w:r>
          </w:p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214 </w:t>
            </w:r>
          </w:p>
        </w:tc>
        <w:tc>
          <w:tcPr>
            <w:tcW w:type="dxa" w:w="5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(250) $ </w:t>
            </w:r>
          </w:p>
        </w:tc>
        <w:tc>
          <w:tcPr>
            <w:tcW w:type="dxa" w:w="5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(36) </w:t>
            </w:r>
          </w:p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(151) $ </w:t>
            </w:r>
          </w:p>
        </w:tc>
        <w:tc>
          <w:tcPr>
            <w:tcW w:type="dxa" w:w="10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108 </w:t>
            </w:r>
          </w:p>
        </w:tc>
        <w:tc>
          <w:tcPr>
            <w:tcW w:type="dxa" w:w="4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(43) 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32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Non trading portfolios, net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40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Loan-related derivatives—Note F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1,598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1,598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(464)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(464) </w:t>
            </w:r>
          </w:p>
        </w:tc>
      </w:tr>
    </w:tbl>
    <w:p>
      <w:pPr>
        <w:autoSpaceDN w:val="0"/>
        <w:autoSpaceDE w:val="0"/>
        <w:widowControl/>
        <w:spacing w:line="180" w:lineRule="exact" w:before="32" w:after="6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Other assets/liabilities management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18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derivatives, net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(1,288)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(1,288)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554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554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8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Borrowings, including derivatives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16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—Notes E and F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4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(36)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(36) ᵇ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4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(237)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(237) ᵇ</w:t>
            </w:r>
          </w:p>
        </w:tc>
      </w:tr>
    </w:tbl>
    <w:p>
      <w:pPr>
        <w:autoSpaceDN w:val="0"/>
        <w:autoSpaceDE w:val="0"/>
        <w:widowControl/>
        <w:spacing w:line="180" w:lineRule="exact" w:before="32" w:after="6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Client operations and other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</w:tblGrid>
      <w:tr>
        <w:trPr>
          <w:trHeight w:hRule="exact" w:val="216"/>
        </w:trPr>
        <w:tc>
          <w:tcPr>
            <w:tcW w:type="dxa" w:w="30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derivatives, net</w:t>
            </w:r>
          </w:p>
        </w:tc>
        <w:tc>
          <w:tcPr>
            <w:tcW w:type="dxa" w:w="4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 </w:t>
            </w:r>
          </w:p>
        </w:tc>
        <w:tc>
          <w:tcPr>
            <w:tcW w:type="dxa" w:w="4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 </w:t>
            </w:r>
          </w:p>
        </w:tc>
        <w:tc>
          <w:tcPr>
            <w:tcW w:type="dxa" w:w="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 </w:t>
            </w:r>
          </w:p>
        </w:tc>
        <w:tc>
          <w:tcPr>
            <w:tcW w:type="dxa" w:w="6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 </w:t>
            </w:r>
          </w:p>
        </w:tc>
      </w:tr>
      <w:tr>
        <w:trPr>
          <w:trHeight w:hRule="exact" w:val="220"/>
        </w:trPr>
        <w:tc>
          <w:tcPr>
            <w:tcW w:type="dxa" w:w="30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290 </w:t>
            </w:r>
          </w:p>
        </w:tc>
        <w:tc>
          <w:tcPr>
            <w:tcW w:type="dxa" w:w="4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290 </w:t>
            </w:r>
          </w:p>
        </w:tc>
        <w:tc>
          <w:tcPr>
            <w:tcW w:type="dxa" w:w="5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(133) $ </w:t>
            </w:r>
          </w:p>
        </w:tc>
        <w:tc>
          <w:tcPr>
            <w:tcW w:type="dxa" w:w="6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(133) </w:t>
            </w:r>
          </w:p>
        </w:tc>
      </w:tr>
    </w:tbl>
    <w:p>
      <w:pPr>
        <w:autoSpaceDN w:val="0"/>
        <w:autoSpaceDE w:val="0"/>
        <w:widowControl/>
        <w:spacing w:line="218" w:lineRule="exact" w:before="438" w:after="20"/>
        <w:ind w:left="62" w:right="7488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 xml:space="preserve">Table J10.1: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</w:tblGrid>
      <w:tr>
        <w:trPr>
          <w:trHeight w:hRule="exact" w:val="210"/>
        </w:trPr>
        <w:tc>
          <w:tcPr>
            <w:tcW w:type="dxa" w:w="30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170"/>
            <w:gridSpan w:val="6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Three Months Ended</w:t>
            </w:r>
          </w:p>
        </w:tc>
        <w:tc>
          <w:tcPr>
            <w:tcW w:type="dxa" w:w="3210"/>
            <w:gridSpan w:val="7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89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Six Months Ended </w:t>
            </w:r>
          </w:p>
        </w:tc>
      </w:tr>
      <w:tr>
        <w:trPr>
          <w:trHeight w:hRule="exact" w:val="226"/>
        </w:trPr>
        <w:tc>
          <w:tcPr>
            <w:tcW w:type="dxa" w:w="6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3170"/>
            <w:gridSpan w:val="6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December 31, 2023</w:t>
            </w:r>
          </w:p>
        </w:tc>
        <w:tc>
          <w:tcPr>
            <w:tcW w:type="dxa" w:w="3210"/>
            <w:gridSpan w:val="7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December 31, 2023</w:t>
            </w:r>
          </w:p>
        </w:tc>
      </w:tr>
      <w:tr>
        <w:trPr>
          <w:trHeight w:hRule="exact" w:val="194"/>
        </w:trPr>
        <w:tc>
          <w:tcPr>
            <w:tcW w:type="dxa" w:w="30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170"/>
            <w:gridSpan w:val="6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Unrealized </w:t>
            </w:r>
          </w:p>
        </w:tc>
        <w:tc>
          <w:tcPr>
            <w:tcW w:type="dxa" w:w="3210"/>
            <w:gridSpan w:val="7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115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Unrealized </w:t>
            </w:r>
          </w:p>
        </w:tc>
      </w:tr>
      <w:tr>
        <w:trPr>
          <w:trHeight w:hRule="exact" w:val="200"/>
        </w:trPr>
        <w:tc>
          <w:tcPr>
            <w:tcW w:type="dxa" w:w="6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317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gains (losses) </w:t>
            </w:r>
          </w:p>
        </w:tc>
        <w:tc>
          <w:tcPr>
            <w:tcW w:type="dxa" w:w="321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4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gains (losses) </w:t>
            </w:r>
          </w:p>
        </w:tc>
      </w:tr>
      <w:tr>
        <w:trPr>
          <w:trHeight w:hRule="exact" w:val="200"/>
        </w:trPr>
        <w:tc>
          <w:tcPr>
            <w:tcW w:type="dxa" w:w="6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Realized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excluding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5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Unrealized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Realized </w:t>
            </w:r>
          </w:p>
        </w:tc>
        <w:tc>
          <w:tcPr>
            <w:tcW w:type="dxa" w:w="113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24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excluding </w:t>
            </w:r>
          </w:p>
        </w:tc>
        <w:tc>
          <w:tcPr>
            <w:tcW w:type="dxa" w:w="10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6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Unrealized </w:t>
            </w:r>
          </w:p>
        </w:tc>
      </w:tr>
      <w:tr>
        <w:trPr>
          <w:trHeight w:hRule="exact" w:val="180"/>
        </w:trPr>
        <w:tc>
          <w:tcPr>
            <w:tcW w:type="dxa" w:w="6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gains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4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realized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24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gains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gains 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realized </w:t>
            </w:r>
          </w:p>
        </w:tc>
        <w:tc>
          <w:tcPr>
            <w:tcW w:type="dxa" w:w="12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24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gains </w:t>
            </w:r>
          </w:p>
        </w:tc>
      </w:tr>
      <w:tr>
        <w:trPr>
          <w:trHeight w:hRule="exact" w:val="230"/>
        </w:trPr>
        <w:tc>
          <w:tcPr>
            <w:tcW w:type="dxa" w:w="6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9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(losses)</w:t>
            </w:r>
          </w:p>
        </w:tc>
        <w:tc>
          <w:tcPr>
            <w:tcW w:type="dxa" w:w="9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amounts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12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0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(losses)</w:t>
            </w:r>
          </w:p>
        </w:tc>
        <w:tc>
          <w:tcPr>
            <w:tcW w:type="dxa" w:w="10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(losses)</w:t>
            </w:r>
          </w:p>
        </w:tc>
        <w:tc>
          <w:tcPr>
            <w:tcW w:type="dxa" w:w="9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2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amounts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123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0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(losses)</w:t>
            </w:r>
          </w:p>
        </w:tc>
      </w:tr>
      <w:tr>
        <w:trPr>
          <w:trHeight w:hRule="exact" w:val="240"/>
        </w:trPr>
        <w:tc>
          <w:tcPr>
            <w:tcW w:type="dxa" w:w="30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Investments-Trading, net</w:t>
            </w:r>
          </w:p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166 </w:t>
            </w:r>
          </w:p>
        </w:tc>
        <w:tc>
          <w:tcPr>
            <w:tcW w:type="dxa" w:w="5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4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(100) $ </w:t>
            </w:r>
          </w:p>
        </w:tc>
        <w:tc>
          <w:tcPr>
            <w:tcW w:type="dxa" w:w="5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 </w:t>
            </w:r>
          </w:p>
        </w:tc>
        <w:tc>
          <w:tcPr>
            <w:tcW w:type="dxa" w:w="4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77 </w:t>
            </w:r>
          </w:p>
        </w:tc>
        <w:tc>
          <w:tcPr>
            <w:tcW w:type="dxa" w:w="5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8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(51) $ </w:t>
            </w:r>
          </w:p>
        </w:tc>
        <w:tc>
          <w:tcPr>
            <w:tcW w:type="dxa" w:w="5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 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32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Non trading portfolios, net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40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Loan-related derivatives—Note F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(2,821)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(2,821)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(1,567)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(1,567) </w:t>
            </w:r>
          </w:p>
        </w:tc>
      </w:tr>
    </w:tbl>
    <w:p>
      <w:pPr>
        <w:autoSpaceDN w:val="0"/>
        <w:autoSpaceDE w:val="0"/>
        <w:widowControl/>
        <w:spacing w:line="180" w:lineRule="exact" w:before="32" w:after="6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Other assets/liabilities management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18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derivatives, net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1,994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1,994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2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1,287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1,287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6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Borrowings, including derivatives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18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—Notes E and F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4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3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(90)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(89) ᵇ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(137)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(136) ᵇ</w:t>
            </w:r>
          </w:p>
        </w:tc>
      </w:tr>
    </w:tbl>
    <w:p>
      <w:pPr>
        <w:autoSpaceDN w:val="0"/>
        <w:autoSpaceDE w:val="0"/>
        <w:widowControl/>
        <w:spacing w:line="180" w:lineRule="exact" w:before="32" w:after="6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Client operations and other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</w:tblGrid>
      <w:tr>
        <w:trPr>
          <w:trHeight w:hRule="exact" w:val="214"/>
        </w:trPr>
        <w:tc>
          <w:tcPr>
            <w:tcW w:type="dxa" w:w="30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derivatives, net</w:t>
            </w:r>
          </w:p>
        </w:tc>
        <w:tc>
          <w:tcPr>
            <w:tcW w:type="dxa" w:w="4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 </w:t>
            </w:r>
          </w:p>
        </w:tc>
        <w:tc>
          <w:tcPr>
            <w:tcW w:type="dxa" w:w="6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 </w:t>
            </w:r>
          </w:p>
        </w:tc>
        <w:tc>
          <w:tcPr>
            <w:tcW w:type="dxa" w:w="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 </w:t>
            </w:r>
          </w:p>
        </w:tc>
        <w:tc>
          <w:tcPr>
            <w:tcW w:type="dxa" w:w="6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 </w:t>
            </w:r>
          </w:p>
        </w:tc>
      </w:tr>
      <w:tr>
        <w:trPr>
          <w:trHeight w:hRule="exact" w:val="220"/>
        </w:trPr>
        <w:tc>
          <w:tcPr>
            <w:tcW w:type="dxa" w:w="30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(854) $ </w:t>
            </w:r>
          </w:p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(853) </w:t>
            </w:r>
          </w:p>
        </w:tc>
        <w:tc>
          <w:tcPr>
            <w:tcW w:type="dxa" w:w="5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(354) $ </w:t>
            </w:r>
          </w:p>
        </w:tc>
        <w:tc>
          <w:tcPr>
            <w:tcW w:type="dxa" w:w="6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(353) </w:t>
            </w:r>
          </w:p>
        </w:tc>
      </w:tr>
    </w:tbl>
    <w:p>
      <w:pPr>
        <w:autoSpaceDN w:val="0"/>
        <w:autoSpaceDE w:val="0"/>
        <w:widowControl/>
        <w:spacing w:line="180" w:lineRule="exact" w:before="29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Adjusted to exclude amounts reclassified to realized gains (losses).</w:t>
      </w:r>
    </w:p>
    <w:p>
      <w:pPr>
        <w:autoSpaceDN w:val="0"/>
        <w:autoSpaceDE w:val="0"/>
        <w:widowControl/>
        <w:spacing w:line="192" w:lineRule="exact" w:before="56" w:after="0"/>
        <w:ind w:left="242" w:right="0" w:hanging="18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b. Includes $3,073 million of unrealized mark-to-market losses and $3,904 million of unrealized mark-to-market gains related to </w:t>
      </w:r>
      <w:r>
        <w:rPr>
          <w:rFonts w:ascii="Arial" w:hAnsi="Arial" w:eastAsia="Arial"/>
          <w:b w:val="0"/>
          <w:i/>
          <w:color w:val="000000"/>
          <w:sz w:val="16"/>
        </w:rPr>
        <w:t>derivatives associated with borrowings for three and six months ended December 31, 2024, respectively (unrealized mark-to-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market gains of $8,993 million and unrealized mark-to-market gains of $6,590 million—three and six months ended </w:t>
      </w:r>
      <w:r>
        <w:rPr>
          <w:rFonts w:ascii="Arial" w:hAnsi="Arial" w:eastAsia="Arial"/>
          <w:b w:val="0"/>
          <w:i/>
          <w:color w:val="000000"/>
          <w:sz w:val="16"/>
        </w:rPr>
        <w:t>December 31, 2023).</w:t>
      </w:r>
    </w:p>
    <w:p>
      <w:pPr>
        <w:autoSpaceDN w:val="0"/>
        <w:autoSpaceDE w:val="0"/>
        <w:widowControl/>
        <w:spacing w:line="246" w:lineRule="exact" w:before="3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NOTE K—PENSION AND OTHER POSTRETIREMENT BENEFITS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IBRD, IFC and MIGA participate in the defined benefit Staff Retirement Plan (SRP), a Retired Staff Benefits Plan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(RSBP) and the PEBP (collectively “the Pension Plans”) that cover substantially all of their staff members.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All costs, assets and liabilities associated with the Pension Plans are allocated between IBRD, IFC and MIGA based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upon their employees’ respective participation in the Pension Plans. Costs allocated to IBRD are then shared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between IBRD and IDA based on an agreed cost-sharing methodology.</w:t>
      </w:r>
    </w:p>
    <w:p>
      <w:pPr>
        <w:autoSpaceDN w:val="0"/>
        <w:autoSpaceDE w:val="0"/>
        <w:widowControl/>
        <w:spacing w:line="224" w:lineRule="exact" w:before="55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60     IBRD Condensed Quarterly Financial Statements: December 31, 2024 (Unaudited)</w:t>
      </w:r>
    </w:p>
    <w:p>
      <w:pPr>
        <w:sectPr>
          <w:pgSz w:w="12240" w:h="15840"/>
          <w:pgMar w:top="700" w:right="137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following tables summarize the benefit costs associated with the Pension Plans for IBRD and IDA: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K1: Pension Plans benefit costs</w:t>
      </w:r>
    </w:p>
    <w:p>
      <w:pPr>
        <w:autoSpaceDN w:val="0"/>
        <w:autoSpaceDE w:val="0"/>
        <w:widowControl/>
        <w:spacing w:line="156" w:lineRule="exact" w:before="116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4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</w:tblGrid>
      <w:tr>
        <w:trPr>
          <w:trHeight w:hRule="exact" w:val="240"/>
        </w:trPr>
        <w:tc>
          <w:tcPr>
            <w:tcW w:type="dxa" w:w="27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8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8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Three Months Ended</w:t>
            </w:r>
          </w:p>
        </w:tc>
        <w:tc>
          <w:tcPr>
            <w:tcW w:type="dxa" w:w="6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8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8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Six Months Ended</w:t>
            </w:r>
          </w:p>
        </w:tc>
        <w:tc>
          <w:tcPr>
            <w:tcW w:type="dxa" w:w="6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27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8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December 31, 2024</w:t>
            </w:r>
          </w:p>
        </w:tc>
        <w:tc>
          <w:tcPr>
            <w:tcW w:type="dxa" w:w="6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8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December 31, 2024</w:t>
            </w:r>
          </w:p>
        </w:tc>
        <w:tc>
          <w:tcPr>
            <w:tcW w:type="dxa" w:w="6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27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4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SRP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RSBP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PEBP</w:t>
            </w:r>
          </w:p>
        </w:tc>
        <w:tc>
          <w:tcPr>
            <w:tcW w:type="dxa" w:w="6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  <w:tc>
          <w:tcPr>
            <w:tcW w:type="dxa" w:w="2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4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SRP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RSBP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PEBP</w:t>
            </w:r>
          </w:p>
        </w:tc>
        <w:tc>
          <w:tcPr>
            <w:tcW w:type="dxa" w:w="6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480"/>
        </w:trPr>
        <w:tc>
          <w:tcPr>
            <w:tcW w:type="dxa" w:w="27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Service cost</w:t>
            </w:r>
          </w:p>
        </w:tc>
        <w:tc>
          <w:tcPr>
            <w:tcW w:type="dxa" w:w="21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106 $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28 $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19 $ </w:t>
            </w:r>
          </w:p>
        </w:tc>
        <w:tc>
          <w:tcPr>
            <w:tcW w:type="dxa" w:w="6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153 </w:t>
            </w:r>
          </w:p>
        </w:tc>
        <w:tc>
          <w:tcPr>
            <w:tcW w:type="dxa" w:w="25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212 $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56 $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38 $ </w:t>
            </w:r>
          </w:p>
        </w:tc>
        <w:tc>
          <w:tcPr>
            <w:tcW w:type="dxa" w:w="6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306 </w:t>
            </w:r>
          </w:p>
        </w:tc>
      </w:tr>
      <w:tr>
        <w:trPr>
          <w:trHeight w:hRule="exact" w:val="240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cost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288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 </w:t>
            </w:r>
          </w:p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361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576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90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55 </w:t>
            </w:r>
          </w:p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721 </w:t>
            </w:r>
          </w:p>
        </w:tc>
      </w:tr>
      <w:tr>
        <w:trPr>
          <w:trHeight w:hRule="exact" w:val="240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Expected return on plan assets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(373)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(67)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(440)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(746)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(133)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(879) </w:t>
            </w:r>
          </w:p>
        </w:tc>
      </w:tr>
      <w:tr>
        <w:trPr>
          <w:trHeight w:hRule="exact" w:val="208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Amortization of unrecognized prior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6" w:after="0"/>
              <w:ind w:left="0" w:right="2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6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6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6" w:after="0"/>
              <w:ind w:left="0" w:right="2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6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6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  <w:tr>
        <w:trPr>
          <w:trHeight w:hRule="exact" w:val="212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service costs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vMerge/>
            <w:tcBorders/>
          </w:tcPr>
          <w:p/>
        </w:tc>
        <w:tc>
          <w:tcPr>
            <w:tcW w:type="dxa" w:w="858"/>
            <w:vMerge/>
            <w:tcBorders/>
          </w:tcPr>
          <w:p/>
        </w:tc>
        <w:tc>
          <w:tcPr>
            <w:tcW w:type="dxa" w:w="858"/>
            <w:vMerge/>
            <w:tcBorders/>
          </w:tcPr>
          <w:p/>
        </w:tc>
        <w:tc>
          <w:tcPr>
            <w:tcW w:type="dxa" w:w="858"/>
            <w:vMerge/>
            <w:tcBorders/>
          </w:tcPr>
          <w:p/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vMerge/>
            <w:tcBorders/>
          </w:tcPr>
          <w:p/>
        </w:tc>
        <w:tc>
          <w:tcPr>
            <w:tcW w:type="dxa" w:w="858"/>
            <w:vMerge/>
            <w:tcBorders/>
          </w:tcPr>
          <w:p/>
        </w:tc>
        <w:tc>
          <w:tcPr>
            <w:tcW w:type="dxa" w:w="858"/>
            <w:vMerge/>
            <w:tcBorders/>
          </w:tcPr>
          <w:p/>
        </w:tc>
        <w:tc>
          <w:tcPr>
            <w:tcW w:type="dxa" w:w="858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Amortization of unrecognized net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2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2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(16) </w:t>
            </w:r>
          </w:p>
        </w:tc>
        <w:tc>
          <w:tcPr>
            <w:tcW w:type="dxa" w:w="8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3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(16)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2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2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(32) </w:t>
            </w:r>
          </w:p>
        </w:tc>
        <w:tc>
          <w:tcPr>
            <w:tcW w:type="dxa" w:w="8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3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(32) </w:t>
            </w:r>
          </w:p>
        </w:tc>
      </w:tr>
      <w:tr>
        <w:trPr>
          <w:trHeight w:hRule="exact" w:val="226"/>
        </w:trPr>
        <w:tc>
          <w:tcPr>
            <w:tcW w:type="dxa" w:w="27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actuarial (gains) losses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31"/>
        </w:trPr>
        <w:tc>
          <w:tcPr>
            <w:tcW w:type="dxa" w:w="27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periodic pension cost</w:t>
            </w:r>
          </w:p>
        </w:tc>
        <w:tc>
          <w:tcPr>
            <w:tcW w:type="dxa" w:w="2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21 $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(9) $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48 $ </w:t>
            </w:r>
          </w:p>
        </w:tc>
        <w:tc>
          <w:tcPr>
            <w:tcW w:type="dxa" w:w="6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60 </w:t>
            </w:r>
          </w:p>
        </w:tc>
        <w:tc>
          <w:tcPr>
            <w:tcW w:type="dxa" w:w="2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43 $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(18) $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95 $ </w:t>
            </w:r>
          </w:p>
        </w:tc>
        <w:tc>
          <w:tcPr>
            <w:tcW w:type="dxa" w:w="6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120 </w:t>
            </w:r>
          </w:p>
        </w:tc>
      </w:tr>
    </w:tbl>
    <w:p>
      <w:pPr>
        <w:autoSpaceDN w:val="0"/>
        <w:autoSpaceDE w:val="0"/>
        <w:widowControl/>
        <w:spacing w:line="178" w:lineRule="exact" w:before="30" w:after="32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Of which: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</w:tblGrid>
      <w:tr>
        <w:trPr>
          <w:trHeight w:hRule="exact" w:val="228"/>
        </w:trPr>
        <w:tc>
          <w:tcPr>
            <w:tcW w:type="dxa" w:w="20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IBRD’s share </w:t>
            </w:r>
          </w:p>
        </w:tc>
        <w:tc>
          <w:tcPr>
            <w:tcW w:type="dxa" w:w="10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10 $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(5) $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21 $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 </w:t>
            </w:r>
          </w:p>
        </w:tc>
        <w:tc>
          <w:tcPr>
            <w:tcW w:type="dxa" w:w="4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20 $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(9) $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44 $ </w:t>
            </w:r>
          </w:p>
        </w:tc>
        <w:tc>
          <w:tcPr>
            <w:tcW w:type="dxa" w:w="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55 </w:t>
            </w:r>
          </w:p>
        </w:tc>
      </w:tr>
      <w:tr>
        <w:trPr>
          <w:trHeight w:hRule="exact" w:val="490"/>
        </w:trPr>
        <w:tc>
          <w:tcPr>
            <w:tcW w:type="dxa" w:w="20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IDA’s share</w:t>
            </w:r>
          </w:p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 </w:t>
            </w:r>
          </w:p>
        </w:tc>
        <w:tc>
          <w:tcPr>
            <w:tcW w:type="dxa" w:w="8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(4) </w:t>
            </w:r>
          </w:p>
        </w:tc>
        <w:tc>
          <w:tcPr>
            <w:tcW w:type="dxa" w:w="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 </w:t>
            </w:r>
          </w:p>
        </w:tc>
        <w:tc>
          <w:tcPr>
            <w:tcW w:type="dxa" w:w="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 </w:t>
            </w:r>
          </w:p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 </w:t>
            </w:r>
          </w:p>
        </w:tc>
        <w:tc>
          <w:tcPr>
            <w:tcW w:type="dxa" w:w="8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(9) </w:t>
            </w:r>
          </w:p>
        </w:tc>
        <w:tc>
          <w:tcPr>
            <w:tcW w:type="dxa" w:w="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 </w:t>
            </w:r>
          </w:p>
        </w:tc>
        <w:tc>
          <w:tcPr>
            <w:tcW w:type="dxa" w:w="4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65 </w:t>
            </w:r>
          </w:p>
        </w:tc>
      </w:tr>
    </w:tbl>
    <w:p>
      <w:pPr>
        <w:autoSpaceDN w:val="0"/>
        <w:autoSpaceDE w:val="0"/>
        <w:widowControl/>
        <w:spacing w:line="218" w:lineRule="exact" w:before="234" w:after="20"/>
        <w:ind w:left="62" w:right="7488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 xml:space="preserve">Table K1.1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</w:tblGrid>
      <w:tr>
        <w:trPr>
          <w:trHeight w:hRule="exact" w:val="230"/>
        </w:trPr>
        <w:tc>
          <w:tcPr>
            <w:tcW w:type="dxa" w:w="27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1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480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8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Three Months Ended</w:t>
            </w:r>
          </w:p>
        </w:tc>
        <w:tc>
          <w:tcPr>
            <w:tcW w:type="dxa" w:w="63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5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480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8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Six Months Ended</w:t>
            </w:r>
          </w:p>
        </w:tc>
        <w:tc>
          <w:tcPr>
            <w:tcW w:type="dxa" w:w="63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0"/>
        </w:trPr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248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2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December 31, 2023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248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2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December 31, 2023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27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4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SRP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RSBP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PEBP</w:t>
            </w:r>
          </w:p>
        </w:tc>
        <w:tc>
          <w:tcPr>
            <w:tcW w:type="dxa" w:w="6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  <w:tc>
          <w:tcPr>
            <w:tcW w:type="dxa" w:w="2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4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SRP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RSBP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PEBP</w:t>
            </w:r>
          </w:p>
        </w:tc>
        <w:tc>
          <w:tcPr>
            <w:tcW w:type="dxa" w:w="6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470"/>
        </w:trPr>
        <w:tc>
          <w:tcPr>
            <w:tcW w:type="dxa" w:w="27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Service cost</w:t>
            </w:r>
          </w:p>
        </w:tc>
        <w:tc>
          <w:tcPr>
            <w:tcW w:type="dxa" w:w="21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100 $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28 $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21 $ </w:t>
            </w:r>
          </w:p>
        </w:tc>
        <w:tc>
          <w:tcPr>
            <w:tcW w:type="dxa" w:w="6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149 </w:t>
            </w:r>
          </w:p>
        </w:tc>
        <w:tc>
          <w:tcPr>
            <w:tcW w:type="dxa" w:w="25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200 $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56 $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41 $ </w:t>
            </w:r>
          </w:p>
        </w:tc>
        <w:tc>
          <w:tcPr>
            <w:tcW w:type="dxa" w:w="6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297 </w:t>
            </w:r>
          </w:p>
        </w:tc>
      </w:tr>
      <w:tr>
        <w:trPr>
          <w:trHeight w:hRule="exact" w:val="240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cost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253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41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 </w:t>
            </w:r>
          </w:p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318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506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81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 </w:t>
            </w:r>
          </w:p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636 </w:t>
            </w:r>
          </w:p>
        </w:tc>
      </w:tr>
      <w:tr>
        <w:trPr>
          <w:trHeight w:hRule="exact" w:val="240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Expected return on plan assets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(344)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(60)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(404)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(688)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(121)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(809) </w:t>
            </w:r>
          </w:p>
        </w:tc>
      </w:tr>
      <w:tr>
        <w:trPr>
          <w:trHeight w:hRule="exact" w:val="218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Amortization of unrecognized prior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6" w:after="0"/>
              <w:ind w:left="0" w:right="2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6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6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6" w:after="0"/>
              <w:ind w:left="0" w:right="2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6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6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  <w:tr>
        <w:trPr>
          <w:trHeight w:hRule="exact" w:val="222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service costs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vMerge/>
            <w:tcBorders/>
          </w:tcPr>
          <w:p/>
        </w:tc>
        <w:tc>
          <w:tcPr>
            <w:tcW w:type="dxa" w:w="858"/>
            <w:vMerge/>
            <w:tcBorders/>
          </w:tcPr>
          <w:p/>
        </w:tc>
        <w:tc>
          <w:tcPr>
            <w:tcW w:type="dxa" w:w="858"/>
            <w:vMerge/>
            <w:tcBorders/>
          </w:tcPr>
          <w:p/>
        </w:tc>
        <w:tc>
          <w:tcPr>
            <w:tcW w:type="dxa" w:w="858"/>
            <w:vMerge/>
            <w:tcBorders/>
          </w:tcPr>
          <w:p/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vMerge/>
            <w:tcBorders/>
          </w:tcPr>
          <w:p/>
        </w:tc>
        <w:tc>
          <w:tcPr>
            <w:tcW w:type="dxa" w:w="858"/>
            <w:vMerge/>
            <w:tcBorders/>
          </w:tcPr>
          <w:p/>
        </w:tc>
        <w:tc>
          <w:tcPr>
            <w:tcW w:type="dxa" w:w="858"/>
            <w:vMerge/>
            <w:tcBorders/>
          </w:tcPr>
          <w:p/>
        </w:tc>
        <w:tc>
          <w:tcPr>
            <w:tcW w:type="dxa" w:w="858"/>
            <w:vMerge/>
            <w:tcBorders/>
          </w:tcPr>
          <w:p/>
        </w:tc>
      </w:tr>
      <w:tr>
        <w:trPr>
          <w:trHeight w:hRule="exact" w:val="214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Amortization of unrecognized net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2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2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(18) </w:t>
            </w:r>
          </w:p>
        </w:tc>
        <w:tc>
          <w:tcPr>
            <w:tcW w:type="dxa" w:w="8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3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(18)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2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2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(34) </w:t>
            </w:r>
          </w:p>
        </w:tc>
        <w:tc>
          <w:tcPr>
            <w:tcW w:type="dxa" w:w="8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3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(34) </w:t>
            </w:r>
          </w:p>
        </w:tc>
      </w:tr>
      <w:tr>
        <w:trPr>
          <w:trHeight w:hRule="exact" w:val="226"/>
        </w:trPr>
        <w:tc>
          <w:tcPr>
            <w:tcW w:type="dxa" w:w="27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actuarial (gains) losses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31"/>
        </w:trPr>
        <w:tc>
          <w:tcPr>
            <w:tcW w:type="dxa" w:w="27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periodic pension cost</w:t>
            </w:r>
          </w:p>
        </w:tc>
        <w:tc>
          <w:tcPr>
            <w:tcW w:type="dxa" w:w="2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9 $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(8) $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46 $ </w:t>
            </w:r>
          </w:p>
        </w:tc>
        <w:tc>
          <w:tcPr>
            <w:tcW w:type="dxa" w:w="6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 </w:t>
            </w:r>
          </w:p>
        </w:tc>
        <w:tc>
          <w:tcPr>
            <w:tcW w:type="dxa" w:w="2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19 $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(17) $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92 $ </w:t>
            </w:r>
          </w:p>
        </w:tc>
        <w:tc>
          <w:tcPr>
            <w:tcW w:type="dxa" w:w="6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94 </w:t>
            </w:r>
          </w:p>
        </w:tc>
      </w:tr>
    </w:tbl>
    <w:p>
      <w:pPr>
        <w:autoSpaceDN w:val="0"/>
        <w:autoSpaceDE w:val="0"/>
        <w:widowControl/>
        <w:spacing w:line="178" w:lineRule="exact" w:before="30" w:after="32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Of which: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</w:tblGrid>
      <w:tr>
        <w:trPr>
          <w:trHeight w:hRule="exact" w:val="238"/>
        </w:trPr>
        <w:tc>
          <w:tcPr>
            <w:tcW w:type="dxa" w:w="2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IBRD’s share</w:t>
            </w:r>
          </w:p>
        </w:tc>
        <w:tc>
          <w:tcPr>
            <w:tcW w:type="dxa" w:w="10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5 $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(4) $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21 $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 </w:t>
            </w:r>
          </w:p>
        </w:tc>
        <w:tc>
          <w:tcPr>
            <w:tcW w:type="dxa" w:w="4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9 $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(8) $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43 $ </w:t>
            </w:r>
          </w:p>
        </w:tc>
        <w:tc>
          <w:tcPr>
            <w:tcW w:type="dxa" w:w="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 </w:t>
            </w:r>
          </w:p>
        </w:tc>
      </w:tr>
      <w:tr>
        <w:trPr>
          <w:trHeight w:hRule="exact" w:val="480"/>
        </w:trPr>
        <w:tc>
          <w:tcPr>
            <w:tcW w:type="dxa" w:w="20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IDA’s share</w:t>
            </w:r>
          </w:p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8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8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(4) </w:t>
            </w:r>
          </w:p>
        </w:tc>
        <w:tc>
          <w:tcPr>
            <w:tcW w:type="dxa" w:w="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 </w:t>
            </w:r>
          </w:p>
        </w:tc>
        <w:tc>
          <w:tcPr>
            <w:tcW w:type="dxa" w:w="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 </w:t>
            </w:r>
          </w:p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 </w:t>
            </w:r>
          </w:p>
        </w:tc>
        <w:tc>
          <w:tcPr>
            <w:tcW w:type="dxa" w:w="8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(9) </w:t>
            </w:r>
          </w:p>
        </w:tc>
        <w:tc>
          <w:tcPr>
            <w:tcW w:type="dxa" w:w="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 </w:t>
            </w:r>
          </w:p>
        </w:tc>
        <w:tc>
          <w:tcPr>
            <w:tcW w:type="dxa" w:w="4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50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Included in amounts reclassified into net income in Note I—Accumulated Other Comprehensive Income.</w:t>
      </w:r>
    </w:p>
    <w:p>
      <w:pPr>
        <w:autoSpaceDN w:val="0"/>
        <w:autoSpaceDE w:val="0"/>
        <w:widowControl/>
        <w:spacing w:line="240" w:lineRule="exact" w:before="19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components of net periodic pension cost, other than the service cost, are included in the Non-interest expenses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—Other, net in the Condensed Statements of Income. The service cost component is included in the Non-interest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expenses—Administrative in the Condensed Statements of Income.</w:t>
      </w:r>
    </w:p>
    <w:p>
      <w:pPr>
        <w:autoSpaceDN w:val="0"/>
        <w:autoSpaceDE w:val="0"/>
        <w:widowControl/>
        <w:spacing w:line="224" w:lineRule="exact" w:before="3294" w:after="0"/>
        <w:ind w:left="0" w:right="6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December 31, 2024     61</w:t>
      </w:r>
    </w:p>
    <w:p>
      <w:pPr>
        <w:sectPr>
          <w:pgSz w:w="12240" w:h="15840"/>
          <w:pgMar w:top="700" w:right="1372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following tables provide the amounts of IBRD’s pension service cost: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 xml:space="preserve">Table K2: Pension service cost </w:t>
      </w:r>
    </w:p>
    <w:p>
      <w:pPr>
        <w:autoSpaceDN w:val="0"/>
        <w:autoSpaceDE w:val="0"/>
        <w:widowControl/>
        <w:spacing w:line="178" w:lineRule="exact" w:before="9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</w:tblGrid>
      <w:tr>
        <w:trPr>
          <w:trHeight w:hRule="exact" w:val="240"/>
        </w:trPr>
        <w:tc>
          <w:tcPr>
            <w:tcW w:type="dxa" w:w="27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1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480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8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Three Months Ended</w:t>
            </w:r>
          </w:p>
        </w:tc>
        <w:tc>
          <w:tcPr>
            <w:tcW w:type="dxa" w:w="63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5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480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8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Six Months Ended</w:t>
            </w:r>
          </w:p>
        </w:tc>
        <w:tc>
          <w:tcPr>
            <w:tcW w:type="dxa" w:w="63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248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2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December 31, 2024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248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2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December 31, 2024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27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4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SRP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RSBP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PEBP</w:t>
            </w:r>
          </w:p>
        </w:tc>
        <w:tc>
          <w:tcPr>
            <w:tcW w:type="dxa" w:w="6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  <w:tc>
          <w:tcPr>
            <w:tcW w:type="dxa" w:w="2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4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SRP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RSBP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PEBP</w:t>
            </w:r>
          </w:p>
        </w:tc>
        <w:tc>
          <w:tcPr>
            <w:tcW w:type="dxa" w:w="6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556"/>
        </w:trPr>
        <w:tc>
          <w:tcPr>
            <w:tcW w:type="dxa" w:w="27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Service cost</w:t>
            </w:r>
          </w:p>
        </w:tc>
        <w:tc>
          <w:tcPr>
            <w:tcW w:type="dxa" w:w="2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106 $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28 $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19 $ </w:t>
            </w:r>
          </w:p>
        </w:tc>
        <w:tc>
          <w:tcPr>
            <w:tcW w:type="dxa" w:w="6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153 </w:t>
            </w:r>
          </w:p>
        </w:tc>
        <w:tc>
          <w:tcPr>
            <w:tcW w:type="dxa" w:w="2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212 $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56 $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38 $ </w:t>
            </w:r>
          </w:p>
        </w:tc>
        <w:tc>
          <w:tcPr>
            <w:tcW w:type="dxa" w:w="6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306 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30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Of which: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</w:tblGrid>
      <w:tr>
        <w:trPr>
          <w:trHeight w:hRule="exact" w:val="224"/>
        </w:trPr>
        <w:tc>
          <w:tcPr>
            <w:tcW w:type="dxa" w:w="2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IBRD’s share</w:t>
            </w:r>
          </w:p>
        </w:tc>
        <w:tc>
          <w:tcPr>
            <w:tcW w:type="dxa" w:w="10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47 $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12 $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9 $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68 </w:t>
            </w:r>
          </w:p>
        </w:tc>
        <w:tc>
          <w:tcPr>
            <w:tcW w:type="dxa" w:w="3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98 $ 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25 $ 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18 $ </w:t>
            </w:r>
          </w:p>
        </w:tc>
        <w:tc>
          <w:tcPr>
            <w:tcW w:type="dxa" w:w="5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141 </w:t>
            </w:r>
          </w:p>
        </w:tc>
      </w:tr>
      <w:tr>
        <w:trPr>
          <w:trHeight w:hRule="exact" w:val="494"/>
        </w:trPr>
        <w:tc>
          <w:tcPr>
            <w:tcW w:type="dxa" w:w="20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IDA’s share</w:t>
            </w:r>
          </w:p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59 </w:t>
            </w:r>
          </w:p>
        </w:tc>
        <w:tc>
          <w:tcPr>
            <w:tcW w:type="dxa" w:w="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 </w:t>
            </w:r>
          </w:p>
        </w:tc>
        <w:tc>
          <w:tcPr>
            <w:tcW w:type="dxa" w:w="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 </w:t>
            </w:r>
          </w:p>
        </w:tc>
        <w:tc>
          <w:tcPr>
            <w:tcW w:type="dxa" w:w="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 </w:t>
            </w:r>
          </w:p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8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114 </w:t>
            </w:r>
          </w:p>
        </w:tc>
        <w:tc>
          <w:tcPr>
            <w:tcW w:type="dxa" w:w="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</w:t>
            </w:r>
          </w:p>
        </w:tc>
        <w:tc>
          <w:tcPr>
            <w:tcW w:type="dxa" w:w="7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 </w:t>
            </w:r>
          </w:p>
        </w:tc>
        <w:tc>
          <w:tcPr>
            <w:tcW w:type="dxa" w:w="5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165 </w:t>
            </w:r>
          </w:p>
        </w:tc>
      </w:tr>
    </w:tbl>
    <w:p>
      <w:pPr>
        <w:autoSpaceDN w:val="0"/>
        <w:autoSpaceDE w:val="0"/>
        <w:widowControl/>
        <w:spacing w:line="222" w:lineRule="exact" w:before="254" w:after="0"/>
        <w:ind w:left="62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K2.1:</w:t>
      </w:r>
    </w:p>
    <w:p>
      <w:pPr>
        <w:autoSpaceDN w:val="0"/>
        <w:autoSpaceDE w:val="0"/>
        <w:widowControl/>
        <w:spacing w:line="178" w:lineRule="exact" w:before="62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</w:tblGrid>
      <w:tr>
        <w:trPr>
          <w:trHeight w:hRule="exact" w:val="240"/>
        </w:trPr>
        <w:tc>
          <w:tcPr>
            <w:tcW w:type="dxa" w:w="27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1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480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8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Three Months Ended</w:t>
            </w:r>
          </w:p>
        </w:tc>
        <w:tc>
          <w:tcPr>
            <w:tcW w:type="dxa" w:w="63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5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480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8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Six Months Ended</w:t>
            </w:r>
          </w:p>
        </w:tc>
        <w:tc>
          <w:tcPr>
            <w:tcW w:type="dxa" w:w="63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248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2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December 31, 2023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248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2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December 31, 2023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27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SRP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RSBP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PEBP</w:t>
            </w:r>
          </w:p>
        </w:tc>
        <w:tc>
          <w:tcPr>
            <w:tcW w:type="dxa" w:w="6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2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SRP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RSBP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PEBP</w:t>
            </w:r>
          </w:p>
        </w:tc>
        <w:tc>
          <w:tcPr>
            <w:tcW w:type="dxa" w:w="6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</w:tr>
      <w:tr>
        <w:trPr>
          <w:trHeight w:hRule="exact" w:val="556"/>
        </w:trPr>
        <w:tc>
          <w:tcPr>
            <w:tcW w:type="dxa" w:w="27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Service cost</w:t>
            </w:r>
          </w:p>
        </w:tc>
        <w:tc>
          <w:tcPr>
            <w:tcW w:type="dxa" w:w="2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100 $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28 $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21 $ </w:t>
            </w:r>
          </w:p>
        </w:tc>
        <w:tc>
          <w:tcPr>
            <w:tcW w:type="dxa" w:w="6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149 </w:t>
            </w:r>
          </w:p>
        </w:tc>
        <w:tc>
          <w:tcPr>
            <w:tcW w:type="dxa" w:w="2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200 $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56 $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41 $ </w:t>
            </w:r>
          </w:p>
        </w:tc>
        <w:tc>
          <w:tcPr>
            <w:tcW w:type="dxa" w:w="6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297 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30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Of which: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</w:tblGrid>
      <w:tr>
        <w:trPr>
          <w:trHeight w:hRule="exact" w:val="224"/>
        </w:trPr>
        <w:tc>
          <w:tcPr>
            <w:tcW w:type="dxa" w:w="2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IBRD’s share</w:t>
            </w:r>
          </w:p>
        </w:tc>
        <w:tc>
          <w:tcPr>
            <w:tcW w:type="dxa" w:w="10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46 $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13 $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9 $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68 </w:t>
            </w:r>
          </w:p>
        </w:tc>
        <w:tc>
          <w:tcPr>
            <w:tcW w:type="dxa" w:w="3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93 $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26 $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19 $ </w:t>
            </w:r>
          </w:p>
        </w:tc>
        <w:tc>
          <w:tcPr>
            <w:tcW w:type="dxa" w:w="5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138 </w:t>
            </w:r>
          </w:p>
        </w:tc>
      </w:tr>
      <w:tr>
        <w:trPr>
          <w:trHeight w:hRule="exact" w:val="570"/>
        </w:trPr>
        <w:tc>
          <w:tcPr>
            <w:tcW w:type="dxa" w:w="20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IDA’s share</w:t>
            </w:r>
          </w:p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54 </w:t>
            </w:r>
          </w:p>
        </w:tc>
        <w:tc>
          <w:tcPr>
            <w:tcW w:type="dxa" w:w="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 </w:t>
            </w:r>
          </w:p>
        </w:tc>
        <w:tc>
          <w:tcPr>
            <w:tcW w:type="dxa" w:w="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 </w:t>
            </w:r>
          </w:p>
        </w:tc>
        <w:tc>
          <w:tcPr>
            <w:tcW w:type="dxa" w:w="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81 </w:t>
            </w:r>
          </w:p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8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107 </w:t>
            </w:r>
          </w:p>
        </w:tc>
        <w:tc>
          <w:tcPr>
            <w:tcW w:type="dxa" w:w="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</w:t>
            </w:r>
          </w:p>
        </w:tc>
        <w:tc>
          <w:tcPr>
            <w:tcW w:type="dxa" w:w="7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 </w:t>
            </w:r>
          </w:p>
        </w:tc>
        <w:tc>
          <w:tcPr>
            <w:tcW w:type="dxa" w:w="5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159 </w:t>
            </w:r>
          </w:p>
        </w:tc>
      </w:tr>
    </w:tbl>
    <w:p>
      <w:pPr>
        <w:autoSpaceDN w:val="0"/>
        <w:autoSpaceDE w:val="0"/>
        <w:widowControl/>
        <w:spacing w:line="246" w:lineRule="exact" w:before="30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NOTE L—CONTINGENCIES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From time to time, IBRD may be named as a defendant or co-defendant in legal actions on different grounds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various jurisdictions. The outcome of any existing legal action, in which IBRD has been named as a defendant or co-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defendant, as of and for the six months ended December 31, 2024, is not expected to have a material adverse effect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on IBRD's financial position, results of operations or cash flows.</w:t>
      </w:r>
    </w:p>
    <w:p>
      <w:pPr>
        <w:autoSpaceDN w:val="0"/>
        <w:autoSpaceDE w:val="0"/>
        <w:widowControl/>
        <w:spacing w:line="224" w:lineRule="exact" w:before="570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62     IBRD Condensed Quarterly Financial Statements: December 31, 2024 (Unaudited)</w:t>
      </w:r>
    </w:p>
    <w:p>
      <w:pPr>
        <w:sectPr>
          <w:pgSz w:w="12240" w:h="15840"/>
          <w:pgMar w:top="700" w:right="1372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>INDEPENDENT AUDITOR'S REVIEW REPORT</w:t>
      </w:r>
    </w:p>
    <w:p>
      <w:pPr>
        <w:autoSpaceDN w:val="0"/>
        <w:autoSpaceDE w:val="0"/>
        <w:widowControl/>
        <w:spacing w:line="240" w:lineRule="auto" w:before="4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7016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4" w:lineRule="exact" w:before="1734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63</w:t>
      </w:r>
    </w:p>
    <w:p>
      <w:pPr>
        <w:sectPr>
          <w:pgSz w:w="12240" w:h="15840"/>
          <w:pgMar w:top="696" w:right="142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3596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4" w:lineRule="exact" w:before="974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64</w:t>
      </w:r>
    </w:p>
    <w:sectPr w:rsidR="00FC693F" w:rsidRPr="0006063C" w:rsidSect="00034616">
      <w:pgSz w:w="12240" w:h="15840"/>
      <w:pgMar w:top="720" w:right="1420" w:bottom="36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