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2"/>
        <w:ind w:left="0" w:right="0"/>
      </w:pPr>
    </w:p>
    <w:p>
      <w:pPr>
        <w:autoSpaceDN w:val="0"/>
        <w:tabs>
          <w:tab w:pos="3388" w:val="left"/>
        </w:tabs>
        <w:autoSpaceDE w:val="0"/>
        <w:widowControl/>
        <w:spacing w:line="614" w:lineRule="exact" w:before="0" w:after="0"/>
        <w:ind w:left="628" w:right="432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International Bank for Reconstruction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>Development</w:t>
      </w:r>
    </w:p>
    <w:p>
      <w:pPr>
        <w:autoSpaceDN w:val="0"/>
        <w:autoSpaceDE w:val="0"/>
        <w:widowControl/>
        <w:spacing w:line="240" w:lineRule="auto" w:before="95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432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638" w:lineRule="exact" w:before="716" w:after="0"/>
        <w:ind w:left="432" w:right="432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Management’s Discussion &amp; Analysis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and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Condensed Quarterly Financial Statements </w:t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March 31, 2025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>(Unaudited)</w:t>
      </w:r>
    </w:p>
    <w:p>
      <w:pPr>
        <w:sectPr>
          <w:pgSz w:w="12240" w:h="15840"/>
          <w:pgMar w:top="1020" w:right="1440" w:bottom="1440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88"/>
      </w:tblGrid>
      <w:tr>
        <w:trPr>
          <w:trHeight w:hRule="exact" w:val="284"/>
        </w:trPr>
        <w:tc>
          <w:tcPr>
            <w:tcW w:type="dxa" w:w="9368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9368"/>
            </w:tblGrid>
            <w:tr>
              <w:trPr>
                <w:trHeight w:hRule="exact" w:val="264"/>
              </w:trPr>
              <w:tc>
                <w:tcPr>
                  <w:tcW w:type="dxa" w:w="3960"/>
                  <w:tcBorders/>
                  <w:shd w:fill="7f7f7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2" w:lineRule="exact" w:before="42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18"/>
                    </w:rPr>
                    <w:t>Management’s Discussion and Analysis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14" w:lineRule="exact" w:before="246" w:after="328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Contents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3129"/>
        <w:gridCol w:w="3129"/>
        <w:gridCol w:w="3129"/>
      </w:tblGrid>
      <w:tr>
        <w:trPr>
          <w:trHeight w:hRule="exact" w:val="308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Section I: Executive Summary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Summary Financial Results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trHeight w:hRule="exact" w:val="28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Section II: Overview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8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Financial Business Model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8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trHeight w:hRule="exact" w:val="296"/>
        </w:trPr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Section III: Financial Results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Basis of Reporting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rPr>
          <w:trHeight w:hRule="exact" w:val="284"/>
        </w:trPr>
        <w:tc>
          <w:tcPr>
            <w:tcW w:type="dxa" w:w="3129"/>
            <w:vMerge/>
            <w:tcBorders/>
          </w:tcPr>
          <w:p/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Financial Results and Portfolio Performance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9</w:t>
            </w:r>
          </w:p>
        </w:tc>
      </w:tr>
      <w:tr>
        <w:trPr>
          <w:trHeight w:hRule="exact" w:val="288"/>
        </w:trPr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1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Section IV: Risk Management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Net Income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rPr>
          <w:trHeight w:hRule="exact" w:val="272"/>
        </w:trPr>
        <w:tc>
          <w:tcPr>
            <w:tcW w:type="dxa" w:w="3129"/>
            <w:vMerge/>
            <w:tcBorders/>
          </w:tcPr>
          <w:p/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Risk Governance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18</w:t>
            </w:r>
          </w:p>
        </w:tc>
      </w:tr>
      <w:tr>
        <w:trPr>
          <w:trHeight w:hRule="exact" w:val="298"/>
        </w:trPr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 xml:space="preserve">Section V: Governance </w:t>
            </w:r>
          </w:p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Management of IBRD's Risks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18</w:t>
            </w:r>
          </w:p>
        </w:tc>
      </w:tr>
      <w:tr>
        <w:trPr>
          <w:trHeight w:hRule="exact" w:val="314"/>
        </w:trPr>
        <w:tc>
          <w:tcPr>
            <w:tcW w:type="dxa" w:w="3129"/>
            <w:vMerge/>
            <w:tcBorders/>
          </w:tcPr>
          <w:p/>
        </w:tc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" w:after="0"/>
              <w:ind w:left="7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Senior Management Changes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312" w:lineRule="exact" w:before="50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Tables</w:t>
      </w:r>
    </w:p>
    <w:p>
      <w:pPr>
        <w:autoSpaceDN w:val="0"/>
        <w:tabs>
          <w:tab w:pos="9088" w:val="left"/>
          <w:tab w:pos="9104" w:val="left"/>
          <w:tab w:pos="9200" w:val="left"/>
        </w:tabs>
        <w:autoSpaceDE w:val="0"/>
        <w:widowControl/>
        <w:spacing w:line="286" w:lineRule="exact" w:before="28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1: Selected Financial Data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2: Condensed Statements of Income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3: Condensed Balance Sheets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4: Gross Disbursements by Region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5: Net Commitments by Region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12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6: Net Other Revenue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14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7: Net Non-Interest Expenses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15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8: Unrealized Mark-to-market Gains / (Losses) on Non-trading Portfolios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15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9: Equity-to-Loans Ratio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20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10: Usable Paid-In Capital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20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11: Credit Enhancements Received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22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12: Commercial Credit Exposure, Net of Collateral Held, by Counterparty Rating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23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13: Non-Commercial Counterparty Credit Risk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24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Table 14: Liquidity Levels for FY25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25</w:t>
      </w:r>
    </w:p>
    <w:p>
      <w:pPr>
        <w:autoSpaceDN w:val="0"/>
        <w:autoSpaceDE w:val="0"/>
        <w:widowControl/>
        <w:spacing w:line="312" w:lineRule="exact" w:before="20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Figures</w:t>
      </w:r>
    </w:p>
    <w:p>
      <w:pPr>
        <w:autoSpaceDN w:val="0"/>
        <w:tabs>
          <w:tab w:pos="9088" w:val="left"/>
          <w:tab w:pos="9104" w:val="left"/>
          <w:tab w:pos="9200" w:val="left"/>
        </w:tabs>
        <w:autoSpaceDE w:val="0"/>
        <w:widowControl/>
        <w:spacing w:line="284" w:lineRule="exact" w:before="3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1: Sources and Uses of Revenue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7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2: Loans interest revenue and funding cost (including related derivatives)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3: Loan interest revenue, net of funding costs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4: Change in Net Loans Outstanding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5: Net Loans Outstanding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6: Net Investment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13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7: Investment Revenue, net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13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8: Borrowing Portfolio (original maturities)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13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9: Net Non-Interest Expenses (GAAP basis)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14 </w:t>
      </w: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Figure 10: Country Exposures as of March 31, 2025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21</w:t>
      </w:r>
    </w:p>
    <w:p>
      <w:pPr>
        <w:autoSpaceDN w:val="0"/>
        <w:autoSpaceDE w:val="0"/>
        <w:widowControl/>
        <w:spacing w:line="224" w:lineRule="exact" w:before="3098" w:after="0"/>
        <w:ind w:left="0" w:right="24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</w:t>
      </w:r>
    </w:p>
    <w:p>
      <w:pPr>
        <w:sectPr>
          <w:pgSz w:w="12240" w:h="15840"/>
          <w:pgMar w:top="250" w:right="1416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60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312" w:lineRule="exact" w:before="182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I: Executive Summary</w:t>
      </w:r>
    </w:p>
    <w:p>
      <w:pPr>
        <w:autoSpaceDN w:val="0"/>
        <w:autoSpaceDE w:val="0"/>
        <w:widowControl/>
        <w:spacing w:line="240" w:lineRule="exact" w:before="19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Management’s Discussion and Analysis (MD&amp;A) reflects the results of the International Bank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Reconstruction and Development’s (IBRD’s) financial performance for the nine months ended March 31, 2025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(FY25 YTD). This document should be read in conjunction with IBRD’s Financial Statements and MD&amp;A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fiscal year ended June 30, 2024 (FY24). IBRD undertakes no obligation to update any forward-looking statements.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Certain reclassifications of prior years’ information have been made to conform with the current year’s presentation. </w:t>
      </w:r>
    </w:p>
    <w:p>
      <w:pPr>
        <w:autoSpaceDN w:val="0"/>
        <w:autoSpaceDE w:val="0"/>
        <w:widowControl/>
        <w:spacing w:line="250" w:lineRule="exact" w:before="274" w:after="0"/>
        <w:ind w:left="10" w:right="360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Table 1: Selected Financial Data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In millions of U.S. dollars, except ratios which are in percentages</w:t>
      </w:r>
    </w:p>
    <w:p>
      <w:pPr>
        <w:autoSpaceDN w:val="0"/>
        <w:autoSpaceDE w:val="0"/>
        <w:widowControl/>
        <w:spacing w:line="180" w:lineRule="exact" w:before="344" w:after="6"/>
        <w:ind w:left="0" w:right="136" w:firstLine="0"/>
        <w:jc w:val="right"/>
      </w:pPr>
      <w:r>
        <w:rPr>
          <w:rFonts w:ascii="Arial" w:hAnsi="Arial" w:eastAsia="Arial"/>
          <w:b w:val="0"/>
          <w:i/>
          <w:color w:val="6D6D6D"/>
          <w:sz w:val="16"/>
        </w:rPr>
        <w:t xml:space="preserve">As of and for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147"/>
        <w:gridCol w:w="3147"/>
        <w:gridCol w:w="3147"/>
      </w:tblGrid>
      <w:tr>
        <w:trPr>
          <w:trHeight w:hRule="exact" w:val="408"/>
        </w:trPr>
        <w:tc>
          <w:tcPr>
            <w:tcW w:type="dxa" w:w="7944"/>
            <w:gridSpan w:val="2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0" w:after="0"/>
              <w:ind w:left="5616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 xml:space="preserve">As of and for the nine months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>ended March 31,</w:t>
            </w:r>
          </w:p>
        </w:tc>
        <w:tc>
          <w:tcPr>
            <w:tcW w:type="dxa" w:w="141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 xml:space="preserve">fiscal year ended </w:t>
            </w: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>June 30,</w:t>
            </w:r>
          </w:p>
        </w:tc>
      </w:tr>
      <w:tr>
        <w:trPr>
          <w:trHeight w:hRule="exact" w:val="240"/>
        </w:trPr>
        <w:tc>
          <w:tcPr>
            <w:tcW w:type="dxa" w:w="6784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0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>2025</w:t>
            </w:r>
          </w:p>
        </w:tc>
        <w:tc>
          <w:tcPr>
            <w:tcW w:type="dxa" w:w="1160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>2024</w:t>
            </w:r>
          </w:p>
        </w:tc>
        <w:tc>
          <w:tcPr>
            <w:tcW w:type="dxa" w:w="1410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6D6D6D"/>
                <w:sz w:val="16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180" w:lineRule="exact" w:before="26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Lending Highlights (Section III)</w:t>
      </w:r>
    </w:p>
    <w:p>
      <w:pPr>
        <w:autoSpaceDN w:val="0"/>
        <w:autoSpaceDE w:val="0"/>
        <w:widowControl/>
        <w:spacing w:line="180" w:lineRule="exact" w:before="60" w:after="2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Loans and Guarantees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commitments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27,723 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24,767 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37,568 </w:t>
            </w:r>
          </w:p>
        </w:tc>
      </w:tr>
      <w:tr>
        <w:trPr>
          <w:trHeight w:hRule="exact" w:val="240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Gross disbursements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22,102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25,952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33,450 </w:t>
            </w:r>
          </w:p>
        </w:tc>
      </w:tr>
      <w:tr>
        <w:trPr>
          <w:trHeight w:hRule="exact" w:val="280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disbursements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11,907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16,364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20,115 </w:t>
            </w:r>
          </w:p>
        </w:tc>
      </w:tr>
    </w:tbl>
    <w:p>
      <w:pPr>
        <w:autoSpaceDN w:val="0"/>
        <w:autoSpaceDE w:val="0"/>
        <w:widowControl/>
        <w:spacing w:line="178" w:lineRule="exact" w:before="226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Income Statement (Section III)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24"/>
        </w:trPr>
        <w:tc>
          <w:tcPr>
            <w:tcW w:type="dxa" w:w="4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Board of Governors-approved and other transfers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(815) </w:t>
            </w:r>
          </w:p>
        </w:tc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(371) 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(371) </w:t>
            </w:r>
          </w:p>
        </w:tc>
      </w:tr>
      <w:tr>
        <w:trPr>
          <w:trHeight w:hRule="exact" w:val="284"/>
        </w:trPr>
        <w:tc>
          <w:tcPr>
            <w:tcW w:type="dxa" w:w="4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income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1,236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1,185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2,142 </w:t>
            </w:r>
          </w:p>
        </w:tc>
      </w:tr>
    </w:tbl>
    <w:p>
      <w:pPr>
        <w:autoSpaceDN w:val="0"/>
        <w:autoSpaceDE w:val="0"/>
        <w:widowControl/>
        <w:spacing w:line="180" w:lineRule="exact" w:before="226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Balance Sheet (Section III)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2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Total assets 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390,145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$ 347,185 </w:t>
            </w:r>
          </w:p>
        </w:tc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356,612 </w:t>
            </w:r>
          </w:p>
        </w:tc>
      </w:tr>
      <w:tr>
        <w:trPr>
          <w:trHeight w:hRule="exact" w:val="26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investment portfolio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102,653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75,809 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82,680 </w:t>
            </w:r>
          </w:p>
        </w:tc>
      </w:tr>
      <w:tr>
        <w:trPr>
          <w:trHeight w:hRule="exact" w:val="22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loans outstanding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272,532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257,051 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260,236 </w:t>
            </w:r>
          </w:p>
        </w:tc>
      </w:tr>
      <w:tr>
        <w:trPr>
          <w:trHeight w:hRule="exact" w:val="26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Borrowing portfolio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316,385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277,817 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287,117 </w:t>
            </w:r>
          </w:p>
        </w:tc>
      </w:tr>
      <w:tr>
        <w:trPr>
          <w:trHeight w:hRule="exact" w:val="27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equity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66,519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62,342 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63,484 </w:t>
            </w:r>
          </w:p>
        </w:tc>
      </w:tr>
    </w:tbl>
    <w:p>
      <w:pPr>
        <w:autoSpaceDN w:val="0"/>
        <w:autoSpaceDE w:val="0"/>
        <w:widowControl/>
        <w:spacing w:line="178" w:lineRule="exact" w:before="226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Non-GAAP Measures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36"/>
        </w:trPr>
        <w:tc>
          <w:tcPr>
            <w:tcW w:type="dxa" w:w="4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Allocable Income (Section III)</w:t>
            </w:r>
          </w:p>
        </w:tc>
        <w:tc>
          <w:tcPr>
            <w:tcW w:type="dxa" w:w="178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1,790 </w:t>
            </w:r>
          </w:p>
        </w:tc>
        <w:tc>
          <w:tcPr>
            <w:tcW w:type="dxa" w:w="30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1,415 </w:t>
            </w:r>
          </w:p>
        </w:tc>
        <w:tc>
          <w:tcPr>
            <w:tcW w:type="dxa" w:w="42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1,849 </w:t>
            </w:r>
          </w:p>
        </w:tc>
      </w:tr>
      <w:tr>
        <w:trPr>
          <w:trHeight w:hRule="exact" w:val="240"/>
        </w:trPr>
        <w:tc>
          <w:tcPr>
            <w:tcW w:type="dxa" w:w="4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Usable Equity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(Section IV)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55,595 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53,653 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54,655 </w:t>
            </w:r>
          </w:p>
        </w:tc>
      </w:tr>
      <w:tr>
        <w:trPr>
          <w:trHeight w:hRule="exact" w:val="488"/>
        </w:trPr>
        <w:tc>
          <w:tcPr>
            <w:tcW w:type="dxa" w:w="41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Equity-to-Loans Ratio (Section IV)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8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21.3 %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8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21.4 %</w:t>
            </w:r>
          </w:p>
        </w:tc>
        <w:tc>
          <w:tcPr>
            <w:tcW w:type="dxa" w:w="1349"/>
            <w:vMerge/>
            <w:tcBorders>
              <w:bottom w:sz="4.0" w:val="single" w:color="#929292"/>
            </w:tcBorders>
          </w:tcPr>
          <w:p/>
        </w:tc>
        <w:tc>
          <w:tcPr>
            <w:tcW w:type="dxa" w:w="97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21.5 %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1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Commitments that have been approved by the Executive Directors (referred to as “the Board” in this document) and are net of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full terminations and cancellations relating to commitments approved in the same fiscal year. 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For the composition of the net investment portfolio, see Notes to the Condensed Quarterly Financial Statements, Note C -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Investments - Table C3.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Includes associated derivatives.</w:t>
      </w:r>
    </w:p>
    <w:p>
      <w:pPr>
        <w:autoSpaceDN w:val="0"/>
        <w:autoSpaceDE w:val="0"/>
        <w:widowControl/>
        <w:spacing w:line="224" w:lineRule="exact" w:before="4282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     IBRD Management's Discussion and Analysis: March 31, 2025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60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240" w:lineRule="exact" w:before="10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mission is to end extreme poverty and boost shared prosperity on a livable planet by providing countries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with loans, guarantees, advisory services, analytical support and other products.</w:t>
      </w:r>
    </w:p>
    <w:p>
      <w:pPr>
        <w:autoSpaceDN w:val="0"/>
        <w:autoSpaceDE w:val="0"/>
        <w:widowControl/>
        <w:spacing w:line="224" w:lineRule="exact" w:before="13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and its affiliated institutions seek to help countries in reducing poverty and inequality, and achieve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improvements in economic growth, job creation, governance, human capital, infrastructure, and debt transparency,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among others. To meet its development goals, the World Bank Group (WBG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1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) supports client countries' efforts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implement programs to improve growth and development outcomes with a vision to create a world free of poverty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a livable planet. Further, new and ongoing factors continue to influence the global outlook, including: global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uncertainties, migration surges, youth unemployment, energy access, climate adaptation and mitigation,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growing fragility. IBRD continues to work with partners at global and country levels and its borrowing countries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maximize impact for development by efficiently channeling resources into projects that create jobs, drive growth,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reduce poverty, and improve living standards. To further support these efforts, the Board and Management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been reforming the WBG to better address the scale of development needs. This process includes initiatives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impact, expand financing capacity, support projects that address global challenges with cross border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externalities, and modernize the approach to delivery.</w:t>
      </w:r>
    </w:p>
    <w:p>
      <w:pPr>
        <w:autoSpaceDN w:val="0"/>
        <w:autoSpaceDE w:val="0"/>
        <w:widowControl/>
        <w:spacing w:line="192" w:lineRule="exact" w:before="9816" w:after="0"/>
        <w:ind w:left="100" w:right="22" w:hanging="90"/>
        <w:jc w:val="both"/>
      </w:pPr>
      <w:r>
        <w:rPr>
          <w:w w:val="103.99999618530273"/>
          <w:rFonts w:ascii="Arial" w:hAnsi="Arial" w:eastAsia="Arial"/>
          <w:b w:val="0"/>
          <w:i/>
          <w:color w:val="000000"/>
          <w:sz w:val="10"/>
        </w:rPr>
        <w:t>1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 The other WBG institutions are the International Development Association (IDA), the International Finance Corporation (IFC), the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Multilateral Investment Guarantee Agency (MIGA), and the International Centre for Settlement of Investment Disputes (ICSID). The </w:t>
      </w:r>
      <w:r>
        <w:rPr>
          <w:rFonts w:ascii="Arial" w:hAnsi="Arial" w:eastAsia="Arial"/>
          <w:b w:val="0"/>
          <w:i/>
          <w:color w:val="000000"/>
          <w:sz w:val="16"/>
        </w:rPr>
        <w:t>World Bank consists of IBRD and IDA.</w:t>
      </w:r>
    </w:p>
    <w:p>
      <w:pPr>
        <w:autoSpaceDN w:val="0"/>
        <w:autoSpaceDE w:val="0"/>
        <w:widowControl/>
        <w:spacing w:line="224" w:lineRule="exact" w:before="628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3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6"/>
        <w:gridCol w:w="4716"/>
      </w:tblGrid>
      <w:tr>
        <w:trPr>
          <w:trHeight w:hRule="exact" w:val="286"/>
        </w:trPr>
        <w:tc>
          <w:tcPr>
            <w:tcW w:type="dxa" w:w="3960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268" w:lineRule="exact" w:before="122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Summary Financial Results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Net Income </w:t>
      </w:r>
    </w:p>
    <w:p>
      <w:pPr>
        <w:autoSpaceDN w:val="0"/>
        <w:autoSpaceDE w:val="0"/>
        <w:widowControl/>
        <w:spacing w:line="240" w:lineRule="exact" w:before="7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net income was $1,236 million for the first nine months of FY25, compared with net income of $1,185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during the same period in FY24. The $51 million increase was primarily due to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on IBRD’s non-trading portfolios in FY25 YTD, as compared to unrealized mark-to-market losses in FY24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YTD, and an increase in net revenue on interest earning assets. These were partially offset by higher Board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Governors-approved transfers of $444 million. The $815 million of Board of Governors-approved transfers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expensed as grants upon approval by the Board of Governors in FY25 YTD, and were funded from IBRD's prior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years' allocable income.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Allocable Income </w:t>
      </w:r>
    </w:p>
    <w:p>
      <w:pPr>
        <w:autoSpaceDN w:val="0"/>
        <w:autoSpaceDE w:val="0"/>
        <w:widowControl/>
        <w:spacing w:line="240" w:lineRule="exact" w:before="7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Allocable income is the measure IBRD uses for making net income allocation decisions. Given IBRD’s intention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maintain its non-trading portfolio positions to maturity, unrealized mark-to-market gains and losses for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portfolios are not included in IBRD’s allocable income. In addition, Board of Governors-approved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transfers are also excluded from IBRD's allocable income since these amounts relate to allocations out of prior 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allocable income, surplus, or restricted retained earnings.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FY25 YTD, allocable income was $1,790 million, an increase of $375 million from the same period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FY24. The increase was primarily due to the increase in net revenue on interest earning assets in FY25 YTD,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compared to FY24 YTD (Section III and Section IV). </w:t>
      </w:r>
    </w:p>
    <w:p>
      <w:pPr>
        <w:autoSpaceDN w:val="0"/>
        <w:autoSpaceDE w:val="0"/>
        <w:widowControl/>
        <w:spacing w:line="178" w:lineRule="exact" w:before="150" w:after="0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 - YTD</w:t>
      </w:r>
    </w:p>
    <w:p>
      <w:pPr>
        <w:autoSpaceDN w:val="0"/>
        <w:autoSpaceDE w:val="0"/>
        <w:widowControl/>
        <w:spacing w:line="164" w:lineRule="exact" w:before="116" w:after="0"/>
        <w:ind w:left="904" w:right="5328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4"/>
        </w:rPr>
        <w:t xml:space="preserve">Allocable Income </w:t>
      </w:r>
      <w:r>
        <w:br/>
      </w:r>
      <w:r>
        <w:rPr>
          <w:rFonts w:ascii="ArialMT" w:hAnsi="ArialMT" w:eastAsia="ArialMT"/>
          <w:b w:val="0"/>
          <w:i w:val="0"/>
          <w:color w:val="595959"/>
          <w:sz w:val="14"/>
        </w:rPr>
        <w:t xml:space="preserve">Net Income </w:t>
      </w:r>
      <w:r>
        <w:br/>
      </w:r>
      <w:r>
        <w:rPr>
          <w:rFonts w:ascii="ArialMT" w:hAnsi="ArialMT" w:eastAsia="ArialMT"/>
          <w:b w:val="0"/>
          <w:i w:val="0"/>
          <w:color w:val="595959"/>
          <w:sz w:val="14"/>
        </w:rPr>
        <w:t>Unrealized Gains (Losses) on non-trading portfolios</w:t>
      </w:r>
    </w:p>
    <w:p>
      <w:pPr>
        <w:autoSpaceDN w:val="0"/>
        <w:autoSpaceDE w:val="0"/>
        <w:widowControl/>
        <w:spacing w:line="178" w:lineRule="exact" w:before="66" w:after="100"/>
        <w:ind w:left="84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2,400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16"/>
        <w:gridCol w:w="4716"/>
      </w:tblGrid>
      <w:tr>
        <w:trPr>
          <w:trHeight w:hRule="exact" w:val="1496"/>
        </w:trPr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1,800 </w:t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1,200 </w:t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600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6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51100" cy="863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0" cy="86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80" w:lineRule="exact" w:before="136" w:after="16"/>
        <w:ind w:left="164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-600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4.00000000000006" w:type="dxa"/>
      </w:tblPr>
      <w:tblGrid>
        <w:gridCol w:w="1886"/>
        <w:gridCol w:w="1886"/>
        <w:gridCol w:w="1886"/>
        <w:gridCol w:w="1886"/>
        <w:gridCol w:w="1886"/>
      </w:tblGrid>
      <w:tr>
        <w:trPr>
          <w:trHeight w:hRule="exact" w:val="254"/>
        </w:trPr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FY25</w:t>
            </w:r>
          </w:p>
        </w:tc>
      </w:tr>
    </w:tbl>
    <w:p>
      <w:pPr>
        <w:autoSpaceDN w:val="0"/>
        <w:autoSpaceDE w:val="0"/>
        <w:widowControl/>
        <w:spacing w:line="244" w:lineRule="exact" w:before="8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Lending Operations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lending operations during the first nine months of FY25 provided $27.7 billion of net commitments, $22.1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 of gross loan disbursements (Table 4), and $11.9 billion of net loan disbursements. Net loans outstanding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were $272.5 billion as of March 31, 2025.</w:t>
      </w:r>
    </w:p>
    <w:p>
      <w:pPr>
        <w:autoSpaceDN w:val="0"/>
        <w:autoSpaceDE w:val="0"/>
        <w:widowControl/>
        <w:spacing w:line="178" w:lineRule="exact" w:before="150" w:after="162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.00000000000006" w:type="dxa"/>
      </w:tblPr>
      <w:tblGrid>
        <w:gridCol w:w="1347"/>
        <w:gridCol w:w="1347"/>
        <w:gridCol w:w="1347"/>
        <w:gridCol w:w="1347"/>
        <w:gridCol w:w="1347"/>
        <w:gridCol w:w="1347"/>
        <w:gridCol w:w="1347"/>
      </w:tblGrid>
      <w:tr>
        <w:trPr>
          <w:trHeight w:hRule="exact" w:val="302"/>
        </w:trPr>
        <w:tc>
          <w:tcPr>
            <w:tcW w:type="dxa" w:w="528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74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595959"/>
                <w:sz w:val="16"/>
              </w:rPr>
              <w:t>Net Commitments YTD</w:t>
            </w:r>
          </w:p>
        </w:tc>
        <w:tc>
          <w:tcPr>
            <w:tcW w:type="dxa" w:w="1066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74"/>
            <w:gridSpan w:val="2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494949"/>
                <w:sz w:val="16"/>
              </w:rPr>
              <w:t>Disbursements YTD</w:t>
            </w:r>
          </w:p>
        </w:tc>
        <w:tc>
          <w:tcPr>
            <w:tcW w:type="dxa" w:w="838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4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2460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1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595959"/>
                <w:sz w:val="16"/>
              </w:rPr>
              <w:t>Net Loans outstanding</w:t>
            </w:r>
          </w:p>
        </w:tc>
      </w:tr>
      <w:tr>
        <w:trPr>
          <w:trHeight w:hRule="exact" w:val="90"/>
        </w:trPr>
        <w:tc>
          <w:tcPr>
            <w:tcW w:type="dxa" w:w="528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30</w:t>
            </w:r>
          </w:p>
        </w:tc>
        <w:tc>
          <w:tcPr>
            <w:tcW w:type="dxa" w:w="2174"/>
            <w:vMerge w:val="restart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4300" cy="495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495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66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30</w:t>
            </w:r>
          </w:p>
        </w:tc>
        <w:tc>
          <w:tcPr>
            <w:tcW w:type="dxa" w:w="2174"/>
            <w:gridSpan w:val="2"/>
            <w:vMerge w:val="restart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4300" cy="317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31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2460"/>
            <w:vMerge w:val="restart"/>
            <w:tcBorders>
              <w:top w:sz="6.0" w:val="single" w:color="#E5E6E5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22400" cy="2413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0" cy="241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76"/>
        </w:trPr>
        <w:tc>
          <w:tcPr>
            <w:tcW w:type="dxa" w:w="1347"/>
            <w:vMerge/>
            <w:tcBorders>
              <w:top w:sz="6.0" w:val="single" w:color="#E5E6E5"/>
            </w:tcBorders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0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4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25</w:t>
            </w:r>
          </w:p>
        </w:tc>
        <w:tc>
          <w:tcPr>
            <w:tcW w:type="dxa" w:w="2694"/>
            <w:gridSpan w:val="2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8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6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240</w:t>
            </w:r>
          </w:p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244"/>
        </w:trPr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25</w:t>
            </w:r>
          </w:p>
        </w:tc>
        <w:tc>
          <w:tcPr>
            <w:tcW w:type="dxa" w:w="1347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/>
          </w:tcPr>
          <w:p/>
        </w:tc>
        <w:tc>
          <w:tcPr>
            <w:tcW w:type="dxa" w:w="2694"/>
            <w:gridSpan w:val="2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/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110"/>
        </w:trPr>
        <w:tc>
          <w:tcPr>
            <w:tcW w:type="dxa" w:w="528"/>
            <w:vMerge w:val="restart"/>
            <w:tcBorders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8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20</w:t>
            </w:r>
          </w:p>
        </w:tc>
        <w:tc>
          <w:tcPr>
            <w:tcW w:type="dxa" w:w="1347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066"/>
            <w:vMerge w:val="restart"/>
            <w:tcBorders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20</w:t>
            </w:r>
          </w:p>
        </w:tc>
        <w:tc>
          <w:tcPr>
            <w:tcW w:type="dxa" w:w="2694"/>
            <w:gridSpan w:val="2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/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164"/>
        </w:trPr>
        <w:tc>
          <w:tcPr>
            <w:tcW w:type="dxa" w:w="1347"/>
            <w:vMerge/>
            <w:tcBorders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>
              <w:bottom w:sz="6.008936405181885" w:val="single" w:color="#E5E6E5"/>
            </w:tcBorders>
          </w:tcPr>
          <w:p/>
        </w:tc>
        <w:tc>
          <w:tcPr>
            <w:tcW w:type="dxa" w:w="2694"/>
            <w:gridSpan w:val="2"/>
            <w:vMerge/>
            <w:tcBorders>
              <w:top w:sz="6.0" w:val="single" w:color="#E5E6E5"/>
              <w:bottom w:sz="6.008936405181885" w:val="single" w:color="#E5E6E5"/>
            </w:tcBorders>
          </w:tcPr>
          <w:p/>
        </w:tc>
        <w:tc>
          <w:tcPr>
            <w:tcW w:type="dxa" w:w="838"/>
            <w:tcBorders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166"/>
        </w:trPr>
        <w:tc>
          <w:tcPr>
            <w:tcW w:type="dxa" w:w="528"/>
            <w:vMerge w:val="restart"/>
            <w:tcBorders>
              <w:top w:sz="6.008936405181885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15</w:t>
            </w:r>
          </w:p>
        </w:tc>
        <w:tc>
          <w:tcPr>
            <w:tcW w:type="dxa" w:w="2174"/>
            <w:vMerge w:val="restart"/>
            <w:tcBorders>
              <w:top w:sz="6.008936405181885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vMerge w:val="restart"/>
            <w:tcBorders>
              <w:top w:sz="6.008936405181885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6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15</w:t>
            </w:r>
          </w:p>
        </w:tc>
        <w:tc>
          <w:tcPr>
            <w:tcW w:type="dxa" w:w="2174"/>
            <w:gridSpan w:val="2"/>
            <w:vMerge w:val="restart"/>
            <w:tcBorders>
              <w:top w:sz="6.008936405181885" w:val="single" w:color="#E5E6E5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4300" cy="2667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266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8"/>
            <w:tcBorders>
              <w:top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180</w:t>
            </w:r>
          </w:p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180"/>
        </w:trPr>
        <w:tc>
          <w:tcPr>
            <w:tcW w:type="dxa" w:w="1347"/>
            <w:vMerge/>
            <w:tcBorders>
              <w:top w:sz="6.008936405181885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>
              <w:top w:sz="6.008936405181885" w:val="single" w:color="#E5E6E5"/>
              <w:bottom w:sz="6.008936405181885" w:val="single" w:color="#E5E6E5"/>
            </w:tcBorders>
          </w:tcPr>
          <w:p/>
        </w:tc>
        <w:tc>
          <w:tcPr>
            <w:tcW w:type="dxa" w:w="1347"/>
            <w:vMerge/>
            <w:tcBorders>
              <w:top w:sz="6.008936405181885" w:val="single" w:color="#E5E6E5"/>
              <w:bottom w:sz="6.008936405181885" w:val="single" w:color="#E5E6E5"/>
            </w:tcBorders>
          </w:tcPr>
          <w:p/>
        </w:tc>
        <w:tc>
          <w:tcPr>
            <w:tcW w:type="dxa" w:w="2694"/>
            <w:gridSpan w:val="2"/>
            <w:vMerge/>
            <w:tcBorders>
              <w:top w:sz="6.008936405181885" w:val="single" w:color="#E5E6E5"/>
              <w:bottom w:sz="6.0" w:val="single" w:color="#E5E6E5"/>
            </w:tcBorders>
          </w:tcPr>
          <w:p/>
        </w:tc>
        <w:tc>
          <w:tcPr>
            <w:tcW w:type="dxa" w:w="838"/>
            <w:tcBorders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124"/>
        </w:trPr>
        <w:tc>
          <w:tcPr>
            <w:tcW w:type="dxa" w:w="528"/>
            <w:tcBorders>
              <w:top w:sz="6.008936405181885" w:val="single" w:color="#E5E6E5"/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74"/>
            <w:tcBorders>
              <w:top w:sz="6.008936405181885" w:val="single" w:color="#E5E6E5"/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top w:sz="6.008936405181885" w:val="single" w:color="#E5E6E5"/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94"/>
            <w:gridSpan w:val="2"/>
            <w:vMerge/>
            <w:tcBorders>
              <w:top w:sz="6.008936405181885" w:val="single" w:color="#E5E6E5"/>
              <w:bottom w:sz="6.0" w:val="single" w:color="#E5E6E5"/>
            </w:tcBorders>
          </w:tcPr>
          <w:p/>
        </w:tc>
        <w:tc>
          <w:tcPr>
            <w:tcW w:type="dxa" w:w="838"/>
            <w:tcBorders>
              <w:top w:sz="6.008936405181885" w:val="single" w:color="#E5E6E5"/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120</w:t>
            </w:r>
          </w:p>
        </w:tc>
        <w:tc>
          <w:tcPr>
            <w:tcW w:type="dxa" w:w="1347"/>
            <w:vMerge/>
            <w:tcBorders>
              <w:top w:sz="6.0" w:val="single" w:color="#E5E6E5"/>
              <w:bottom w:sz="6.0" w:val="single" w:color="#E5E6E5"/>
            </w:tcBorders>
          </w:tcPr>
          <w:p/>
        </w:tc>
      </w:tr>
      <w:tr>
        <w:trPr>
          <w:trHeight w:hRule="exact" w:val="222"/>
        </w:trPr>
        <w:tc>
          <w:tcPr>
            <w:tcW w:type="dxa" w:w="528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10</w:t>
            </w:r>
          </w:p>
        </w:tc>
        <w:tc>
          <w:tcPr>
            <w:tcW w:type="dxa" w:w="2174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10</w:t>
            </w:r>
          </w:p>
        </w:tc>
        <w:tc>
          <w:tcPr>
            <w:tcW w:type="dxa" w:w="2174"/>
            <w:gridSpan w:val="2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9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FY21 FY22 FY23 FY24 FY25 </w:t>
            </w:r>
          </w:p>
        </w:tc>
        <w:tc>
          <w:tcPr>
            <w:tcW w:type="dxa" w:w="838"/>
            <w:tcBorders>
              <w:top w:sz="6.0" w:val="single" w:color="#E5E6E5"/>
              <w:bottom w:sz="6.008936405181885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6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9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21 Jun 22 Jun 23 Jun 24 Mar 25</w:t>
            </w:r>
          </w:p>
        </w:tc>
      </w:tr>
      <w:tr>
        <w:trPr>
          <w:trHeight w:hRule="exact" w:val="194"/>
        </w:trPr>
        <w:tc>
          <w:tcPr>
            <w:tcW w:type="dxa" w:w="528"/>
            <w:tcBorders>
              <w:top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5</w:t>
            </w:r>
          </w:p>
        </w:tc>
        <w:tc>
          <w:tcPr>
            <w:tcW w:type="dxa" w:w="2174"/>
            <w:vMerge w:val="restart"/>
            <w:tcBorders>
              <w:top w:sz="6.008936405181885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FY21 FY22</w:t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FY23</w:t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FY24</w:t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FY25</w:t>
            </w:r>
          </w:p>
        </w:tc>
        <w:tc>
          <w:tcPr>
            <w:tcW w:type="dxa" w:w="1066"/>
            <w:tcBorders>
              <w:top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5</w:t>
            </w:r>
          </w:p>
        </w:tc>
        <w:tc>
          <w:tcPr>
            <w:tcW w:type="dxa" w:w="2694"/>
            <w:gridSpan w:val="2"/>
            <w:vMerge/>
            <w:tcBorders>
              <w:top w:sz="6.0" w:val="single" w:color="#E5E6E5"/>
            </w:tcBorders>
          </w:tcPr>
          <w:p/>
        </w:tc>
        <w:tc>
          <w:tcPr>
            <w:tcW w:type="dxa" w:w="838"/>
            <w:tcBorders>
              <w:top w:sz="6.008936405181885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60</w:t>
            </w:r>
          </w:p>
        </w:tc>
        <w:tc>
          <w:tcPr>
            <w:tcW w:type="dxa" w:w="1347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520"/>
        </w:trPr>
        <w:tc>
          <w:tcPr>
            <w:tcW w:type="dxa" w:w="52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1347"/>
            <w:vMerge/>
            <w:tcBorders>
              <w:top w:sz="6.008936405181885" w:val="single" w:color="#E5E6E5"/>
            </w:tcBorders>
          </w:tcPr>
          <w:p/>
        </w:tc>
        <w:tc>
          <w:tcPr>
            <w:tcW w:type="dxa" w:w="10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2694"/>
            <w:gridSpan w:val="2"/>
            <w:vMerge/>
            <w:tcBorders>
              <w:top w:sz="6.0" w:val="single" w:color="#E5E6E5"/>
            </w:tcBorders>
          </w:tcPr>
          <w:p/>
        </w:tc>
        <w:tc>
          <w:tcPr>
            <w:tcW w:type="dxa" w:w="8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1347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294"/>
        </w:trPr>
        <w:tc>
          <w:tcPr>
            <w:tcW w:type="dxa" w:w="1347"/>
            <w:vMerge/>
            <w:tcBorders/>
          </w:tcPr>
          <w:p/>
        </w:tc>
        <w:tc>
          <w:tcPr>
            <w:tcW w:type="dxa" w:w="1347"/>
            <w:vMerge/>
            <w:tcBorders>
              <w:top w:sz="6.008936405181885" w:val="single" w:color="#E5E6E5"/>
            </w:tcBorders>
          </w:tcPr>
          <w:p/>
        </w:tc>
        <w:tc>
          <w:tcPr>
            <w:tcW w:type="dxa" w:w="1347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0" w:after="0"/>
              <w:ind w:left="0" w:right="16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595959"/>
                <w:sz w:val="12"/>
              </w:rPr>
              <w:t>Gross</w:t>
            </w:r>
          </w:p>
        </w:tc>
        <w:tc>
          <w:tcPr>
            <w:tcW w:type="dxa" w:w="1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00" w:after="0"/>
              <w:ind w:left="2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595959"/>
                <w:sz w:val="12"/>
              </w:rPr>
              <w:t>Net</w:t>
            </w:r>
          </w:p>
        </w:tc>
        <w:tc>
          <w:tcPr>
            <w:tcW w:type="dxa" w:w="1347"/>
            <w:vMerge/>
            <w:tcBorders/>
          </w:tcPr>
          <w:p/>
        </w:tc>
        <w:tc>
          <w:tcPr>
            <w:tcW w:type="dxa" w:w="1347"/>
            <w:vMerge/>
            <w:tcBorders>
              <w:top w:sz="6.0" w:val="single" w:color="#E5E6E5"/>
            </w:tcBorders>
          </w:tcPr>
          <w:p/>
        </w:tc>
      </w:tr>
    </w:tbl>
    <w:p>
      <w:pPr>
        <w:autoSpaceDN w:val="0"/>
        <w:autoSpaceDE w:val="0"/>
        <w:widowControl/>
        <w:spacing w:line="240" w:lineRule="exact" w:before="262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commitments were higher by $3.0 billion compared with the same period in FY24 (Table 5). The regions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largest share of commitments in the first nine months of FY25 were Europe and Central Asia with 32%,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Latin America and the Caribbean with 31%.</w:t>
      </w:r>
    </w:p>
    <w:p>
      <w:pPr>
        <w:autoSpaceDN w:val="0"/>
        <w:autoSpaceDE w:val="0"/>
        <w:widowControl/>
        <w:spacing w:line="224" w:lineRule="exact" w:before="730" w:after="0"/>
        <w:ind w:left="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     IBRD Management's Discussion and Analysis: March 31, 2025</w:t>
      </w:r>
    </w:p>
    <w:p>
      <w:pPr>
        <w:sectPr>
          <w:pgSz w:w="12240" w:h="15840"/>
          <w:pgMar w:top="316" w:right="1372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86"/>
        </w:trPr>
        <w:tc>
          <w:tcPr>
            <w:tcW w:type="dxa" w:w="3960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  <w:tr>
        <w:trPr>
          <w:trHeight w:hRule="exact" w:val="486"/>
        </w:trPr>
        <w:tc>
          <w:tcPr>
            <w:tcW w:type="dxa" w:w="3960"/>
            <w:tcBorders>
              <w:top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12" w:after="0"/>
              <w:ind w:left="4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2"/>
              </w:rPr>
              <w:t>Net Investment Portfolio</w:t>
            </w:r>
          </w:p>
        </w:tc>
        <w:tc>
          <w:tcPr>
            <w:tcW w:type="dxa" w:w="5408"/>
            <w:tcBorders>
              <w:top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4" w:after="0"/>
              <w:ind w:left="12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</w:tr>
    </w:tbl>
    <w:p>
      <w:pPr>
        <w:autoSpaceDN w:val="0"/>
        <w:autoSpaceDE w:val="0"/>
        <w:widowControl/>
        <w:spacing w:line="14" w:lineRule="exact" w:before="0" w:after="2"/>
        <w:ind w:left="0" w:right="0"/>
      </w:pPr>
    </w:p>
    <w:p>
      <w:pPr>
        <w:sectPr>
          <w:pgSz w:w="12240" w:h="15840"/>
          <w:pgMar w:top="316" w:right="1416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4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net investment portfolio increased by $20.0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billion, from $82.7 billion as of June 30, 2024 to </w:t>
      </w:r>
    </w:p>
    <w:p>
      <w:pPr>
        <w:sectPr>
          <w:type w:val="continuous"/>
          <w:pgSz w:w="12240" w:h="15840"/>
          <w:pgMar w:top="316" w:right="1416" w:bottom="136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p>
      <w:pPr>
        <w:autoSpaceDN w:val="0"/>
        <w:autoSpaceDE w:val="0"/>
        <w:widowControl/>
        <w:spacing w:line="202" w:lineRule="exact" w:before="0" w:after="150"/>
        <w:ind w:left="42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Net Investment Portfolio</w:t>
      </w:r>
    </w:p>
    <w:p>
      <w:pPr>
        <w:sectPr>
          <w:type w:val="nextColumn"/>
          <w:pgSz w:w="12240" w:h="15840"/>
          <w:pgMar w:top="316" w:right="1416" w:bottom="136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256"/>
        </w:trPr>
        <w:tc>
          <w:tcPr>
            <w:tcW w:type="dxa" w:w="4800"/>
            <w:vMerge w:val="restart"/>
            <w:tcBorders>
              <w:bottom w:sz="6.000939846038818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0" w:after="0"/>
              <w:ind w:left="20" w:right="41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$102.7 billion as of March 31, 2025. The increase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was primarily due to net new debt issuances that were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higher than net loan disbursements during the period,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and is consistent with the higher target liquidity level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in FY25, compared to FY24. As of March 31, 2025,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73% of the investments are rated AA or above (77%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as of June 30, 2024) (Table 12), reflecting IBRD’s </w:t>
            </w:r>
          </w:p>
        </w:tc>
        <w:tc>
          <w:tcPr>
            <w:tcW w:type="dxa" w:w="42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4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120</w:t>
            </w:r>
          </w:p>
        </w:tc>
      </w:tr>
      <w:tr>
        <w:trPr>
          <w:trHeight w:hRule="exact" w:val="480"/>
        </w:trPr>
        <w:tc>
          <w:tcPr>
            <w:tcW w:type="dxa" w:w="1341"/>
            <w:vMerge/>
            <w:tcBorders>
              <w:bottom w:sz="6.000939846038818" w:val="single" w:color="#E5E6E5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6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90</w:t>
            </w:r>
          </w:p>
        </w:tc>
        <w:tc>
          <w:tcPr>
            <w:tcW w:type="dxa" w:w="34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177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906"/>
        </w:trPr>
        <w:tc>
          <w:tcPr>
            <w:tcW w:type="dxa" w:w="1341"/>
            <w:vMerge/>
            <w:tcBorders>
              <w:bottom w:sz="6.000939846038818" w:val="single" w:color="#E5E6E5"/>
            </w:tcBorders>
          </w:tcPr>
          <w:p/>
        </w:tc>
        <w:tc>
          <w:tcPr>
            <w:tcW w:type="dxa" w:w="4280"/>
            <w:gridSpan w:val="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432" w:right="35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60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30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</w:tr>
      <w:tr>
        <w:trPr>
          <w:trHeight w:hRule="exact" w:val="114"/>
        </w:trPr>
        <w:tc>
          <w:tcPr>
            <w:tcW w:type="dxa" w:w="4800"/>
            <w:vMerge w:val="restart"/>
            <w:tcBorders>
              <w:top w:sz="6.000939846038818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" w:after="0"/>
              <w:ind w:left="20" w:right="288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objective of principal protection and its preference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for high-quality investments.</w:t>
            </w:r>
          </w:p>
          <w:p>
            <w:pPr>
              <w:autoSpaceDN w:val="0"/>
              <w:autoSpaceDE w:val="0"/>
              <w:widowControl/>
              <w:spacing w:line="244" w:lineRule="exact" w:before="85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2"/>
              </w:rPr>
              <w:t>Borrowing Portfolio</w:t>
            </w:r>
          </w:p>
          <w:p>
            <w:pPr>
              <w:autoSpaceDN w:val="0"/>
              <w:autoSpaceDE w:val="0"/>
              <w:widowControl/>
              <w:spacing w:line="240" w:lineRule="exact" w:before="130" w:after="0"/>
              <w:ind w:left="20" w:right="41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Borrowings reported at fair value: As of March 31,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2025, the borrowings reported at fair value and the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related derivatives were $315.9 billion, $28.8 billion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higher than June 30, 2024. The increase was mainly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due to net new debt issuances that financed the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growing development and lending operations, and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satisfied liquidity requirements.</w:t>
            </w:r>
          </w:p>
          <w:p>
            <w:pPr>
              <w:autoSpaceDN w:val="0"/>
              <w:autoSpaceDE w:val="0"/>
              <w:widowControl/>
              <w:spacing w:line="240" w:lineRule="exact" w:before="120" w:after="0"/>
              <w:ind w:left="20" w:right="288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Borrowings reported at amortized cost: As of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March 31, 2025, the borrowings reported at </w:t>
            </w:r>
          </w:p>
        </w:tc>
        <w:tc>
          <w:tcPr>
            <w:tcW w:type="dxa" w:w="8046"/>
            <w:gridSpan w:val="6"/>
            <w:vMerge/>
            <w:tcBorders/>
          </w:tcPr>
          <w:p/>
        </w:tc>
      </w:tr>
      <w:tr>
        <w:trPr>
          <w:trHeight w:hRule="exact" w:val="700"/>
        </w:trPr>
        <w:tc>
          <w:tcPr>
            <w:tcW w:type="dxa" w:w="1341"/>
            <w:vMerge/>
            <w:tcBorders>
              <w:top w:sz="6.000939846038818" w:val="single" w:color="#E5E6E5"/>
            </w:tcBorders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21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22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23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Mar 25</w:t>
            </w:r>
          </w:p>
        </w:tc>
      </w:tr>
      <w:tr>
        <w:trPr>
          <w:trHeight w:hRule="exact" w:val="1440"/>
        </w:trPr>
        <w:tc>
          <w:tcPr>
            <w:tcW w:type="dxa" w:w="1341"/>
            <w:vMerge/>
            <w:tcBorders>
              <w:top w:sz="6.000939846038818" w:val="single" w:color="#E5E6E5"/>
            </w:tcBorders>
          </w:tcPr>
          <w:p/>
        </w:tc>
        <w:tc>
          <w:tcPr>
            <w:tcW w:type="dxa" w:w="42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02" w:after="0"/>
              <w:ind w:left="432" w:right="2016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 billions of U.S. dollars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Borrowing Portfolio</w:t>
            </w:r>
          </w:p>
          <w:p>
            <w:pPr>
              <w:autoSpaceDN w:val="0"/>
              <w:autoSpaceDE w:val="0"/>
              <w:widowControl/>
              <w:spacing w:line="178" w:lineRule="exact" w:before="196" w:after="0"/>
              <w:ind w:left="4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350</w:t>
            </w:r>
          </w:p>
        </w:tc>
      </w:tr>
      <w:tr>
        <w:trPr>
          <w:trHeight w:hRule="exact" w:val="380"/>
        </w:trPr>
        <w:tc>
          <w:tcPr>
            <w:tcW w:type="dxa" w:w="1341"/>
            <w:vMerge/>
            <w:tcBorders>
              <w:top w:sz="6.000939846038818" w:val="single" w:color="#E5E6E5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4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280</w:t>
            </w:r>
          </w:p>
        </w:tc>
        <w:tc>
          <w:tcPr>
            <w:tcW w:type="dxa" w:w="34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17700" cy="203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1140"/>
        </w:trPr>
        <w:tc>
          <w:tcPr>
            <w:tcW w:type="dxa" w:w="1341"/>
            <w:vMerge/>
            <w:tcBorders>
              <w:top w:sz="6.000939846038818" w:val="single" w:color="#E5E6E5"/>
            </w:tcBorders>
          </w:tcPr>
          <w:p/>
        </w:tc>
        <w:tc>
          <w:tcPr>
            <w:tcW w:type="dxa" w:w="42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35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210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140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70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</w:tr>
      <w:tr>
        <w:trPr>
          <w:trHeight w:hRule="exact" w:val="238"/>
        </w:trPr>
        <w:tc>
          <w:tcPr>
            <w:tcW w:type="dxa" w:w="1341"/>
            <w:vMerge/>
            <w:tcBorders>
              <w:top w:sz="6.000939846038818" w:val="single" w:color="#E5E6E5"/>
            </w:tcBorders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2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21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22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23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Jun 24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2" w:after="0"/>
              <w:ind w:left="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Mar 25</w:t>
            </w:r>
          </w:p>
        </w:tc>
      </w:tr>
    </w:tbl>
    <w:p>
      <w:pPr>
        <w:autoSpaceDN w:val="0"/>
        <w:autoSpaceDE w:val="0"/>
        <w:widowControl/>
        <w:spacing w:line="238" w:lineRule="exact" w:before="0" w:after="0"/>
        <w:ind w:left="4" w:right="501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amortized cost were $476 million, all related to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first issuances of hybrid capital (Section III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Section IV). </w:t>
      </w:r>
    </w:p>
    <w:p>
      <w:pPr>
        <w:autoSpaceDN w:val="0"/>
        <w:autoSpaceDE w:val="0"/>
        <w:widowControl/>
        <w:spacing w:line="244" w:lineRule="exact" w:before="68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Equity-to-Loans Ratio</w:t>
      </w:r>
    </w:p>
    <w:p>
      <w:pPr>
        <w:autoSpaceDN w:val="0"/>
        <w:tabs>
          <w:tab w:pos="5224" w:val="left"/>
        </w:tabs>
        <w:autoSpaceDE w:val="0"/>
        <w:widowControl/>
        <w:spacing w:line="234" w:lineRule="exact" w:before="124" w:after="18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Equity-to-Loans ratio decreased from 21.5% as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Ratio in percentages</w:t>
      </w:r>
    </w:p>
    <w:p>
      <w:pPr>
        <w:sectPr>
          <w:type w:val="continuous"/>
          <w:pgSz w:w="12240" w:h="15840"/>
          <w:pgMar w:top="316" w:right="1416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0" w:after="0"/>
        <w:ind w:left="4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June 30, 2024 to 21.3% as of March 31, 2025,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primarily due to the increase in loan exposures </w:t>
      </w:r>
    </w:p>
    <w:p>
      <w:pPr>
        <w:sectPr>
          <w:type w:val="continuous"/>
          <w:pgSz w:w="12240" w:h="15840"/>
          <w:pgMar w:top="316" w:right="1416" w:bottom="136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p>
      <w:pPr>
        <w:autoSpaceDN w:val="0"/>
        <w:autoSpaceDE w:val="0"/>
        <w:widowControl/>
        <w:spacing w:line="202" w:lineRule="exact" w:before="0" w:after="216"/>
        <w:ind w:left="42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Equity-to-Loans Ratio</w:t>
      </w:r>
    </w:p>
    <w:p>
      <w:pPr>
        <w:sectPr>
          <w:type w:val="nextColumn"/>
          <w:pgSz w:w="12240" w:h="15840"/>
          <w:pgMar w:top="316" w:right="1416" w:bottom="136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222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outpacing the increase in usable equity (Section IV), </w:t>
            </w:r>
          </w:p>
        </w:tc>
        <w:tc>
          <w:tcPr>
            <w:tcW w:type="dxa" w:w="9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30%</w:t>
            </w:r>
          </w:p>
        </w:tc>
        <w:tc>
          <w:tcPr>
            <w:tcW w:type="dxa" w:w="2970"/>
            <w:gridSpan w:val="5"/>
            <w:vMerge w:val="restart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9600" cy="203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6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56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and remained above the policy minimum of 18%. In </w:t>
            </w:r>
          </w:p>
        </w:tc>
        <w:tc>
          <w:tcPr>
            <w:tcW w:type="dxa" w:w="95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44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20%</w:t>
            </w:r>
          </w:p>
        </w:tc>
        <w:tc>
          <w:tcPr>
            <w:tcW w:type="dxa" w:w="6705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244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line with IBRD's currency management approach, </w:t>
            </w:r>
          </w:p>
        </w:tc>
        <w:tc>
          <w:tcPr>
            <w:tcW w:type="dxa" w:w="1341"/>
            <w:vMerge/>
            <w:tcBorders/>
          </w:tcPr>
          <w:p/>
        </w:tc>
        <w:tc>
          <w:tcPr>
            <w:tcW w:type="dxa" w:w="6705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236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exchange rate movements during the period did not </w:t>
            </w:r>
          </w:p>
        </w:tc>
        <w:tc>
          <w:tcPr>
            <w:tcW w:type="dxa" w:w="952"/>
            <w:vMerge w:val="restart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05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274"/>
        </w:trPr>
        <w:tc>
          <w:tcPr>
            <w:tcW w:type="dxa" w:w="4820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have an impact on IBRD's Equity-to-Loans ratio.</w:t>
            </w:r>
          </w:p>
        </w:tc>
        <w:tc>
          <w:tcPr>
            <w:tcW w:type="dxa" w:w="1341"/>
            <w:vMerge/>
            <w:tcBorders>
              <w:bottom w:sz="6.0" w:val="single" w:color="#E5E6E5"/>
            </w:tcBorders>
          </w:tcPr>
          <w:p/>
        </w:tc>
        <w:tc>
          <w:tcPr>
            <w:tcW w:type="dxa" w:w="6705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310"/>
        </w:trPr>
        <w:tc>
          <w:tcPr>
            <w:tcW w:type="dxa" w:w="48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During the first nine months of FY25, IBRD received </w:t>
            </w:r>
          </w:p>
        </w:tc>
        <w:tc>
          <w:tcPr>
            <w:tcW w:type="dxa" w:w="952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10%</w:t>
            </w:r>
          </w:p>
        </w:tc>
        <w:tc>
          <w:tcPr>
            <w:tcW w:type="dxa" w:w="488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06" w:after="0"/>
              <w:ind w:left="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Jun </w:t>
            </w:r>
          </w:p>
        </w:tc>
        <w:tc>
          <w:tcPr>
            <w:tcW w:type="dxa" w:w="84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06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Jun </w:t>
            </w:r>
          </w:p>
        </w:tc>
        <w:tc>
          <w:tcPr>
            <w:tcW w:type="dxa" w:w="56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06" w:after="0"/>
              <w:ind w:left="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Jun </w:t>
            </w:r>
          </w:p>
        </w:tc>
        <w:tc>
          <w:tcPr>
            <w:tcW w:type="dxa" w:w="58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0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Jun </w:t>
            </w:r>
          </w:p>
        </w:tc>
        <w:tc>
          <w:tcPr>
            <w:tcW w:type="dxa" w:w="502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0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Mar </w:t>
            </w:r>
          </w:p>
        </w:tc>
      </w:tr>
      <w:tr>
        <w:trPr>
          <w:trHeight w:hRule="exact" w:val="276"/>
        </w:trPr>
        <w:tc>
          <w:tcPr>
            <w:tcW w:type="dxa" w:w="4820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$334 million of paid-in capital subscribed under the </w:t>
            </w:r>
          </w:p>
        </w:tc>
        <w:tc>
          <w:tcPr>
            <w:tcW w:type="dxa" w:w="952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204"/>
        </w:trPr>
        <w:tc>
          <w:tcPr>
            <w:tcW w:type="dxa" w:w="48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2018 General and Selective Capital Increases (GCI </w:t>
            </w:r>
          </w:p>
        </w:tc>
        <w:tc>
          <w:tcPr>
            <w:tcW w:type="dxa" w:w="952"/>
            <w:vMerge w:val="restart"/>
            <w:tcBorders>
              <w:top w:sz="6.0" w:val="single" w:color="#E5E6E5"/>
              <w:bottom w:sz="18.0" w:val="single" w:color="#6D6D6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0%</w:t>
            </w:r>
          </w:p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80"/>
        </w:trPr>
        <w:tc>
          <w:tcPr>
            <w:tcW w:type="dxa" w:w="4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8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and SCI), bringing the cumulative amounts received </w:t>
            </w:r>
          </w:p>
        </w:tc>
        <w:tc>
          <w:tcPr>
            <w:tcW w:type="dxa" w:w="1341"/>
            <w:vMerge/>
            <w:tcBorders>
              <w:top w:sz="6.0" w:val="single" w:color="#E5E6E5"/>
              <w:bottom w:sz="18.0" w:val="single" w:color="#6D6D6D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  <w:tc>
          <w:tcPr>
            <w:tcW w:type="dxa" w:w="1341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160"/>
        </w:trPr>
        <w:tc>
          <w:tcPr>
            <w:tcW w:type="dxa" w:w="1341"/>
            <w:vMerge/>
            <w:tcBorders/>
          </w:tcPr>
          <w:p/>
        </w:tc>
        <w:tc>
          <w:tcPr>
            <w:tcW w:type="dxa" w:w="1341"/>
            <w:vMerge/>
            <w:tcBorders>
              <w:top w:sz="6.0" w:val="single" w:color="#E5E6E5"/>
              <w:bottom w:sz="18.0" w:val="single" w:color="#6D6D6D"/>
            </w:tcBorders>
          </w:tcPr>
          <w:p/>
        </w:tc>
        <w:tc>
          <w:tcPr>
            <w:tcW w:type="dxa" w:w="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21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22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23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24</w:t>
            </w:r>
          </w:p>
        </w:tc>
        <w:tc>
          <w:tcPr>
            <w:tcW w:type="dxa" w:w="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25</w:t>
            </w:r>
          </w:p>
        </w:tc>
      </w:tr>
      <w:tr>
        <w:trPr>
          <w:trHeight w:hRule="exact" w:val="268"/>
        </w:trPr>
        <w:tc>
          <w:tcPr>
            <w:tcW w:type="dxa" w:w="4820"/>
            <w:tcBorders>
              <w:bottom w:sz="18.0" w:val="single" w:color="#6D6D6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to $6.3 billion, representing 84% of the total amount </w:t>
            </w:r>
          </w:p>
        </w:tc>
        <w:tc>
          <w:tcPr>
            <w:tcW w:type="dxa" w:w="1341"/>
            <w:vMerge/>
            <w:tcBorders>
              <w:top w:sz="6.0" w:val="single" w:color="#E5E6E5"/>
              <w:bottom w:sz="18.0" w:val="single" w:color="#6D6D6D"/>
            </w:tcBorders>
          </w:tcPr>
          <w:p/>
        </w:tc>
        <w:tc>
          <w:tcPr>
            <w:tcW w:type="dxa" w:w="132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Equity-to-Loans Ratio</w:t>
            </w:r>
          </w:p>
        </w:tc>
        <w:tc>
          <w:tcPr>
            <w:tcW w:type="dxa" w:w="1642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84" w:after="0"/>
              <w:ind w:left="0" w:right="2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Policy Minimum</w:t>
            </w:r>
          </w:p>
        </w:tc>
      </w:tr>
      <w:tr>
        <w:trPr>
          <w:trHeight w:hRule="exact" w:val="228"/>
        </w:trPr>
        <w:tc>
          <w:tcPr>
            <w:tcW w:type="dxa" w:w="4820"/>
            <w:tcBorders>
              <w:top w:sz="18.0" w:val="single" w:color="#6D6D6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available for subscription. The subscription period for </w:t>
            </w:r>
          </w:p>
        </w:tc>
        <w:tc>
          <w:tcPr>
            <w:tcW w:type="dxa" w:w="952"/>
            <w:tcBorders>
              <w:top w:sz="18.0" w:val="single" w:color="#6D6D6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2"/>
            <w:gridSpan w:val="2"/>
            <w:vMerge/>
            <w:tcBorders/>
          </w:tcPr>
          <w:p/>
        </w:tc>
        <w:tc>
          <w:tcPr>
            <w:tcW w:type="dxa" w:w="4023"/>
            <w:gridSpan w:val="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GCI and SCI ends on October 1, 2025.</w:t>
      </w:r>
    </w:p>
    <w:p>
      <w:pPr>
        <w:autoSpaceDN w:val="0"/>
        <w:autoSpaceDE w:val="0"/>
        <w:widowControl/>
        <w:spacing w:line="224" w:lineRule="exact" w:before="2300" w:after="0"/>
        <w:ind w:left="0" w:right="24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5</w:t>
      </w:r>
    </w:p>
    <w:p>
      <w:pPr>
        <w:sectPr>
          <w:type w:val="continuous"/>
          <w:pgSz w:w="12240" w:h="15840"/>
          <w:pgMar w:top="316" w:right="1416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II: Overview</w:t>
            </w:r>
          </w:p>
        </w:tc>
      </w:tr>
    </w:tbl>
    <w:p>
      <w:pPr>
        <w:autoSpaceDN w:val="0"/>
        <w:autoSpaceDE w:val="0"/>
        <w:widowControl/>
        <w:spacing w:line="312" w:lineRule="exact" w:before="182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II: Overview</w:t>
      </w:r>
    </w:p>
    <w:p>
      <w:pPr>
        <w:autoSpaceDN w:val="0"/>
        <w:autoSpaceDE w:val="0"/>
        <w:widowControl/>
        <w:spacing w:line="240" w:lineRule="exact" w:before="19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IBRD, an international organization owned by its 189 member countries, is one of the five institutions of the WBG.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Each institution is legally and financially independent, with separate assets and liabilities. IBRD is not liable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obligations of the other institutions.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is a Multilateral Development Bank (MDB) that combines knowledge services and financing with a global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reach. IBRD’s value is derived from its ability to help eligible borrowing members address their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challenges and meet their rising demand for innovative products. IBRD provides loans, guarantees,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products for development-focused projects and programs primarily to middle-income and creditworthy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lower-income countries to support sustainable development. By operating across a full range of country clients,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maintains a depth of development knowledge, uses its convening power to promote development,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coordinates responses to regional and global challenges.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 countries use IBRD’s technical advice and analysis and convening power to develop or implement better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policies, programs, and reforms that help sustain development over the long term. The products delivered range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from development data, to reports on key social economic and social issues at the local, country, regional and global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levels. The products also include knowledge-sharing workshops focused on local issues, flagship events and fora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address the most pressing global development challenges. 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Financial Business Model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objective is not to maximize profits, but to earn adequate income to ensure that it has the long-term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capacity necessary to support its development activities. IBRD seeks to generate sufficient revenue to finance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operations as well as to be able to grow reserves to strengthen its financial position. It also seeks to provide support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 IDA and trust funds through income transfers for other developmental purposes.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financial strength rests on the support it receives from its shareholders, and on its array of financial policies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practices. Shareholder support for IBRD is reflected in the capital backing it continues to receive from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 and in the record of its borrowing member countries in meeting their debt service obligations to IBRD.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Sound financial and risk management policies and practices have enabled IBRD to maintain adequate capital,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diversify its funding sources, hold a portfolio of liquid investments to meet its financial commitments, and limit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risks, including credit and market risks.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offers its borrowers, in middle income and creditworthy low-income countries, long-term loans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maturities up to 35 years. For some projects, the maximum loan maturity can be extended to up to 50 years.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Borrowers may customize their repayment terms to meet their debt management or project needs in multiple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currencies. Borrowers have generally preferred loans denominated in U.S. dollars and euros. IBRD also supports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borrowers by providing access to risk management products such as derivative instruments, including currency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swaps and interest rate caps and collars.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meet its development goals, IBRD intermediates funds for lending mainly from the international capital markets.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loans are largely financed from borrowings raised in the capital markets and through its equity. IBRD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rated triple-A by the major rating agencies and its bonds are viewed as high-quality securities by investors. IBRD’s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funding strategy is aimed at achieving the best long-term value on a sustainable basis for its borrowing members.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strategy has enabled IBRD to borrow at favorable market terms and pass the savings on to its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members. IBRD’s annual funding volumes vary from year to year, and funds raised are used to finance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projects and programs in member countries. Funds not deployed for lending are maintained in IBRD’s investment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portfolio to supply liquidity for its operations.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uses derivatives to manage its exposure to various market risks from the above activities. These are used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align the interest and currency composition of its assets (loan and investment portfolios) with that of its liabilities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(borrowing portfolio), and to stabilize earnings on the portion of the loan portfolio funded by equity. See Section IV: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Management for additional details on how IBRD uses derivatives. </w:t>
      </w:r>
    </w:p>
    <w:p>
      <w:pPr>
        <w:autoSpaceDN w:val="0"/>
        <w:autoSpaceDE w:val="0"/>
        <w:widowControl/>
        <w:spacing w:line="224" w:lineRule="exact" w:before="217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6     IBRD Management's Discussion and Analysis: March 31, 2025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II: Overview</w:t>
            </w:r>
          </w:p>
        </w:tc>
      </w:tr>
    </w:tbl>
    <w:p>
      <w:pPr>
        <w:autoSpaceDN w:val="0"/>
        <w:autoSpaceDE w:val="0"/>
        <w:widowControl/>
        <w:spacing w:line="240" w:lineRule="exact" w:before="10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believes that these risk management strategies, taken together, effectively manage market risk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operations from an economic perspective. However, these strategies entail the use of derivatives,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introduces volatility in net income through unrealized mark-to-market gains and losses (particularly given the long-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 nature of some of IBRD’s assets and liabilities). Accordingly, Management makes decisions on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without reference to unrealized mark-to-market gains and losses on risk management instruments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non-trading portfolios – see Basis of Reporting – Allocable Income.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Financial Performance 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primary sources of revenue are from loans and investments, both net of funding costs (Figure 1). This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revenue is used for administrative expenses, provision for losses on loans and other exposures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2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(LLP), as well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transfers to Reserves, Surplus, and for other development purposes, including transfers to IDA.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other development activities generate non-interest revenue that is classified as Revenue from externally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funded activities. These external funds include trust fund fees, reimbursable funds, and revenues from fee-based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services to member countries. Non-interest revenue from externally funded activities provides additional capacity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support the development needs of client countries.</w:t>
      </w:r>
    </w:p>
    <w:p>
      <w:pPr>
        <w:autoSpaceDN w:val="0"/>
        <w:autoSpaceDE w:val="0"/>
        <w:widowControl/>
        <w:spacing w:line="202" w:lineRule="exact" w:before="14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Figure 1: Sources and Uses of Revenue</w:t>
      </w:r>
    </w:p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090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8" w:lineRule="exact" w:before="53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Basis of Reporting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financial statements conform with accounting principles generally accepted in the United States of America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(U.S. GAAP). Generally, all financial instruments in the investment and borrowing portfolios and all derivatives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at fair value, with changes in fair value reported in the Statements of Income, except for changes in IBRD’s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own credit, which are reflected in Other Comprehensive Income. IBRD’s loans are reported at amortized cost.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Management uses net income as the basis for deriving allocable income, as discussed below.</w:t>
      </w:r>
    </w:p>
    <w:p>
      <w:pPr>
        <w:autoSpaceDN w:val="0"/>
        <w:tabs>
          <w:tab w:pos="100" w:val="left"/>
        </w:tabs>
        <w:autoSpaceDE w:val="0"/>
        <w:widowControl/>
        <w:spacing w:line="192" w:lineRule="exact" w:before="1518" w:after="0"/>
        <w:ind w:left="10" w:right="0" w:firstLine="0"/>
        <w:jc w:val="left"/>
      </w:pPr>
      <w:r>
        <w:rPr>
          <w:w w:val="103.99999618530273"/>
          <w:rFonts w:ascii="Arial" w:hAnsi="Arial" w:eastAsia="Arial"/>
          <w:b w:val="0"/>
          <w:i/>
          <w:color w:val="000000"/>
          <w:sz w:val="10"/>
        </w:rPr>
        <w:t>2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 Other exposures include deferred drawdown options (DDO), irrevocable commitments, exposures to member countries’ derivatives </w:t>
      </w:r>
      <w:r>
        <w:rPr>
          <w:rFonts w:ascii="Arial" w:hAnsi="Arial" w:eastAsia="Arial"/>
          <w:b w:val="0"/>
          <w:i/>
          <w:color w:val="000000"/>
          <w:sz w:val="16"/>
        </w:rPr>
        <w:t>and guarantees.</w:t>
      </w:r>
    </w:p>
    <w:p>
      <w:pPr>
        <w:autoSpaceDN w:val="0"/>
        <w:autoSpaceDE w:val="0"/>
        <w:widowControl/>
        <w:spacing w:line="224" w:lineRule="exact" w:before="628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7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II: Overview</w:t>
            </w:r>
          </w:p>
        </w:tc>
      </w:tr>
    </w:tbl>
    <w:p>
      <w:pPr>
        <w:autoSpaceDN w:val="0"/>
        <w:autoSpaceDE w:val="0"/>
        <w:widowControl/>
        <w:spacing w:line="244" w:lineRule="exact" w:before="396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Allocable Income 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Articles of Agreement (the Articles) require that the Governors determine the allocation of income at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 of every fiscal year. Allocable income, which is a non-GAAP financial measure, is an internal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measure that reflects income available for allocation. IBRD defines allocable income as net income after certain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adjustments, that are approved by the Board at the end of every fiscal year. These adjustments primarily relate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unrealized mark-to-market gains and losses associated with the non-trading portfolios, as well as Board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Governors-approved and other transfers, which primarily relate to the allocation of the prior year’s net income. 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See Section III: Financial Results Section and Table 2, for details of the adjustments to reported net income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calculate allocable income.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variability in IBRD’s net income is often driven by the unrealized mark-to-market gains and losses 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instruments in IBRD’s non-trading portfolios. IBRD’s risk management strategy entails the use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derivatives to manage market risk. These derivatives are primarily used to align the interest rate and currency bases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IBRD's assets and liabilities. IBRD has elected not to designate any hedging relationships for accounting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purposes. Rather, all derivative instruments are reported at fair value on the Balance Sheets, with changes in fair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values reflected in the Statements of Income.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line with its financial risk management policies, for the non-trading portfolios, unrealized mark-to-market gains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losses from instruments reported at fair value (borrowing portfolio, and derivatives in the loans and other Asset/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Liability Management (ALM) portfolios) are excluded from allocable income.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the trading portfolio (investment portfolio), allocable income includes both realized and unrealized mark-to-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gains and losses. In some cases, the unrealized mark-to-market gains and losses on certain trades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excluded from allocable income when the underlying item is an asset held at amortized cost.</w:t>
      </w:r>
    </w:p>
    <w:p>
      <w:pPr>
        <w:autoSpaceDN w:val="0"/>
        <w:autoSpaceDE w:val="0"/>
        <w:widowControl/>
        <w:spacing w:line="224" w:lineRule="exact" w:before="838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8     IBRD Management's Discussion and Analysis: March 31, 2025</w:t>
      </w:r>
    </w:p>
    <w:p>
      <w:pPr>
        <w:sectPr>
          <w:pgSz w:w="12240" w:h="15840"/>
          <w:pgMar w:top="31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55"/>
        <w:gridCol w:w="4755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312" w:lineRule="exact" w:before="302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III: Financial Results</w:t>
      </w:r>
    </w:p>
    <w:p>
      <w:pPr>
        <w:autoSpaceDN w:val="0"/>
        <w:autoSpaceDE w:val="0"/>
        <w:widowControl/>
        <w:spacing w:line="268" w:lineRule="exact" w:before="32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Financial Results and Portfolio Performance</w:t>
      </w:r>
    </w:p>
    <w:p>
      <w:pPr>
        <w:autoSpaceDN w:val="0"/>
        <w:autoSpaceDE w:val="0"/>
        <w:widowControl/>
        <w:spacing w:line="240" w:lineRule="exact" w:before="12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is a discussion of the key drivers of IBRD’s financial performance, including a reconciliation between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IBRD’s net income and allocable income.</w:t>
      </w:r>
    </w:p>
    <w:p>
      <w:pPr>
        <w:autoSpaceDN w:val="0"/>
        <w:autoSpaceDE w:val="0"/>
        <w:widowControl/>
        <w:spacing w:line="228" w:lineRule="exact" w:before="172" w:after="0"/>
        <w:ind w:left="62" w:right="576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 xml:space="preserve">Table 2: Condensed Statements of Income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30"/>
        <w:ind w:left="0" w:right="798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>Impact on income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902"/>
        <w:gridCol w:w="1902"/>
        <w:gridCol w:w="1902"/>
        <w:gridCol w:w="1902"/>
        <w:gridCol w:w="1902"/>
      </w:tblGrid>
      <w:tr>
        <w:trPr>
          <w:trHeight w:hRule="exact" w:val="240"/>
        </w:trPr>
        <w:tc>
          <w:tcPr>
            <w:tcW w:type="dxa" w:w="410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For the nine months ended March 31,</w:t>
            </w:r>
          </w:p>
        </w:tc>
        <w:tc>
          <w:tcPr>
            <w:tcW w:type="dxa" w:w="200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2025</w:t>
            </w:r>
          </w:p>
        </w:tc>
        <w:tc>
          <w:tcPr>
            <w:tcW w:type="dxa" w:w="8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2024</w:t>
            </w:r>
          </w:p>
        </w:tc>
        <w:tc>
          <w:tcPr>
            <w:tcW w:type="dxa" w:w="112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Decrease</w:t>
            </w:r>
          </w:p>
        </w:tc>
        <w:tc>
          <w:tcPr>
            <w:tcW w:type="dxa" w:w="128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Increase</w:t>
            </w:r>
          </w:p>
        </w:tc>
      </w:tr>
    </w:tbl>
    <w:p>
      <w:pPr>
        <w:autoSpaceDN w:val="0"/>
        <w:autoSpaceDE w:val="0"/>
        <w:widowControl/>
        <w:spacing w:line="180" w:lineRule="exact" w:before="136" w:after="1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Revenue on interest earning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59"/>
        <w:gridCol w:w="1359"/>
        <w:gridCol w:w="1359"/>
        <w:gridCol w:w="1359"/>
        <w:gridCol w:w="1359"/>
        <w:gridCol w:w="1359"/>
        <w:gridCol w:w="1359"/>
      </w:tblGrid>
      <w:tr>
        <w:trPr>
          <w:trHeight w:hRule="exact" w:val="276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interest revenue, net of funding costs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5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$ 3,635 $ 3,599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1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36</w:t>
            </w:r>
          </w:p>
        </w:tc>
        <w:tc>
          <w:tcPr>
            <w:tcW w:type="dxa" w:w="61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ALM derivatives, net</w:t>
            </w:r>
          </w:p>
        </w:tc>
        <w:tc>
          <w:tcPr>
            <w:tcW w:type="dxa" w:w="15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(1,031)  (1,303)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/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272</w:t>
            </w:r>
          </w:p>
        </w:tc>
      </w:tr>
      <w:tr>
        <w:trPr>
          <w:trHeight w:hRule="exact" w:val="260"/>
        </w:trPr>
        <w:tc>
          <w:tcPr>
            <w:tcW w:type="dxa" w:w="52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Investment revenue, net of funding costs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a,b</w:t>
            </w:r>
          </w:p>
        </w:tc>
        <w:tc>
          <w:tcPr>
            <w:tcW w:type="dxa" w:w="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 </w:t>
            </w:r>
          </w:p>
        </w:tc>
        <w:tc>
          <w:tcPr>
            <w:tcW w:type="dxa" w:w="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 </w:t>
            </w:r>
          </w:p>
        </w:tc>
        <w:tc>
          <w:tcPr>
            <w:tcW w:type="dxa" w:w="52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(22)</w:t>
            </w:r>
          </w:p>
        </w:tc>
        <w:tc>
          <w:tcPr>
            <w:tcW w:type="dxa" w:w="5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Total revenue on interest earning assets, net </w:t>
            </w:r>
          </w:p>
        </w:tc>
        <w:tc>
          <w:tcPr>
            <w:tcW w:type="dxa" w:w="150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$ 2,648 $ 2,362 </w:t>
            </w:r>
          </w:p>
        </w:tc>
        <w:tc>
          <w:tcPr>
            <w:tcW w:type="dxa" w:w="52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286</w:t>
            </w:r>
          </w:p>
        </w:tc>
      </w:tr>
      <w:tr>
        <w:trPr>
          <w:trHeight w:hRule="exact" w:val="262"/>
        </w:trPr>
        <w:tc>
          <w:tcPr>
            <w:tcW w:type="dxa" w:w="52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 for losses on loans and other exposures</w:t>
            </w:r>
          </w:p>
        </w:tc>
        <w:tc>
          <w:tcPr>
            <w:tcW w:type="dxa" w:w="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</w:t>
            </w:r>
          </w:p>
        </w:tc>
        <w:tc>
          <w:tcPr>
            <w:tcW w:type="dxa" w:w="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(53) </w:t>
            </w:r>
          </w:p>
        </w:tc>
        <w:tc>
          <w:tcPr>
            <w:tcW w:type="dxa" w:w="52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41</w:t>
            </w:r>
          </w:p>
        </w:tc>
        <w:tc>
          <w:tcPr>
            <w:tcW w:type="dxa" w:w="6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non-interest expenses (Table 7)</w:t>
            </w:r>
          </w:p>
        </w:tc>
        <w:tc>
          <w:tcPr>
            <w:tcW w:type="dxa" w:w="15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2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(1,118)  (1,018)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(100)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8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pension cost, other than service cost (Table 7)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129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142 </w:t>
            </w:r>
          </w:p>
        </w:tc>
        <w:tc>
          <w:tcPr>
            <w:tcW w:type="dxa" w:w="52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(13)</w:t>
            </w:r>
          </w:p>
        </w:tc>
        <w:tc>
          <w:tcPr>
            <w:tcW w:type="dxa" w:w="57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"/>
        </w:trPr>
        <w:tc>
          <w:tcPr>
            <w:tcW w:type="dxa" w:w="52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other revenue (Table 6)</w:t>
            </w:r>
          </w:p>
        </w:tc>
        <w:tc>
          <w:tcPr>
            <w:tcW w:type="dxa" w:w="95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201 </w:t>
            </w:r>
          </w:p>
        </w:tc>
        <w:tc>
          <w:tcPr>
            <w:tcW w:type="dxa" w:w="55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220 </w:t>
            </w:r>
          </w:p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</w:tr>
      <w:tr>
        <w:trPr>
          <w:trHeight w:hRule="exact" w:val="238"/>
        </w:trPr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(19)</w:t>
            </w:r>
          </w:p>
        </w:tc>
        <w:tc>
          <w:tcPr>
            <w:tcW w:type="dxa" w:w="1359"/>
            <w:vMerge/>
            <w:tcBorders/>
          </w:tcPr>
          <w:p/>
        </w:tc>
        <w:tc>
          <w:tcPr>
            <w:tcW w:type="dxa" w:w="1359"/>
            <w:vMerge/>
            <w:tcBorders/>
          </w:tcPr>
          <w:p/>
        </w:tc>
      </w:tr>
      <w:tr>
        <w:trPr>
          <w:trHeight w:hRule="exact" w:val="196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Board of Governors-approved and other transfers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(815)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(371)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(444)</w:t>
            </w:r>
          </w:p>
        </w:tc>
        <w:tc>
          <w:tcPr>
            <w:tcW w:type="dxa" w:w="918"/>
            <w:tcBorders/>
            <w:shd w:fill="b5b6b5"/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8"/>
        </w:trPr>
        <w:tc>
          <w:tcPr>
            <w:tcW w:type="dxa" w:w="5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Non-functional currency translation adjustment (losses) gains, net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(60)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(76)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4"/>
        </w:trPr>
        <w:tc>
          <w:tcPr>
            <w:tcW w:type="dxa" w:w="52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gains (losses) on non-trading portfolios, net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263 </w:t>
            </w:r>
          </w:p>
        </w:tc>
        <w:tc>
          <w:tcPr>
            <w:tcW w:type="dxa" w:w="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(113) </w:t>
            </w:r>
          </w:p>
        </w:tc>
        <w:tc>
          <w:tcPr>
            <w:tcW w:type="dxa" w:w="52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376</w:t>
            </w:r>
          </w:p>
        </w:tc>
      </w:tr>
      <w:tr>
        <w:trPr>
          <w:trHeight w:hRule="exact" w:val="242"/>
        </w:trPr>
        <w:tc>
          <w:tcPr>
            <w:tcW w:type="dxa" w:w="5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income</w:t>
            </w:r>
          </w:p>
        </w:tc>
        <w:tc>
          <w:tcPr>
            <w:tcW w:type="dxa" w:w="150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$ 1,236 $ 1,185 </w:t>
            </w:r>
          </w:p>
        </w:tc>
        <w:tc>
          <w:tcPr>
            <w:tcW w:type="dxa" w:w="52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51</w:t>
            </w:r>
          </w:p>
        </w:tc>
        <w:tc>
          <w:tcPr>
            <w:tcW w:type="dxa" w:w="6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26" w:after="5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Adjustments to reconcile net income to allocable income: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359"/>
        <w:gridCol w:w="1359"/>
        <w:gridCol w:w="1359"/>
        <w:gridCol w:w="1359"/>
        <w:gridCol w:w="1359"/>
        <w:gridCol w:w="1359"/>
        <w:gridCol w:w="1359"/>
      </w:tblGrid>
      <w:tr>
        <w:trPr>
          <w:trHeight w:hRule="exact" w:val="194"/>
        </w:trPr>
        <w:tc>
          <w:tcPr>
            <w:tcW w:type="dxa" w:w="5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Pension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and other adjustments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(58)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(238) </w:t>
            </w:r>
          </w:p>
        </w:tc>
        <w:tc>
          <w:tcPr>
            <w:tcW w:type="dxa" w:w="144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tcBorders/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180</w:t>
            </w:r>
          </w:p>
        </w:tc>
        <w:tc>
          <w:tcPr>
            <w:tcW w:type="dxa" w:w="462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Board of Governors-approved and other transfers 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815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371 </w:t>
            </w:r>
          </w:p>
        </w:tc>
        <w:tc>
          <w:tcPr>
            <w:tcW w:type="dxa" w:w="144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444</w:t>
            </w:r>
          </w:p>
        </w:tc>
      </w:tr>
      <w:tr>
        <w:trPr>
          <w:trHeight w:hRule="exact" w:val="240"/>
        </w:trPr>
        <w:tc>
          <w:tcPr>
            <w:tcW w:type="dxa" w:w="5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Non-functional currency translation adjustment losses (gains), net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(16) </w:t>
            </w:r>
          </w:p>
        </w:tc>
        <w:tc>
          <w:tcPr>
            <w:tcW w:type="dxa" w:w="144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76</w:t>
            </w:r>
          </w:p>
        </w:tc>
        <w:tc>
          <w:tcPr>
            <w:tcW w:type="dxa" w:w="40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6"/>
        </w:trPr>
        <w:tc>
          <w:tcPr>
            <w:tcW w:type="dxa" w:w="528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(gains) losses on non-trading portfolios, net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(263) </w:t>
            </w:r>
          </w:p>
        </w:tc>
        <w:tc>
          <w:tcPr>
            <w:tcW w:type="dxa" w:w="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14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2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(376)</w:t>
            </w:r>
          </w:p>
        </w:tc>
        <w:tc>
          <w:tcPr>
            <w:tcW w:type="dxa" w:w="3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0"/>
        </w:trPr>
        <w:tc>
          <w:tcPr>
            <w:tcW w:type="dxa" w:w="52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Allocable income</w:t>
            </w:r>
          </w:p>
        </w:tc>
        <w:tc>
          <w:tcPr>
            <w:tcW w:type="dxa" w:w="1506"/>
            <w:gridSpan w:val="2"/>
            <w:vMerge w:val="restart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$ 1,790 $ 1,415 </w:t>
            </w:r>
          </w:p>
        </w:tc>
        <w:tc>
          <w:tcPr>
            <w:tcW w:type="dxa" w:w="14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406"/>
            <w:tcBorders>
              <w:top w:sz="8.0" w:val="single" w:color="#000000"/>
              <w:bottom w:sz="8.0" w:val="single" w:color="#000000"/>
            </w:tcBorders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375</w:t>
            </w:r>
          </w:p>
        </w:tc>
      </w:tr>
      <w:tr>
        <w:trPr>
          <w:trHeight w:hRule="exact" w:val="140"/>
        </w:trPr>
        <w:tc>
          <w:tcPr>
            <w:tcW w:type="dxa" w:w="5288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8"/>
            <w:gridSpan w:val="2"/>
            <w:vMerge/>
            <w:tcBorders>
              <w:top w:sz="8.0" w:val="single" w:color="#000000"/>
              <w:bottom w:sz="4.0" w:val="single" w:color="#929292"/>
            </w:tcBorders>
          </w:tcPr>
          <w:p/>
        </w:tc>
        <w:tc>
          <w:tcPr>
            <w:tcW w:type="dxa" w:w="144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2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10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related derivatives. </w:t>
      </w:r>
    </w:p>
    <w:p>
      <w:pPr>
        <w:autoSpaceDN w:val="0"/>
        <w:autoSpaceDE w:val="0"/>
        <w:widowControl/>
        <w:spacing w:line="202" w:lineRule="exact" w:before="4" w:after="0"/>
        <w:ind w:left="0" w:right="16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Includes unrealized mark-to-market gains (losses) on the Investments-trading portfolio, except forward contracts related to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assets held at amortized cost, and Post Employment Benefit Plan (PEBP) and Post-Retirement Contribution Reserve Fund </w:t>
      </w:r>
      <w:r>
        <w:rPr>
          <w:rFonts w:ascii="Arial" w:hAnsi="Arial" w:eastAsia="Arial"/>
          <w:b w:val="0"/>
          <w:i/>
          <w:color w:val="000000"/>
          <w:sz w:val="16"/>
        </w:rPr>
        <w:t>c. Adjusted to exclude amounts reclassified to realized gains (losses).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44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d. Adjustment to pension accounting expense to arrive at pension plan contributions. Pension plan and PCRF contributions were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$207 million in FY25 YTD and $206 million in FY24 YTD.</w:t>
      </w:r>
    </w:p>
    <w:p>
      <w:pPr>
        <w:autoSpaceDN w:val="0"/>
        <w:autoSpaceDE w:val="0"/>
        <w:widowControl/>
        <w:spacing w:line="202" w:lineRule="exact" w:before="274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3: Condensed Balance Sheets</w:t>
      </w:r>
    </w:p>
    <w:p>
      <w:pPr>
        <w:autoSpaceDN w:val="0"/>
        <w:autoSpaceDE w:val="0"/>
        <w:widowControl/>
        <w:spacing w:line="180" w:lineRule="exact" w:before="60" w:after="3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359"/>
        <w:gridCol w:w="1359"/>
        <w:gridCol w:w="1359"/>
        <w:gridCol w:w="1359"/>
        <w:gridCol w:w="1359"/>
        <w:gridCol w:w="1359"/>
        <w:gridCol w:w="1359"/>
      </w:tblGrid>
      <w:tr>
        <w:trPr>
          <w:trHeight w:hRule="exact" w:val="238"/>
        </w:trPr>
        <w:tc>
          <w:tcPr>
            <w:tcW w:type="dxa" w:w="3188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As of</w:t>
            </w:r>
          </w:p>
        </w:tc>
        <w:tc>
          <w:tcPr>
            <w:tcW w:type="dxa" w:w="216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March 31, 2025</w:t>
            </w:r>
          </w:p>
        </w:tc>
        <w:tc>
          <w:tcPr>
            <w:tcW w:type="dxa" w:w="1290"/>
            <w:gridSpan w:val="2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June 30, 2024</w:t>
            </w:r>
          </w:p>
        </w:tc>
        <w:tc>
          <w:tcPr>
            <w:tcW w:type="dxa" w:w="2626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0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Decrease</w:t>
            </w: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Increase</w:t>
            </w:r>
          </w:p>
        </w:tc>
        <w:tc>
          <w:tcPr>
            <w:tcW w:type="dxa" w:w="788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1"/>
        </w:trPr>
        <w:tc>
          <w:tcPr>
            <w:tcW w:type="dxa" w:w="3188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 and due from banks</w:t>
            </w:r>
          </w:p>
        </w:tc>
        <w:tc>
          <w:tcPr>
            <w:tcW w:type="dxa" w:w="21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40"/>
            <w:gridSpan w:val="2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2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100,946 $ </w:t>
            </w:r>
          </w:p>
        </w:tc>
        <w:tc>
          <w:tcPr>
            <w:tcW w:type="dxa" w:w="81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83,297 </w:t>
            </w:r>
          </w:p>
        </w:tc>
        <w:tc>
          <w:tcPr>
            <w:tcW w:type="dxa" w:w="262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36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17,649</w:t>
            </w:r>
          </w:p>
        </w:tc>
        <w:tc>
          <w:tcPr>
            <w:tcW w:type="dxa" w:w="788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1"/>
        </w:trPr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loans outstanding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21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272,532 </w:t>
            </w:r>
          </w:p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260,236 </w:t>
            </w:r>
          </w:p>
        </w:tc>
        <w:tc>
          <w:tcPr>
            <w:tcW w:type="dxa" w:w="2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12,296</w:t>
            </w:r>
          </w:p>
        </w:tc>
        <w:tc>
          <w:tcPr>
            <w:tcW w:type="dxa" w:w="78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21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 </w:t>
            </w:r>
          </w:p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456 </w:t>
            </w:r>
          </w:p>
        </w:tc>
        <w:tc>
          <w:tcPr>
            <w:tcW w:type="dxa" w:w="2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15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(1)</w:t>
            </w:r>
          </w:p>
        </w:tc>
        <w:tc>
          <w:tcPr>
            <w:tcW w:type="dxa" w:w="78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8"/>
        </w:trPr>
        <w:tc>
          <w:tcPr>
            <w:tcW w:type="dxa" w:w="318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assets</w:t>
            </w:r>
          </w:p>
        </w:tc>
        <w:tc>
          <w:tcPr>
            <w:tcW w:type="dxa" w:w="2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16,212 </w:t>
            </w:r>
          </w:p>
        </w:tc>
        <w:tc>
          <w:tcPr>
            <w:tcW w:type="dxa" w:w="8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12,623 </w:t>
            </w:r>
          </w:p>
        </w:tc>
        <w:tc>
          <w:tcPr>
            <w:tcW w:type="dxa" w:w="26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8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3,589</w:t>
            </w:r>
          </w:p>
        </w:tc>
        <w:tc>
          <w:tcPr>
            <w:tcW w:type="dxa" w:w="78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0"/>
        </w:trPr>
        <w:tc>
          <w:tcPr>
            <w:tcW w:type="dxa" w:w="31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Assets</w:t>
            </w:r>
          </w:p>
        </w:tc>
        <w:tc>
          <w:tcPr>
            <w:tcW w:type="dxa" w:w="2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390,145 $ </w:t>
            </w:r>
          </w:p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356,612 </w:t>
            </w:r>
          </w:p>
        </w:tc>
        <w:tc>
          <w:tcPr>
            <w:tcW w:type="dxa" w:w="26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33,533</w:t>
            </w:r>
          </w:p>
        </w:tc>
      </w:tr>
      <w:tr>
        <w:trPr>
          <w:trHeight w:hRule="exact" w:val="236"/>
        </w:trPr>
        <w:tc>
          <w:tcPr>
            <w:tcW w:type="dxa" w:w="318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2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296,327 </w:t>
            </w:r>
          </w:p>
        </w:tc>
        <w:tc>
          <w:tcPr>
            <w:tcW w:type="dxa" w:w="8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  <w:tc>
          <w:tcPr>
            <w:tcW w:type="dxa" w:w="262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0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34,537</w:t>
            </w:r>
          </w:p>
        </w:tc>
      </w:tr>
      <w:tr>
        <w:trPr>
          <w:trHeight w:hRule="exact" w:val="254"/>
        </w:trPr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21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17,173 </w:t>
            </w:r>
          </w:p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22,728 </w:t>
            </w:r>
          </w:p>
        </w:tc>
        <w:tc>
          <w:tcPr>
            <w:tcW w:type="dxa" w:w="2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3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(5,555)</w:t>
            </w:r>
          </w:p>
        </w:tc>
        <w:tc>
          <w:tcPr>
            <w:tcW w:type="dxa" w:w="78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liabilities</w:t>
            </w:r>
          </w:p>
        </w:tc>
        <w:tc>
          <w:tcPr>
            <w:tcW w:type="dxa" w:w="21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10,126 </w:t>
            </w:r>
          </w:p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8,610 </w:t>
            </w:r>
          </w:p>
        </w:tc>
        <w:tc>
          <w:tcPr>
            <w:tcW w:type="dxa" w:w="2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9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1,516</w:t>
            </w:r>
          </w:p>
        </w:tc>
        <w:tc>
          <w:tcPr>
            <w:tcW w:type="dxa" w:w="78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0"/>
        </w:trPr>
        <w:tc>
          <w:tcPr>
            <w:tcW w:type="dxa" w:w="318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Equity</w:t>
            </w:r>
          </w:p>
        </w:tc>
        <w:tc>
          <w:tcPr>
            <w:tcW w:type="dxa" w:w="2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66,519 </w:t>
            </w:r>
          </w:p>
        </w:tc>
        <w:tc>
          <w:tcPr>
            <w:tcW w:type="dxa" w:w="8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63,484 </w:t>
            </w:r>
          </w:p>
        </w:tc>
        <w:tc>
          <w:tcPr>
            <w:tcW w:type="dxa" w:w="26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8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3,035</w:t>
            </w:r>
          </w:p>
        </w:tc>
        <w:tc>
          <w:tcPr>
            <w:tcW w:type="dxa" w:w="78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0"/>
        </w:trPr>
        <w:tc>
          <w:tcPr>
            <w:tcW w:type="dxa" w:w="31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Liabilities and Equity</w:t>
            </w:r>
          </w:p>
        </w:tc>
        <w:tc>
          <w:tcPr>
            <w:tcW w:type="dxa" w:w="2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40"/>
            <w:gridSpan w:val="2"/>
            <w:vMerge w:val="restart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390,145 $ </w:t>
            </w:r>
          </w:p>
        </w:tc>
        <w:tc>
          <w:tcPr>
            <w:tcW w:type="dxa" w:w="810"/>
            <w:vMerge w:val="restart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356,612 </w:t>
            </w:r>
          </w:p>
        </w:tc>
        <w:tc>
          <w:tcPr>
            <w:tcW w:type="dxa" w:w="26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33,533</w:t>
            </w:r>
          </w:p>
        </w:tc>
      </w:tr>
      <w:tr>
        <w:trPr>
          <w:trHeight w:hRule="exact" w:val="242"/>
        </w:trPr>
        <w:tc>
          <w:tcPr>
            <w:tcW w:type="dxa" w:w="3188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8"/>
            <w:gridSpan w:val="2"/>
            <w:vMerge/>
            <w:tcBorders>
              <w:top w:sz="8.0" w:val="single" w:color="#000000"/>
              <w:bottom w:sz="4.0" w:val="single" w:color="#929292"/>
            </w:tcBorders>
          </w:tcPr>
          <w:p/>
        </w:tc>
        <w:tc>
          <w:tcPr>
            <w:tcW w:type="dxa" w:w="1359"/>
            <w:vMerge/>
            <w:tcBorders>
              <w:top w:sz="8.0" w:val="single" w:color="#000000"/>
              <w:bottom w:sz="4.0" w:val="single" w:color="#929292"/>
            </w:tcBorders>
          </w:tcPr>
          <w:p/>
        </w:tc>
        <w:tc>
          <w:tcPr>
            <w:tcW w:type="dxa" w:w="262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8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3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 fair value of IBRD’s loans was $269,084 million as of March 31, 2025 ($257,415 million – June 30, 2024).</w:t>
      </w:r>
    </w:p>
    <w:p>
      <w:pPr>
        <w:autoSpaceDN w:val="0"/>
        <w:autoSpaceDE w:val="0"/>
        <w:widowControl/>
        <w:spacing w:line="224" w:lineRule="exact" w:before="1578" w:after="0"/>
        <w:ind w:left="0" w:right="14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9</w:t>
      </w:r>
    </w:p>
    <w:p>
      <w:pPr>
        <w:sectPr>
          <w:pgSz w:w="12240" w:h="15840"/>
          <w:pgMar w:top="256" w:right="130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22" w:lineRule="exact" w:before="24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main drivers of the change in the Balance Sheet  are below: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120" w:after="0"/>
        <w:ind w:left="36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investments and due from banks primarily due to net cash inflows from new debt issuances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exceeding net loan disbursements during FY25 YTD;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82" w:after="0"/>
        <w:ind w:left="3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Increase in net loans outstanding primarily from net loan disbursements during FY25 YTD;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54" w:after="0"/>
        <w:ind w:left="36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other assets mainly due to the purchase of assets at amortized cost associated with forward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contracts;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82" w:after="0"/>
        <w:ind w:left="3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Increase in borrowings primarily due to net new issuances;</w:t>
      </w:r>
    </w:p>
    <w:p>
      <w:pPr>
        <w:autoSpaceDN w:val="0"/>
        <w:tabs>
          <w:tab w:pos="720" w:val="left"/>
        </w:tabs>
        <w:autoSpaceDE w:val="0"/>
        <w:widowControl/>
        <w:spacing w:line="238" w:lineRule="exact" w:before="62" w:after="0"/>
        <w:ind w:left="3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Decrease in derivative liabilities, net due to the gains on borrowing-related derivatives as a result of the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decrease in relevant interest rates; and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equity, primarily due to the increase in accumulated other comprehensive income (AOCI),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driven by the higher Debit Valuation Adjustment (DVA) on Fair Value Option elected liabilities due to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changes in IBRD's own credit, and the net income during FY25 YTD.</w:t>
      </w:r>
    </w:p>
    <w:p>
      <w:pPr>
        <w:autoSpaceDN w:val="0"/>
        <w:autoSpaceDE w:val="0"/>
        <w:widowControl/>
        <w:spacing w:line="268" w:lineRule="exact" w:before="31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Net Income </w:t>
      </w:r>
    </w:p>
    <w:p>
      <w:pPr>
        <w:autoSpaceDN w:val="0"/>
        <w:autoSpaceDE w:val="0"/>
        <w:widowControl/>
        <w:spacing w:line="240" w:lineRule="exact" w:before="12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net income was $1,236 million for the first nine months of FY25, compared with net income of $1,185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during the same period in FY24. The $51 million increase was primarily due to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on IBRD’s non-trading portfolios in FY25 YTD, as compared to unrealized mark-to-market losses in FY24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YTD, and an increase in net revenue on interest earning assets.  These were offset by higher Board of Governors-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approved transfers of $444 million (Table 2). The $815 million of Board of Governors-approved transfers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expensed as grants upon approval by the Board of Governors in FY25 YTD, and were funded from IBRD's prior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years' allocable income.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Results from Lending activities</w:t>
      </w:r>
    </w:p>
    <w:p>
      <w:pPr>
        <w:autoSpaceDN w:val="0"/>
        <w:autoSpaceDE w:val="0"/>
        <w:widowControl/>
        <w:spacing w:line="244" w:lineRule="exact" w:before="14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Loan Interest Revenue</w:t>
      </w:r>
    </w:p>
    <w:p>
      <w:pPr>
        <w:autoSpaceDN w:val="0"/>
        <w:autoSpaceDE w:val="0"/>
        <w:widowControl/>
        <w:spacing w:line="240" w:lineRule="exact" w:before="126" w:after="146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IBRD’s pricing policy, the lending rates for loans are based on the underlying cost of the borrowings funding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loans. After the effect of related derivatives, the loan and borrowing portfolios are based on variable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rates (Figure 2). The portion of the loan portfolio funded by equity is sensitive to changes in short-term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rates.</w:t>
      </w:r>
    </w:p>
    <w:p>
      <w:pPr>
        <w:sectPr>
          <w:pgSz w:w="12240" w:h="15840"/>
          <w:pgMar w:top="25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2" w:lineRule="exact" w:before="10" w:after="0"/>
        <w:ind w:left="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 xml:space="preserve">Figure 2: Loans interest revenue and funding cost </w:t>
      </w:r>
      <w:r>
        <w:rPr>
          <w:rFonts w:ascii="Arial" w:hAnsi="Arial" w:eastAsia="Arial"/>
          <w:b/>
          <w:i w:val="0"/>
          <w:color w:val="000000"/>
          <w:sz w:val="18"/>
        </w:rPr>
        <w:t xml:space="preserve">(including related derivatives)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dollars, YTD</w:t>
      </w:r>
    </w:p>
    <w:p>
      <w:pPr>
        <w:sectPr>
          <w:type w:val="continuous"/>
          <w:pgSz w:w="12240" w:h="15840"/>
          <w:pgMar w:top="256" w:right="1370" w:bottom="136" w:left="1440" w:header="720" w:footer="720" w:gutter="0"/>
          <w:cols w:num="2" w:equalWidth="0">
            <w:col w:w="4662" w:space="0"/>
            <w:col w:w="4768" w:space="0"/>
          </w:cols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122"/>
        <w:ind w:left="334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 xml:space="preserve">Figure 3: Loan interest revenue, net of funding </w:t>
      </w:r>
      <w:r>
        <w:rPr>
          <w:rFonts w:ascii="Arial" w:hAnsi="Arial" w:eastAsia="Arial"/>
          <w:b/>
          <w:i w:val="0"/>
          <w:color w:val="000000"/>
          <w:sz w:val="18"/>
        </w:rPr>
        <w:t>costs ᵃ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dollars, YTD</w:t>
      </w:r>
    </w:p>
    <w:p>
      <w:pPr>
        <w:sectPr>
          <w:type w:val="nextColumn"/>
          <w:pgSz w:w="12240" w:h="15840"/>
          <w:pgMar w:top="256" w:right="1370" w:bottom="136" w:left="1440" w:header="720" w:footer="720" w:gutter="0"/>
          <w:cols w:num="2" w:equalWidth="0">
            <w:col w:w="4662" w:space="0"/>
            <w:col w:w="476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rPr>
          <w:trHeight w:hRule="exact" w:val="160"/>
        </w:trPr>
        <w:tc>
          <w:tcPr>
            <w:tcW w:type="dxa" w:w="640"/>
            <w:vMerge w:val="restart"/>
            <w:tcBorders>
              <w:bottom w:sz="18.0" w:val="single" w:color="#6D6D6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42"/>
            <w:gridSpan w:val="5"/>
            <w:vMerge w:val="restart"/>
            <w:tcBorders>
              <w:bottom w:sz="18.0" w:val="single" w:color="#6D6D6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72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Loan interest revenue (including related derivatives)</w:t>
            </w:r>
          </w:p>
        </w:tc>
        <w:tc>
          <w:tcPr>
            <w:tcW w:type="dxa" w:w="1198"/>
            <w:vMerge w:val="restart"/>
            <w:tcBorders>
              <w:bottom w:sz="18.0" w:val="single" w:color="#6D6D6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7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Loan interest revenue, net of funding costs ᵃ</w:t>
            </w:r>
          </w:p>
        </w:tc>
      </w:tr>
      <w:tr>
        <w:trPr>
          <w:trHeight w:hRule="exact" w:val="90"/>
        </w:trPr>
        <w:tc>
          <w:tcPr>
            <w:tcW w:type="dxa" w:w="786"/>
            <w:vMerge/>
            <w:tcBorders>
              <w:bottom w:sz="18.0" w:val="single" w:color="#6D6D6D"/>
            </w:tcBorders>
          </w:tcPr>
          <w:p/>
        </w:tc>
        <w:tc>
          <w:tcPr>
            <w:tcW w:type="dxa" w:w="3930"/>
            <w:gridSpan w:val="5"/>
            <w:vMerge/>
            <w:tcBorders>
              <w:bottom w:sz="18.0" w:val="single" w:color="#6D6D6D"/>
            </w:tcBorders>
          </w:tcPr>
          <w:p/>
        </w:tc>
        <w:tc>
          <w:tcPr>
            <w:tcW w:type="dxa" w:w="786"/>
            <w:vMerge/>
            <w:tcBorders>
              <w:bottom w:sz="18.0" w:val="single" w:color="#6D6D6D"/>
            </w:tcBorders>
          </w:tcPr>
          <w:p/>
        </w:tc>
        <w:tc>
          <w:tcPr>
            <w:tcW w:type="dxa" w:w="378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 xml:space="preserve">Loan interest revenue, net of funding costs ᵃ and </w:t>
            </w:r>
          </w:p>
        </w:tc>
      </w:tr>
      <w:tr>
        <w:trPr>
          <w:trHeight w:hRule="exact" w:val="70"/>
        </w:trPr>
        <w:tc>
          <w:tcPr>
            <w:tcW w:type="dxa" w:w="640"/>
            <w:vMerge w:val="restart"/>
            <w:tcBorders>
              <w:top w:sz="18.0" w:val="single" w:color="#6D6D6D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42"/>
            <w:gridSpan w:val="5"/>
            <w:vMerge w:val="restart"/>
            <w:tcBorders>
              <w:top w:sz="18.0" w:val="single" w:color="#6D6D6D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Loan funding cost (including related derivatives)</w:t>
            </w:r>
          </w:p>
        </w:tc>
        <w:tc>
          <w:tcPr>
            <w:tcW w:type="dxa" w:w="1198"/>
            <w:vMerge w:val="restart"/>
            <w:tcBorders>
              <w:top w:sz="18.0" w:val="single" w:color="#6D6D6D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786"/>
            <w:vMerge/>
            <w:tcBorders>
              <w:top w:sz="18.0" w:val="single" w:color="#6D6D6D"/>
              <w:bottom w:sz="6.0" w:val="single" w:color="#E5E6E5"/>
            </w:tcBorders>
          </w:tcPr>
          <w:p/>
        </w:tc>
        <w:tc>
          <w:tcPr>
            <w:tcW w:type="dxa" w:w="3930"/>
            <w:gridSpan w:val="5"/>
            <w:vMerge/>
            <w:tcBorders>
              <w:top w:sz="18.0" w:val="single" w:color="#6D6D6D"/>
              <w:bottom w:sz="6.0" w:val="single" w:color="#E5E6E5"/>
            </w:tcBorders>
          </w:tcPr>
          <w:p/>
        </w:tc>
        <w:tc>
          <w:tcPr>
            <w:tcW w:type="dxa" w:w="786"/>
            <w:vMerge/>
            <w:tcBorders>
              <w:top w:sz="18.0" w:val="single" w:color="#6D6D6D"/>
              <w:bottom w:sz="6.0" w:val="single" w:color="#E5E6E5"/>
            </w:tcBorders>
          </w:tcPr>
          <w:p/>
        </w:tc>
        <w:tc>
          <w:tcPr>
            <w:tcW w:type="dxa" w:w="3780"/>
            <w:gridSpan w:val="5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4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4"/>
              </w:rPr>
              <w:t>Other ALM derivatives, combined</w:t>
            </w:r>
          </w:p>
        </w:tc>
      </w:tr>
      <w:tr>
        <w:trPr>
          <w:trHeight w:hRule="exact" w:val="220"/>
        </w:trPr>
        <w:tc>
          <w:tcPr>
            <w:tcW w:type="dxa" w:w="64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15,000</w:t>
            </w:r>
          </w:p>
        </w:tc>
        <w:tc>
          <w:tcPr>
            <w:tcW w:type="dxa" w:w="3542"/>
            <w:gridSpan w:val="5"/>
            <w:vMerge w:val="restart"/>
            <w:tcBorders>
              <w:top w:sz="6.0" w:val="single" w:color="#E5E6E5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9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4,000</w:t>
            </w:r>
          </w:p>
        </w:tc>
        <w:tc>
          <w:tcPr>
            <w:tcW w:type="dxa" w:w="3780"/>
            <w:gridSpan w:val="5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7100" cy="6477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7100" cy="64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80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12,000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  <w:bottom w:sz="6.0" w:val="single" w:color="#E5E6E5"/>
            </w:tcBorders>
          </w:tcPr>
          <w:p/>
        </w:tc>
        <w:tc>
          <w:tcPr>
            <w:tcW w:type="dxa" w:w="1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7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400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9,000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  <w:bottom w:sz="6.0" w:val="single" w:color="#E5E6E5"/>
            </w:tcBorders>
          </w:tcPr>
          <w:p/>
        </w:tc>
        <w:tc>
          <w:tcPr>
            <w:tcW w:type="dxa" w:w="1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302"/>
        </w:trPr>
        <w:tc>
          <w:tcPr>
            <w:tcW w:type="dxa" w:w="640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6,000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  <w:bottom w:sz="6.0" w:val="single" w:color="#E5E6E5"/>
            </w:tcBorders>
          </w:tcPr>
          <w:p/>
        </w:tc>
        <w:tc>
          <w:tcPr>
            <w:tcW w:type="dxa" w:w="1198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218"/>
        </w:trPr>
        <w:tc>
          <w:tcPr>
            <w:tcW w:type="dxa" w:w="640"/>
            <w:vMerge w:val="restart"/>
            <w:tcBorders>
              <w:top w:sz="6.0" w:val="single" w:color="#E5E6E5"/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3,000</w:t>
            </w:r>
          </w:p>
        </w:tc>
        <w:tc>
          <w:tcPr>
            <w:tcW w:type="dxa" w:w="3542"/>
            <w:gridSpan w:val="5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133600" cy="927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927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9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1,000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202"/>
        </w:trPr>
        <w:tc>
          <w:tcPr>
            <w:tcW w:type="dxa" w:w="786"/>
            <w:vMerge/>
            <w:tcBorders>
              <w:top w:sz="6.0" w:val="single" w:color="#E5E6E5"/>
              <w:bottom w:sz="6.0" w:val="single" w:color="#E5E6E5"/>
            </w:tcBorders>
          </w:tcPr>
          <w:p/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  <w:tc>
          <w:tcPr>
            <w:tcW w:type="dxa" w:w="1198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98"/>
        </w:trPr>
        <w:tc>
          <w:tcPr>
            <w:tcW w:type="dxa" w:w="64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  <w:tc>
          <w:tcPr>
            <w:tcW w:type="dxa" w:w="119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3930"/>
            <w:gridSpan w:val="5"/>
            <w:vMerge/>
            <w:tcBorders>
              <w:top w:sz="6.0" w:val="single" w:color="#E5E6E5"/>
            </w:tcBorders>
          </w:tcPr>
          <w:p/>
        </w:tc>
      </w:tr>
      <w:tr>
        <w:trPr>
          <w:trHeight w:hRule="exact" w:val="234"/>
        </w:trPr>
        <w:tc>
          <w:tcPr>
            <w:tcW w:type="dxa" w:w="786"/>
            <w:vMerge/>
            <w:tcBorders>
              <w:top w:sz="6.0" w:val="single" w:color="#E5E6E5"/>
            </w:tcBorders>
          </w:tcPr>
          <w:p/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  <w:tc>
          <w:tcPr>
            <w:tcW w:type="dxa" w:w="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FY25</w:t>
            </w:r>
          </w:p>
        </w:tc>
        <w:tc>
          <w:tcPr>
            <w:tcW w:type="dxa" w:w="119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8" w:after="0"/>
              <w:ind w:left="0" w:right="1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a.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FY25</w:t>
            </w:r>
          </w:p>
        </w:tc>
      </w:tr>
      <w:tr>
        <w:trPr>
          <w:trHeight w:hRule="exact" w:val="262"/>
        </w:trPr>
        <w:tc>
          <w:tcPr>
            <w:tcW w:type="dxa" w:w="786"/>
            <w:vMerge/>
            <w:tcBorders>
              <w:top w:sz="6.0" w:val="single" w:color="#E5E6E5"/>
            </w:tcBorders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37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Includes related derivatives.</w:t>
            </w:r>
          </w:p>
        </w:tc>
      </w:tr>
    </w:tbl>
    <w:p>
      <w:pPr>
        <w:autoSpaceDN w:val="0"/>
        <w:autoSpaceDE w:val="0"/>
        <w:widowControl/>
        <w:spacing w:line="240" w:lineRule="exact" w:before="206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first nine months of FY25, IBRD’s loan interest revenue, net of funding costs was $3,635 million,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of $36 million, compared with the same period in FY24 (Figure 3), consistent with the increase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average loan balance during the period. Other ALM derivatives moderate the impact of interest rate changes 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portion of the loan portfolio that is sensitive to interest rate movements, thereby partially stabilizing the net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earned from these loans (as illustrated in Figure 3). Other ALM derivatives comprise interest rate swaps,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are used to convert the variable rate cash flows from these loans to fixed rate cash flows. 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2024, as a part of the package of measures to deliver on WBG's new vision and mission, the Board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approved adjustments to IBRD's loan pricing, which include: 1) establishing a grace period, during which no </w:t>
      </w:r>
    </w:p>
    <w:p>
      <w:pPr>
        <w:autoSpaceDN w:val="0"/>
        <w:autoSpaceDE w:val="0"/>
        <w:widowControl/>
        <w:spacing w:line="224" w:lineRule="exact" w:before="724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10     IBRD Management's Discussion and Analysis: March 31, 2025</w:t>
      </w:r>
    </w:p>
    <w:p>
      <w:pPr>
        <w:sectPr>
          <w:type w:val="continuous"/>
          <w:pgSz w:w="12240" w:h="15840"/>
          <w:pgMar w:top="25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40" w:lineRule="exact" w:before="22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commitment fees are charged for the first four years for Investment Project Financing (IPFs) and Program-for-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Results Financing (PforRs); 2) removal of the prepayment premium; 3) introduction of a 7 year Short Maturity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(SML) with a maturity discount applied to the contractual spread; and 4) expansion of the lowest pricing group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 all CRDC-eligible IBRD borrowers under current eligibility requirements. See below section for additional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details on CRDC.</w:t>
      </w:r>
    </w:p>
    <w:p>
      <w:pPr>
        <w:autoSpaceDN w:val="0"/>
        <w:autoSpaceDE w:val="0"/>
        <w:widowControl/>
        <w:spacing w:line="244" w:lineRule="exact" w:before="19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Provision for losses on loans and other exposures</w:t>
      </w:r>
    </w:p>
    <w:p>
      <w:pPr>
        <w:autoSpaceDN w:val="0"/>
        <w:autoSpaceDE w:val="0"/>
        <w:widowControl/>
        <w:spacing w:line="240" w:lineRule="exact" w:before="186" w:after="86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recorded a provision expense for losses on loans and other exposures of $12 million in FY25 YTD, compared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$53 million in FY24 YTD. As the majority of IBRD’s loans carry variable interest rates, changes in forward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rates impact the expected losses that are recorded through the provision for losses on loans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 in the statements of income. Accordingly, the change was primarily driven by the lower loss given default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(severity) compared to FY24 YTD, due to the decrease in relevant implied forward interest rates in FY25 YTD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compared to an increase in FY24 YTD. The severity reflects the expected losses from delays in receiving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payments since IBRD does not charge interest on overdue interest.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  <w:gridCol w:w="555"/>
      </w:tblGrid>
      <w:tr>
        <w:trPr>
          <w:trHeight w:hRule="exact" w:val="528"/>
        </w:trPr>
        <w:tc>
          <w:tcPr>
            <w:tcW w:type="dxa" w:w="52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20" w:right="144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Figure 4: Change in Net Loans Outstanding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  <w:tc>
          <w:tcPr>
            <w:tcW w:type="dxa" w:w="41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" w:after="0"/>
              <w:ind w:left="20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Figure 5: Net Loans Outstanding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</w:tr>
      <w:tr>
        <w:trPr>
          <w:trHeight w:hRule="exact" w:val="708"/>
        </w:trPr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300</w:t>
            </w:r>
          </w:p>
        </w:tc>
        <w:tc>
          <w:tcPr>
            <w:tcW w:type="dxa" w:w="4920"/>
            <w:gridSpan w:val="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8.0000000000001" w:type="dxa"/>
            </w:tblPr>
            <w:tblGrid>
              <w:gridCol w:w="4920"/>
            </w:tblGrid>
            <w:tr>
              <w:trPr>
                <w:trHeight w:hRule="exact" w:val="974"/>
              </w:trPr>
              <w:tc>
                <w:tcPr>
                  <w:tcW w:type="dxa" w:w="4674"/>
                  <w:tcBorders>
                    <w:start w:sz="6.012442588806152" w:val="single" w:color="#898A89"/>
                    <w:bottom w:sz="6.012442588806152" w:val="single" w:color="#898A89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8" w:lineRule="exact" w:before="642" w:after="60"/>
                    <w:ind w:left="10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>22.1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897.9999999999998" w:type="dxa"/>
                  </w:tblPr>
                  <w:tblGrid>
                    <w:gridCol w:w="935"/>
                    <w:gridCol w:w="935"/>
                    <w:gridCol w:w="935"/>
                    <w:gridCol w:w="935"/>
                    <w:gridCol w:w="935"/>
                  </w:tblGrid>
                  <w:tr>
                    <w:trPr>
                      <w:trHeight w:hRule="exact" w:val="814"/>
                    </w:trPr>
                    <w:tc>
                      <w:tcPr>
                        <w:tcW w:type="dxa" w:w="131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588" w:after="0"/>
                          <w:ind w:left="0" w:right="70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(10.2)</w:t>
                        </w:r>
                      </w:p>
                    </w:tc>
                    <w:tc>
                      <w:tcPr>
                        <w:tcW w:type="dxa" w:w="57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604" w:after="0"/>
                          <w:ind w:left="0" w:right="4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—</w:t>
                        </w:r>
                      </w:p>
                    </w:tc>
                    <w:tc>
                      <w:tcPr>
                        <w:tcW w:type="dxa" w:w="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56" w:lineRule="exact" w:before="472" w:after="0"/>
                          <w:ind w:left="18" w:right="0" w:firstLine="0"/>
                          <w:jc w:val="left"/>
                        </w:pPr>
                        <w:r>
                          <w:rPr>
                            <w:rFonts w:ascii="Arial" w:hAnsi="Arial" w:eastAsia="Arial"/>
                            <w:b w:val="0"/>
                            <w:i/>
                            <w:color w:val="000000"/>
                            <w:sz w:val="14"/>
                          </w:rPr>
                          <w:t>a</w:t>
                        </w:r>
                      </w:p>
                    </w:tc>
                    <w:tc>
                      <w:tcPr>
                        <w:tcW w:type="dxa" w:w="6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24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0.4</w:t>
                        </w:r>
                      </w:p>
                    </w:tc>
                    <w:tc>
                      <w:tcPr>
                        <w:tcW w:type="dxa" w:w="7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242" w:after="0"/>
                          <w:ind w:left="0" w:right="96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272.5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80" w:lineRule="exact" w:before="30" w:after="0"/>
                    <w:ind w:left="18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>260.2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300</w:t>
            </w:r>
          </w:p>
        </w:tc>
        <w:tc>
          <w:tcPr>
            <w:tcW w:type="dxa" w:w="352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7.99999999999955" w:type="dxa"/>
            </w:tblPr>
            <w:tblGrid>
              <w:gridCol w:w="587"/>
              <w:gridCol w:w="587"/>
              <w:gridCol w:w="587"/>
              <w:gridCol w:w="587"/>
              <w:gridCol w:w="587"/>
              <w:gridCol w:w="587"/>
            </w:tblGrid>
            <w:tr>
              <w:trPr>
                <w:trHeight w:hRule="exact" w:val="550"/>
              </w:trPr>
              <w:tc>
                <w:tcPr>
                  <w:tcW w:type="dxa" w:w="3260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3.99999999999977" w:type="dxa"/>
                  </w:tblPr>
                  <w:tblGrid>
                    <w:gridCol w:w="652"/>
                    <w:gridCol w:w="652"/>
                    <w:gridCol w:w="652"/>
                    <w:gridCol w:w="652"/>
                    <w:gridCol w:w="652"/>
                  </w:tblGrid>
                  <w:tr>
                    <w:trPr>
                      <w:trHeight w:hRule="exact" w:val="736"/>
                    </w:trPr>
                    <w:tc>
                      <w:tcPr>
                        <w:tcW w:type="dxa" w:w="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51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218.8</w:t>
                        </w:r>
                      </w:p>
                    </w:tc>
                    <w:tc>
                      <w:tcPr>
                        <w:tcW w:type="dxa" w:w="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44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227.1</w:t>
                        </w:r>
                      </w:p>
                    </w:tc>
                    <w:tc>
                      <w:tcPr>
                        <w:tcW w:type="dxa" w:w="6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30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241.0</w:t>
                        </w:r>
                      </w:p>
                    </w:tc>
                    <w:tc>
                      <w:tcPr>
                        <w:tcW w:type="dxa" w:w="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4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260.2</w:t>
                        </w:r>
                      </w:p>
                    </w:tc>
                    <w:tc>
                      <w:tcPr>
                        <w:tcW w:type="dxa" w:w="6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20" w:after="0"/>
                          <w:ind w:left="144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272.5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587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7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7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7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7"/>
                  <w:tcBorders>
                    <w:start w:sz="6.006853103637695" w:val="single" w:color="#898A89"/>
                    <w:bottom w:sz="6.006853103637695" w:val="single" w:color="#58595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00"/>
        </w:trPr>
        <w:tc>
          <w:tcPr>
            <w:tcW w:type="dxa" w:w="555"/>
            <w:vMerge/>
            <w:tcBorders/>
          </w:tcPr>
          <w:p/>
        </w:tc>
        <w:tc>
          <w:tcPr>
            <w:tcW w:type="dxa" w:w="5550"/>
            <w:gridSpan w:val="10"/>
            <w:vMerge/>
            <w:tcBorders/>
          </w:tcPr>
          <w:p/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240</w:t>
            </w:r>
          </w:p>
        </w:tc>
        <w:tc>
          <w:tcPr>
            <w:tcW w:type="dxa" w:w="2775"/>
            <w:gridSpan w:val="5"/>
            <w:vMerge/>
            <w:tcBorders/>
          </w:tcPr>
          <w:p/>
        </w:tc>
      </w:tr>
      <w:tr>
        <w:trPr>
          <w:trHeight w:hRule="exact" w:val="74"/>
        </w:trPr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280</w:t>
            </w:r>
          </w:p>
        </w:tc>
        <w:tc>
          <w:tcPr>
            <w:tcW w:type="dxa" w:w="5550"/>
            <w:gridSpan w:val="10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2775"/>
            <w:gridSpan w:val="5"/>
            <w:vMerge/>
            <w:tcBorders/>
          </w:tcPr>
          <w:p/>
        </w:tc>
      </w:tr>
      <w:tr>
        <w:trPr>
          <w:trHeight w:hRule="exact" w:val="424"/>
        </w:trPr>
        <w:tc>
          <w:tcPr>
            <w:tcW w:type="dxa" w:w="555"/>
            <w:vMerge/>
            <w:tcBorders/>
          </w:tcPr>
          <w:p/>
        </w:tc>
        <w:tc>
          <w:tcPr>
            <w:tcW w:type="dxa" w:w="5550"/>
            <w:gridSpan w:val="10"/>
            <w:vMerge/>
            <w:tcBorders/>
          </w:tcPr>
          <w:p/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7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180</w:t>
            </w:r>
          </w:p>
          <w:p>
            <w:pPr>
              <w:autoSpaceDN w:val="0"/>
              <w:autoSpaceDE w:val="0"/>
              <w:widowControl/>
              <w:spacing w:line="180" w:lineRule="exact" w:before="37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120</w:t>
            </w:r>
          </w:p>
        </w:tc>
        <w:tc>
          <w:tcPr>
            <w:tcW w:type="dxa" w:w="2775"/>
            <w:gridSpan w:val="5"/>
            <w:vMerge/>
            <w:tcBorders/>
          </w:tcPr>
          <w:p/>
        </w:tc>
      </w:tr>
      <w:tr>
        <w:trPr>
          <w:trHeight w:hRule="exact" w:val="600"/>
        </w:trPr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260</w:t>
            </w:r>
          </w:p>
          <w:p>
            <w:pPr>
              <w:autoSpaceDN w:val="0"/>
              <w:autoSpaceDE w:val="0"/>
              <w:widowControl/>
              <w:spacing w:line="178" w:lineRule="exact" w:before="79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240</w:t>
            </w:r>
          </w:p>
        </w:tc>
        <w:tc>
          <w:tcPr>
            <w:tcW w:type="dxa" w:w="5550"/>
            <w:gridSpan w:val="10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2775"/>
            <w:gridSpan w:val="5"/>
            <w:vMerge/>
            <w:tcBorders/>
          </w:tcPr>
          <w:p/>
        </w:tc>
      </w:tr>
      <w:tr>
        <w:trPr>
          <w:trHeight w:hRule="exact" w:val="1094"/>
        </w:trPr>
        <w:tc>
          <w:tcPr>
            <w:tcW w:type="dxa" w:w="555"/>
            <w:vMerge/>
            <w:tcBorders/>
          </w:tcPr>
          <w:p/>
        </w:tc>
        <w:tc>
          <w:tcPr>
            <w:tcW w:type="dxa" w:w="5550"/>
            <w:gridSpan w:val="10"/>
            <w:vMerge/>
            <w:tcBorders/>
          </w:tcPr>
          <w:p/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</w:t>
            </w:r>
          </w:p>
          <w:p>
            <w:pPr>
              <w:autoSpaceDN w:val="0"/>
              <w:autoSpaceDE w:val="0"/>
              <w:widowControl/>
              <w:spacing w:line="178" w:lineRule="exact" w:before="378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2775"/>
            <w:gridSpan w:val="5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Net Loans </w:t>
            </w:r>
          </w:p>
        </w:tc>
        <w:tc>
          <w:tcPr>
            <w:tcW w:type="dxa" w:w="8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Gross loan </w:t>
            </w:r>
          </w:p>
        </w:tc>
        <w:tc>
          <w:tcPr>
            <w:tcW w:type="dxa" w:w="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Repayments </w:t>
            </w:r>
          </w:p>
        </w:tc>
        <w:tc>
          <w:tcPr>
            <w:tcW w:type="dxa" w:w="8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Accumulated </w:t>
            </w:r>
          </w:p>
        </w:tc>
        <w:tc>
          <w:tcPr>
            <w:tcW w:type="dxa" w:w="8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Translation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4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Net Loans </w:t>
            </w:r>
          </w:p>
        </w:tc>
        <w:tc>
          <w:tcPr>
            <w:tcW w:type="dxa" w:w="12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6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65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6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  <w:tc>
          <w:tcPr>
            <w:tcW w:type="dxa" w:w="87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 25</w:t>
            </w:r>
          </w:p>
        </w:tc>
      </w:tr>
      <w:tr>
        <w:trPr>
          <w:trHeight w:hRule="exact" w:val="140"/>
        </w:trPr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outstanding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disbursements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and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9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provision for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adjustments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outstanding </w:t>
            </w:r>
          </w:p>
        </w:tc>
        <w:tc>
          <w:tcPr>
            <w:tcW w:type="dxa" w:w="1110"/>
            <w:gridSpan w:val="2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as of June </w:t>
            </w:r>
          </w:p>
        </w:tc>
        <w:tc>
          <w:tcPr>
            <w:tcW w:type="dxa" w:w="16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prepayments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loan losses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and others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 xml:space="preserve">as of March </w:t>
            </w:r>
          </w:p>
        </w:tc>
        <w:tc>
          <w:tcPr>
            <w:tcW w:type="dxa" w:w="1110"/>
            <w:gridSpan w:val="2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30, 2024</w:t>
            </w:r>
          </w:p>
        </w:tc>
        <w:tc>
          <w:tcPr>
            <w:tcW w:type="dxa" w:w="401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6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2"/>
              </w:rPr>
              <w:t>31, 2025</w:t>
            </w:r>
          </w:p>
        </w:tc>
        <w:tc>
          <w:tcPr>
            <w:tcW w:type="dxa" w:w="1110"/>
            <w:gridSpan w:val="2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</w:tr>
      <w:tr>
        <w:trPr>
          <w:trHeight w:hRule="exact" w:val="266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a.</w:t>
            </w:r>
          </w:p>
        </w:tc>
        <w:tc>
          <w:tcPr>
            <w:tcW w:type="dxa" w:w="4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2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Amount less than $0.1 billion. </w:t>
            </w:r>
          </w:p>
        </w:tc>
        <w:tc>
          <w:tcPr>
            <w:tcW w:type="dxa" w:w="1110"/>
            <w:gridSpan w:val="2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  <w:tc>
          <w:tcPr>
            <w:tcW w:type="dxa" w:w="5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0" w:lineRule="exact" w:before="272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M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arch 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1, 2025, 80% of IBRD’s total loans outs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tanding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after derivatives, were denominated in U.S. dollars,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19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% were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denominated in euro. For the regional 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present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ation of loans outstanding, see Notes to Condensed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Quarterl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y Fina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ncial Statements, Note D - Loans and othe</w:t>
      </w:r>
      <w:r>
        <w:rPr>
          <w:shd w:val="clear" w:color="auto" w:fill="6d6d6d"/>
          <w:rFonts w:ascii="TimesNewRoman" w:hAnsi="TimesNewRoman" w:eastAsia="TimesNewRoman"/>
          <w:b w:val="0"/>
          <w:i w:val="0"/>
          <w:color w:val="000000"/>
          <w:sz w:val="20"/>
        </w:rPr>
        <w:t>r expo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sures, Table D6.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Gross disbursements were $22.1 billion in FY25 YTD, a $3.9 billion decrease compared with the same period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 (Table 4). </w:t>
      </w:r>
    </w:p>
    <w:p>
      <w:pPr>
        <w:autoSpaceDN w:val="0"/>
        <w:autoSpaceDE w:val="0"/>
        <w:widowControl/>
        <w:spacing w:line="202" w:lineRule="exact" w:before="200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4: Gross Disbursements by Region</w:t>
      </w:r>
    </w:p>
    <w:p>
      <w:pPr>
        <w:autoSpaceDN w:val="0"/>
        <w:autoSpaceDE w:val="0"/>
        <w:widowControl/>
        <w:spacing w:line="180" w:lineRule="exact" w:before="66" w:after="34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8"/>
        <w:gridCol w:w="1048"/>
        <w:gridCol w:w="1048"/>
        <w:gridCol w:w="1048"/>
        <w:gridCol w:w="1048"/>
        <w:gridCol w:w="1048"/>
        <w:gridCol w:w="1048"/>
        <w:gridCol w:w="1048"/>
        <w:gridCol w:w="1048"/>
      </w:tblGrid>
      <w:tr>
        <w:trPr>
          <w:trHeight w:hRule="exact" w:val="244"/>
        </w:trPr>
        <w:tc>
          <w:tcPr>
            <w:tcW w:type="dxa" w:w="418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For the nine months ended March 31,</w:t>
            </w:r>
          </w:p>
        </w:tc>
        <w:tc>
          <w:tcPr>
            <w:tcW w:type="dxa" w:w="354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14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 xml:space="preserve">2025 </w:t>
            </w:r>
          </w:p>
        </w:tc>
        <w:tc>
          <w:tcPr>
            <w:tcW w:type="dxa" w:w="846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% of total</w:t>
            </w:r>
          </w:p>
        </w:tc>
        <w:tc>
          <w:tcPr>
            <w:tcW w:type="dxa" w:w="43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24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 xml:space="preserve">2024 </w:t>
            </w:r>
          </w:p>
        </w:tc>
        <w:tc>
          <w:tcPr>
            <w:tcW w:type="dxa" w:w="846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% of total</w:t>
            </w:r>
          </w:p>
        </w:tc>
        <w:tc>
          <w:tcPr>
            <w:tcW w:type="dxa" w:w="1080"/>
            <w:gridSpan w:val="2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3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Variance</w:t>
            </w:r>
          </w:p>
        </w:tc>
      </w:tr>
      <w:tr>
        <w:trPr>
          <w:trHeight w:hRule="exact" w:val="236"/>
        </w:trPr>
        <w:tc>
          <w:tcPr>
            <w:tcW w:type="dxa" w:w="418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354"/>
            <w:vMerge w:val="restart"/>
            <w:tcBorders>
              <w:top w:sz="4.0" w:val="single" w:color="#929292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4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772 </w:t>
            </w:r>
          </w:p>
        </w:tc>
        <w:tc>
          <w:tcPr>
            <w:tcW w:type="dxa" w:w="846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30"/>
            <w:vMerge w:val="restart"/>
            <w:tcBorders>
              <w:top w:sz="4.0" w:val="single" w:color="#929292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824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1,851 </w:t>
            </w:r>
          </w:p>
        </w:tc>
        <w:tc>
          <w:tcPr>
            <w:tcW w:type="dxa" w:w="846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7 %</w:t>
            </w:r>
          </w:p>
        </w:tc>
        <w:tc>
          <w:tcPr>
            <w:tcW w:type="dxa" w:w="45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63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(1,079)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845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188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657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2,870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 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5,021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 </w:t>
            </w:r>
          </w:p>
        </w:tc>
        <w:tc>
          <w:tcPr>
            <w:tcW w:type="dxa" w:w="1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(2,151)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6,927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31 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9,429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36 </w:t>
            </w:r>
          </w:p>
        </w:tc>
        <w:tc>
          <w:tcPr>
            <w:tcW w:type="dxa" w:w="1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(2,502)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5,480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25 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4,313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17 </w:t>
            </w:r>
          </w:p>
        </w:tc>
        <w:tc>
          <w:tcPr>
            <w:tcW w:type="dxa" w:w="1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1,167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2,048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 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1,869 </w:t>
            </w:r>
          </w:p>
        </w:tc>
        <w:tc>
          <w:tcPr>
            <w:tcW w:type="dxa" w:w="84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 </w:t>
            </w:r>
          </w:p>
        </w:tc>
        <w:tc>
          <w:tcPr>
            <w:tcW w:type="dxa" w:w="1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179 </w:t>
            </w:r>
          </w:p>
        </w:tc>
      </w:tr>
      <w:tr>
        <w:trPr>
          <w:trHeight w:hRule="exact" w:val="246"/>
        </w:trPr>
        <w:tc>
          <w:tcPr>
            <w:tcW w:type="dxa" w:w="418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1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3,160 </w:t>
            </w:r>
          </w:p>
        </w:tc>
        <w:tc>
          <w:tcPr>
            <w:tcW w:type="dxa" w:w="846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14 </w:t>
            </w:r>
          </w:p>
        </w:tc>
        <w:tc>
          <w:tcPr>
            <w:tcW w:type="dxa" w:w="10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2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3,281 </w:t>
            </w:r>
          </w:p>
        </w:tc>
        <w:tc>
          <w:tcPr>
            <w:tcW w:type="dxa" w:w="846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 </w:t>
            </w:r>
          </w:p>
        </w:tc>
        <w:tc>
          <w:tcPr>
            <w:tcW w:type="dxa" w:w="1080"/>
            <w:gridSpan w:val="2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(121) </w:t>
            </w:r>
          </w:p>
        </w:tc>
      </w:tr>
      <w:tr>
        <w:trPr>
          <w:trHeight w:hRule="exact" w:val="220"/>
        </w:trPr>
        <w:tc>
          <w:tcPr>
            <w:tcW w:type="dxa" w:w="418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5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7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22,102 </w:t>
            </w:r>
          </w:p>
        </w:tc>
        <w:tc>
          <w:tcPr>
            <w:tcW w:type="dxa" w:w="84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43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82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8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25,952 </w:t>
            </w:r>
          </w:p>
        </w:tc>
        <w:tc>
          <w:tcPr>
            <w:tcW w:type="dxa" w:w="84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450"/>
            <w:vMerge w:val="restart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(3,850) </w:t>
            </w:r>
          </w:p>
        </w:tc>
      </w:tr>
      <w:tr>
        <w:trPr>
          <w:trHeight w:hRule="exact" w:val="214"/>
        </w:trPr>
        <w:tc>
          <w:tcPr>
            <w:tcW w:type="dxa" w:w="418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54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14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46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24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46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48"/>
            <w:vMerge/>
            <w:tcBorders>
              <w:top w:sz="8.0" w:val="single" w:color="#000000"/>
              <w:bottom w:sz="4.0" w:val="single" w:color="#929292"/>
            </w:tcBorders>
          </w:tcPr>
          <w:p/>
        </w:tc>
        <w:tc>
          <w:tcPr>
            <w:tcW w:type="dxa" w:w="63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4" w:lineRule="exact" w:before="1486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11</w:t>
      </w:r>
    </w:p>
    <w:p>
      <w:pPr>
        <w:sectPr>
          <w:pgSz w:w="12240" w:h="15840"/>
          <w:pgMar w:top="256" w:right="1370" w:bottom="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40" w:lineRule="exact" w:before="22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commitments were $27.7 billion in FY25 YTD, a $3.0 billion increase compared with the same period in FY24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(Table 5).</w:t>
      </w:r>
    </w:p>
    <w:p>
      <w:pPr>
        <w:autoSpaceDN w:val="0"/>
        <w:autoSpaceDE w:val="0"/>
        <w:widowControl/>
        <w:spacing w:line="202" w:lineRule="exact" w:before="200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5: Net Commitments by Region</w:t>
      </w:r>
    </w:p>
    <w:p>
      <w:pPr>
        <w:autoSpaceDN w:val="0"/>
        <w:autoSpaceDE w:val="0"/>
        <w:widowControl/>
        <w:spacing w:line="180" w:lineRule="exact" w:before="66" w:after="34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6"/>
        </w:trPr>
        <w:tc>
          <w:tcPr>
            <w:tcW w:type="dxa" w:w="418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For the nine months ended March 31,</w:t>
            </w:r>
          </w:p>
        </w:tc>
        <w:tc>
          <w:tcPr>
            <w:tcW w:type="dxa" w:w="304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2025</w:t>
            </w:r>
          </w:p>
        </w:tc>
        <w:tc>
          <w:tcPr>
            <w:tcW w:type="dxa" w:w="99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3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% of total</w:t>
            </w:r>
          </w:p>
        </w:tc>
        <w:tc>
          <w:tcPr>
            <w:tcW w:type="dxa" w:w="40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2024</w:t>
            </w:r>
          </w:p>
        </w:tc>
        <w:tc>
          <w:tcPr>
            <w:tcW w:type="dxa" w:w="99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3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% of total</w:t>
            </w:r>
          </w:p>
        </w:tc>
        <w:tc>
          <w:tcPr>
            <w:tcW w:type="dxa" w:w="34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30"/>
            <w:tcBorders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Variance</w:t>
            </w:r>
          </w:p>
        </w:tc>
      </w:tr>
      <w:tr>
        <w:trPr>
          <w:trHeight w:hRule="exact" w:val="230"/>
        </w:trPr>
        <w:tc>
          <w:tcPr>
            <w:tcW w:type="dxa" w:w="418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304"/>
            <w:vMerge w:val="restart"/>
            <w:tcBorders>
              <w:top w:sz="4.0" w:val="single" w:color="#929292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1,304 </w:t>
            </w:r>
          </w:p>
        </w:tc>
        <w:tc>
          <w:tcPr>
            <w:tcW w:type="dxa" w:w="99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5 %</w:t>
            </w:r>
          </w:p>
        </w:tc>
        <w:tc>
          <w:tcPr>
            <w:tcW w:type="dxa" w:w="400"/>
            <w:vMerge w:val="restart"/>
            <w:tcBorders>
              <w:top w:sz="4.0" w:val="single" w:color="#929292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1,359 </w:t>
            </w:r>
          </w:p>
        </w:tc>
        <w:tc>
          <w:tcPr>
            <w:tcW w:type="dxa" w:w="99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5 %</w:t>
            </w:r>
          </w:p>
        </w:tc>
        <w:tc>
          <w:tcPr>
            <w:tcW w:type="dxa" w:w="340"/>
            <w:vMerge w:val="restart"/>
            <w:tcBorders>
              <w:top w:sz="4.0" w:val="single" w:color="#929292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0"/>
            <w:tcBorders>
              <w:top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(55)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744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125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619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3,580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4,789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(1,209)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8,897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32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7,903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32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994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8,556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31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7,453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30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1,103 </w:t>
            </w:r>
          </w:p>
        </w:tc>
      </w:tr>
      <w:tr>
        <w:trPr>
          <w:trHeight w:hRule="exact" w:val="240"/>
        </w:trPr>
        <w:tc>
          <w:tcPr>
            <w:tcW w:type="dxa" w:w="4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2,628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2,240 </w:t>
            </w:r>
          </w:p>
        </w:tc>
        <w:tc>
          <w:tcPr>
            <w:tcW w:type="dxa" w:w="9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388 </w:t>
            </w:r>
          </w:p>
        </w:tc>
      </w:tr>
      <w:tr>
        <w:trPr>
          <w:trHeight w:hRule="exact" w:val="250"/>
        </w:trPr>
        <w:tc>
          <w:tcPr>
            <w:tcW w:type="dxa" w:w="418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2,014 </w:t>
            </w:r>
          </w:p>
        </w:tc>
        <w:tc>
          <w:tcPr>
            <w:tcW w:type="dxa" w:w="9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5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898 </w:t>
            </w:r>
          </w:p>
        </w:tc>
        <w:tc>
          <w:tcPr>
            <w:tcW w:type="dxa" w:w="9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 </w:t>
            </w:r>
          </w:p>
        </w:tc>
        <w:tc>
          <w:tcPr>
            <w:tcW w:type="dxa" w:w="1049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3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1,116 </w:t>
            </w:r>
          </w:p>
        </w:tc>
      </w:tr>
      <w:tr>
        <w:trPr>
          <w:trHeight w:hRule="exact" w:val="220"/>
        </w:trPr>
        <w:tc>
          <w:tcPr>
            <w:tcW w:type="dxa" w:w="418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0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2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27,723 </w:t>
            </w:r>
          </w:p>
        </w:tc>
        <w:tc>
          <w:tcPr>
            <w:tcW w:type="dxa" w:w="99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40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24,767 </w:t>
            </w:r>
          </w:p>
        </w:tc>
        <w:tc>
          <w:tcPr>
            <w:tcW w:type="dxa" w:w="99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2,956 </w:t>
            </w:r>
          </w:p>
        </w:tc>
      </w:tr>
      <w:tr>
        <w:trPr>
          <w:trHeight w:hRule="exact" w:val="80"/>
        </w:trPr>
        <w:tc>
          <w:tcPr>
            <w:tcW w:type="dxa" w:w="418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04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0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4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30"/>
            <w:tcBorders>
              <w:top w:sz="8.0" w:val="single" w:color="#000000"/>
              <w:bottom w:sz="4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42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Climate Resilient Debt Clause (CRDC)</w:t>
      </w:r>
    </w:p>
    <w:p>
      <w:pPr>
        <w:autoSpaceDN w:val="0"/>
        <w:autoSpaceDE w:val="0"/>
        <w:widowControl/>
        <w:spacing w:line="240" w:lineRule="exact" w:before="12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offers CRDCs for eligible new and existing loans (with minimum remaining maturity of five years),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certain borrowers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. CRDCs allow eligible borrowing countries to defer payments of principal and/or interest (and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other loan charges) for up to two years after an eligible event. After the deferral period, the borrower will restart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of the deferred amounts according to a modified amortization schedule that maintains the original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weighted average maturity of the loan and does not extend the final maturity date. The eligible events when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clause was first offered were tropical cyclones and earthquakes. In October 2024, the Board approved an extension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the covered events to include all natural catastrophes, including droughts, floods, and public health emergencies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caused by a biological event. Total loans outstanding as of March 31, 2025 for the 24 countries (including Blend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countries) that are eligible for CRDCs was $5.5 billion. </w:t>
      </w:r>
    </w:p>
    <w:p>
      <w:pPr>
        <w:autoSpaceDN w:val="0"/>
        <w:autoSpaceDE w:val="0"/>
        <w:widowControl/>
        <w:spacing w:line="244" w:lineRule="exact" w:before="19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Results from Investing Activities</w:t>
      </w:r>
    </w:p>
    <w:p>
      <w:pPr>
        <w:autoSpaceDN w:val="0"/>
        <w:autoSpaceDE w:val="0"/>
        <w:widowControl/>
        <w:spacing w:line="244" w:lineRule="exact" w:before="12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Net Investment Portfolio</w:t>
      </w:r>
    </w:p>
    <w:p>
      <w:pPr>
        <w:autoSpaceDN w:val="0"/>
        <w:autoSpaceDE w:val="0"/>
        <w:widowControl/>
        <w:spacing w:line="240" w:lineRule="exact" w:before="126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net investment portfolio was $102.7 billion as of March 31, 2025 ($82.7 billion as of June 30, 2024). Of this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amount, $97.9 billion related to the liquid asset portfolio ($78.8 billion as of June 30, 2024). See Notes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Condensed Quarterly Financial Statements, Note C - Investments. The increase in the liquid asset portfolio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primarily due to the net new debt issuances that were higher than net loan disbursements during the period,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consistent with the higher target liquidity level in FY25 (Table 14).</w:t>
      </w:r>
    </w:p>
    <w:p>
      <w:pPr>
        <w:autoSpaceDN w:val="0"/>
        <w:autoSpaceDE w:val="0"/>
        <w:widowControl/>
        <w:spacing w:line="24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Net Investment Revenue</w:t>
      </w:r>
    </w:p>
    <w:p>
      <w:pPr>
        <w:autoSpaceDN w:val="0"/>
        <w:autoSpaceDE w:val="0"/>
        <w:widowControl/>
        <w:spacing w:line="240" w:lineRule="exact" w:before="126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net investment revenue was $44 million as of March 31, 2025, $22 million lower in FY25 YTD compared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FY24 YTD. The decrease was primarily driven by the increase in borrowing expenses outpacing the increase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interest income. </w:t>
      </w:r>
    </w:p>
    <w:p>
      <w:pPr>
        <w:autoSpaceDN w:val="0"/>
        <w:tabs>
          <w:tab w:pos="100" w:val="left"/>
        </w:tabs>
        <w:autoSpaceDE w:val="0"/>
        <w:widowControl/>
        <w:spacing w:line="192" w:lineRule="exact" w:before="3612" w:after="0"/>
        <w:ind w:left="10" w:right="0" w:firstLine="0"/>
        <w:jc w:val="left"/>
      </w:pPr>
      <w:r>
        <w:rPr>
          <w:w w:val="103.99999618530273"/>
          <w:rFonts w:ascii="Arial" w:hAnsi="Arial" w:eastAsia="Arial"/>
          <w:b w:val="0"/>
          <w:i/>
          <w:color w:val="000000"/>
          <w:sz w:val="10"/>
        </w:rPr>
        <w:t>3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 Eligible borrowers are IBRD Small State Economies, members of the Small States Forum, and Small Island Developing States as </w:t>
      </w:r>
      <w:r>
        <w:rPr>
          <w:rFonts w:ascii="Arial" w:hAnsi="Arial" w:eastAsia="Arial"/>
          <w:b w:val="0"/>
          <w:i/>
          <w:color w:val="000000"/>
          <w:sz w:val="16"/>
        </w:rPr>
        <w:t>defined by the United Nations.</w:t>
      </w:r>
    </w:p>
    <w:p>
      <w:pPr>
        <w:autoSpaceDN w:val="0"/>
        <w:autoSpaceDE w:val="0"/>
        <w:widowControl/>
        <w:spacing w:line="224" w:lineRule="exact" w:before="628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12     IBRD Management's Discussion and Analysis: March 31, 2025</w:t>
      </w:r>
    </w:p>
    <w:p>
      <w:pPr>
        <w:sectPr>
          <w:pgSz w:w="12240" w:h="15840"/>
          <w:pgMar w:top="25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  <w:tr>
        <w:trPr>
          <w:trHeight w:hRule="exact" w:val="710"/>
        </w:trPr>
        <w:tc>
          <w:tcPr>
            <w:tcW w:type="dxa" w:w="3956"/>
            <w:tcBorders>
              <w:top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54" w:after="0"/>
              <w:ind w:left="180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Figure 6: Net Investment Portfolio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  <w:tc>
          <w:tcPr>
            <w:tcW w:type="dxa" w:w="5408"/>
            <w:tcBorders>
              <w:top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54" w:after="0"/>
              <w:ind w:left="126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Figure 7: Investment Revenue, net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dollars, YTD</w:t>
            </w:r>
          </w:p>
        </w:tc>
      </w:tr>
    </w:tbl>
    <w:p>
      <w:pPr>
        <w:autoSpaceDN w:val="0"/>
        <w:autoSpaceDE w:val="0"/>
        <w:widowControl/>
        <w:spacing w:line="178" w:lineRule="exact" w:before="254" w:after="2"/>
        <w:ind w:left="0" w:right="3924" w:firstLine="0"/>
        <w:jc w:val="right"/>
      </w:pPr>
      <w:r>
        <w:rPr>
          <w:rFonts w:ascii="ArialMT" w:hAnsi="ArialMT" w:eastAsia="ArialMT"/>
          <w:b w:val="0"/>
          <w:i w:val="0"/>
          <w:color w:val="595959"/>
          <w:sz w:val="16"/>
        </w:rPr>
        <w:t>160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rPr>
          <w:trHeight w:hRule="exact" w:val="164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2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9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Liquid asset portfolio</w:t>
            </w:r>
          </w:p>
        </w:tc>
        <w:tc>
          <w:tcPr>
            <w:tcW w:type="dxa" w:w="97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584"/>
            <w:gridSpan w:val="5"/>
            <w:vMerge w:val="restart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73300" cy="939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3300" cy="939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199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2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9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Other investment portfolios</w:t>
            </w:r>
          </w:p>
        </w:tc>
        <w:tc>
          <w:tcPr>
            <w:tcW w:type="dxa" w:w="97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231"/>
        </w:trPr>
        <w:tc>
          <w:tcPr>
            <w:tcW w:type="dxa" w:w="480"/>
            <w:tcBorders>
              <w:bottom w:sz="30.399999999999864" w:val="single" w:color="#6D6D6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7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4.8</w:t>
            </w:r>
          </w:p>
        </w:tc>
        <w:tc>
          <w:tcPr>
            <w:tcW w:type="dxa" w:w="978"/>
            <w:tcBorders>
              <w:bottom w:sz="30.399999999999864" w:val="single" w:color="#6D6D6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167"/>
        </w:trPr>
        <w:tc>
          <w:tcPr>
            <w:tcW w:type="dxa" w:w="480"/>
            <w:tcBorders>
              <w:top w:sz="30.399999999999864" w:val="single" w:color="#6D6D6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4200"/>
            <w:gridSpan w:val="5"/>
            <w:vMerge w:val="restart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5.99999999999994" w:type="dxa"/>
            </w:tblPr>
            <w:tblGrid>
              <w:gridCol w:w="700"/>
              <w:gridCol w:w="700"/>
              <w:gridCol w:w="700"/>
              <w:gridCol w:w="700"/>
              <w:gridCol w:w="700"/>
              <w:gridCol w:w="700"/>
            </w:tblGrid>
            <w:tr>
              <w:trPr>
                <w:trHeight w:hRule="exact" w:val="310"/>
              </w:trPr>
              <w:tc>
                <w:tcPr>
                  <w:tcW w:type="dxa" w:w="3586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85.99999999999994" w:type="dxa"/>
                  </w:tblPr>
                  <w:tblGrid>
                    <w:gridCol w:w="717"/>
                    <w:gridCol w:w="717"/>
                    <w:gridCol w:w="717"/>
                    <w:gridCol w:w="717"/>
                    <w:gridCol w:w="717"/>
                  </w:tblGrid>
                  <w:tr>
                    <w:trPr>
                      <w:trHeight w:hRule="exact" w:val="246"/>
                    </w:trPr>
                    <w:tc>
                      <w:tcPr>
                        <w:tcW w:type="dxa" w:w="346"/>
                        <w:tcBorders>
                          <w:bottom w:sz="18.399999999999864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2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3.1</w:t>
                        </w:r>
                      </w:p>
                    </w:tc>
                    <w:tc>
                      <w:tcPr>
                        <w:tcW w:type="dxa" w:w="714"/>
                        <w:tcBorders>
                          <w:bottom w:sz="18.399999999999864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2" w:after="0"/>
                          <w:ind w:left="0" w:right="78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3.3</w:t>
                        </w:r>
                      </w:p>
                    </w:tc>
                    <w:tc>
                      <w:tcPr>
                        <w:tcW w:type="dxa" w:w="714"/>
                        <w:tcBorders>
                          <w:bottom w:sz="18.399999999999864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44" w:after="0"/>
                          <w:ind w:left="0" w:right="72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3.8</w:t>
                        </w:r>
                      </w:p>
                    </w:tc>
                    <w:tc>
                      <w:tcPr>
                        <w:tcW w:type="dxa" w:w="714"/>
                        <w:tcBorders>
                          <w:bottom w:sz="18.399999999999864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2" w:after="0"/>
                          <w:ind w:left="0" w:right="66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3.9</w:t>
                        </w:r>
                      </w:p>
                    </w:tc>
                    <w:tc>
                      <w:tcPr>
                        <w:tcW w:type="dxa" w:w="782"/>
                        <w:tcBorders>
                          <w:bottom w:sz="18.399999999999864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52"/>
                    </w:trPr>
                    <w:tc>
                      <w:tcPr>
                        <w:tcW w:type="dxa" w:w="346"/>
                        <w:tcBorders>
                          <w:top w:sz="18.399999999999864" w:val="single" w:color="#6D6D6D"/>
                          <w:bottom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4"/>
                        <w:tcBorders>
                          <w:top w:sz="18.399999999999864" w:val="single" w:color="#6D6D6D"/>
                          <w:bottom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4"/>
                        <w:tcBorders>
                          <w:top w:sz="18.399999999999864" w:val="single" w:color="#6D6D6D"/>
                          <w:bottom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4"/>
                        <w:tcBorders>
                          <w:top w:sz="18.399999999999864" w:val="single" w:color="#6D6D6D"/>
                          <w:bottom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82"/>
                        <w:tcBorders>
                          <w:top w:sz="18.399999999999864" w:val="single" w:color="#6D6D6D"/>
                          <w:bottom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804"/>
                    </w:trPr>
                    <w:tc>
                      <w:tcPr>
                        <w:tcW w:type="dxa" w:w="346"/>
                        <w:tcBorders>
                          <w:top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5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82.8</w:t>
                        </w:r>
                      </w:p>
                    </w:tc>
                    <w:tc>
                      <w:tcPr>
                        <w:tcW w:type="dxa" w:w="714"/>
                        <w:tcBorders>
                          <w:top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540" w:after="0"/>
                          <w:ind w:left="0" w:right="34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78.8</w:t>
                        </w:r>
                      </w:p>
                    </w:tc>
                    <w:tc>
                      <w:tcPr>
                        <w:tcW w:type="dxa" w:w="714"/>
                        <w:tcBorders>
                          <w:top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556" w:after="0"/>
                          <w:ind w:left="0" w:right="28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75.4</w:t>
                        </w:r>
                      </w:p>
                    </w:tc>
                    <w:tc>
                      <w:tcPr>
                        <w:tcW w:type="dxa" w:w="714"/>
                        <w:tcBorders>
                          <w:top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540" w:after="0"/>
                          <w:ind w:left="0" w:right="22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78.8</w:t>
                        </w:r>
                      </w:p>
                    </w:tc>
                    <w:tc>
                      <w:tcPr>
                        <w:tcW w:type="dxa" w:w="782"/>
                        <w:tcBorders>
                          <w:top w:sz="24.0" w:val="single" w:color="#6D6D6D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390" w:after="0"/>
                          <w:ind w:left="0" w:right="98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97.9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700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0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0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0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0"/>
                  <w:tcBorders>
                    <w:start w:sz="6.0" w:val="single" w:color="#898A89"/>
                    <w:bottom w:sz="6.0" w:val="single" w:color="#48494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78"/>
            <w:vMerge w:val="restart"/>
            <w:tcBorders>
              <w:top w:sz="30.399999999999864" w:val="single" w:color="#6D6D6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80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124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786"/>
            <w:vMerge/>
            <w:tcBorders>
              <w:top w:sz="30.399999999999864" w:val="single" w:color="#6D6D6D"/>
            </w:tcBorders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176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97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36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32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3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786"/>
            <w:vMerge/>
            <w:tcBorders/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322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978"/>
            <w:vMerge w:val="restart"/>
            <w:tcBorders>
              <w:bottom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150"/>
        </w:trPr>
        <w:tc>
          <w:tcPr>
            <w:tcW w:type="dxa" w:w="480"/>
            <w:tcBorders>
              <w:bottom w:sz="6.0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  <w:tc>
          <w:tcPr>
            <w:tcW w:type="dxa" w:w="786"/>
            <w:vMerge/>
            <w:tcBorders>
              <w:bottom w:sz="6.0" w:val="single" w:color="#E5E6E5"/>
            </w:tcBorders>
          </w:tcPr>
          <w:p/>
        </w:tc>
        <w:tc>
          <w:tcPr>
            <w:tcW w:type="dxa" w:w="3930"/>
            <w:gridSpan w:val="5"/>
            <w:vMerge/>
            <w:tcBorders>
              <w:bottom w:sz="6.0" w:val="single" w:color="#E5E6E5"/>
            </w:tcBorders>
          </w:tcPr>
          <w:p/>
        </w:tc>
      </w:tr>
      <w:tr>
        <w:trPr>
          <w:trHeight w:hRule="exact" w:val="366"/>
        </w:trPr>
        <w:tc>
          <w:tcPr>
            <w:tcW w:type="dxa" w:w="48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782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75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7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70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  <w:tc>
          <w:tcPr>
            <w:tcW w:type="dxa" w:w="124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 25</w:t>
            </w:r>
          </w:p>
        </w:tc>
        <w:tc>
          <w:tcPr>
            <w:tcW w:type="dxa" w:w="978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-80</w:t>
            </w:r>
          </w:p>
        </w:tc>
        <w:tc>
          <w:tcPr>
            <w:tcW w:type="dxa" w:w="682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7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7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720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  <w:tc>
          <w:tcPr>
            <w:tcW w:type="dxa" w:w="742"/>
            <w:tcBorders>
              <w:top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FY25</w:t>
            </w:r>
          </w:p>
        </w:tc>
      </w:tr>
    </w:tbl>
    <w:p>
      <w:pPr>
        <w:autoSpaceDN w:val="0"/>
        <w:autoSpaceDE w:val="0"/>
        <w:widowControl/>
        <w:spacing w:line="244" w:lineRule="exact" w:before="322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Results from Borrowing Activities</w:t>
      </w:r>
    </w:p>
    <w:p>
      <w:pPr>
        <w:autoSpaceDN w:val="0"/>
        <w:autoSpaceDE w:val="0"/>
        <w:widowControl/>
        <w:spacing w:line="222" w:lineRule="exact" w:before="14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Borrowings reported at Fair Value: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the borrowings reported at fair value and the related derivatives were $315.9 billion, a $28.8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 increase compared with June 30, 2024 (Notes to Condensed Quarterly Financial Statements, Note E -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Borrowings). The increase was primarily due to net new debt issuances of $31.0 billion during the period. New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issuances of medium-and long-term debt of $51.4 billion during the first nine months of FY25 were highly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diversified by investor profile and location, with an average maturity of 5.7 years. The funds raised financed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development lending operations and satisfied liquidity requirements.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Borrowings reported at Amortized Cost: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borrowings reported at amortized cost were $476 million, and related to IBRD's first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issuances of hybrid capital in FY25 YTD. Hybrid capital is issued in the legal form of debt and has characteristics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both debt and equity. See Notes to Condensed Quarterly Financial Statements, Note A - Summary of Significant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Accounting and Related Policies.</w:t>
      </w:r>
    </w:p>
    <w:p>
      <w:pPr>
        <w:autoSpaceDN w:val="0"/>
        <w:autoSpaceDE w:val="0"/>
        <w:widowControl/>
        <w:spacing w:line="210" w:lineRule="exact" w:before="258" w:after="382"/>
        <w:ind w:left="0" w:right="5184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Figure 8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8"/>
        </w:rPr>
        <w:t xml:space="preserve">Borrowing Portfolio (original maturities)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164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Medium-and long-term</w:t>
            </w:r>
          </w:p>
        </w:tc>
        <w:tc>
          <w:tcPr>
            <w:tcW w:type="dxa" w:w="39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Short-term</w:t>
            </w:r>
          </w:p>
        </w:tc>
      </w:tr>
      <w:tr>
        <w:trPr>
          <w:trHeight w:hRule="exact" w:val="5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350</w:t>
            </w:r>
          </w:p>
        </w:tc>
        <w:tc>
          <w:tcPr>
            <w:tcW w:type="dxa" w:w="6218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4.00000000000006" w:type="dxa"/>
            </w:tblPr>
            <w:tblGrid>
              <w:gridCol w:w="6218"/>
            </w:tblGrid>
            <w:tr>
              <w:trPr>
                <w:trHeight w:hRule="exact" w:val="340"/>
              </w:trPr>
              <w:tc>
                <w:tcPr>
                  <w:tcW w:type="dxa" w:w="3586"/>
                  <w:tcBorders>
                    <w:start w:sz="6.0" w:val="single" w:color="#898A89"/>
                    <w:bottom w:sz="6.0" w:val="single" w:color="#DADBDA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5.99999999999994" w:type="dxa"/>
                  </w:tblPr>
                  <w:tblGrid>
                    <w:gridCol w:w="717"/>
                    <w:gridCol w:w="717"/>
                    <w:gridCol w:w="717"/>
                    <w:gridCol w:w="717"/>
                    <w:gridCol w:w="717"/>
                  </w:tblGrid>
                  <w:tr>
                    <w:trPr>
                      <w:trHeight w:hRule="exact" w:val="350"/>
                    </w:trPr>
                    <w:tc>
                      <w:tcPr>
                        <w:tcW w:type="dxa" w:w="640"/>
                        <w:tcBorders>
                          <w:bottom w:sz="18.40000000000009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20"/>
                        <w:tcBorders>
                          <w:bottom w:sz="18.40000000000009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20"/>
                        <w:tcBorders>
                          <w:bottom w:sz="18.40000000000009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4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10.1</w:t>
                        </w:r>
                      </w:p>
                    </w:tc>
                    <w:tc>
                      <w:tcPr>
                        <w:tcW w:type="dxa" w:w="720"/>
                        <w:vMerge w:val="restart"/>
                        <w:tcBorders>
                          <w:bottom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3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9.0</w:t>
                        </w:r>
                      </w:p>
                    </w:tc>
                    <w:tc>
                      <w:tcPr>
                        <w:tcW w:type="dxa" w:w="640"/>
                        <w:tcBorders>
                          <w:bottom w:sz="18.40000000000009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2" w:after="0"/>
                          <w:ind w:left="0" w:right="124" w:firstLine="0"/>
                          <w:jc w:val="right"/>
                        </w:pPr>
                        <w:r>
                          <w:rPr>
                            <w:u w:val="single" w:color="484948"/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15.8</w:t>
                        </w:r>
                      </w:p>
                    </w:tc>
                  </w:tr>
                  <w:tr>
                    <w:trPr>
                      <w:trHeight w:hRule="exact" w:val="164"/>
                    </w:trPr>
                    <w:tc>
                      <w:tcPr>
                        <w:tcW w:type="dxa" w:w="640"/>
                        <w:vMerge w:val="restart"/>
                        <w:tcBorders>
                          <w:top w:sz="18.40000000000009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10.2</w:t>
                        </w:r>
                      </w:p>
                    </w:tc>
                    <w:tc>
                      <w:tcPr>
                        <w:tcW w:type="dxa" w:w="720"/>
                        <w:tcBorders>
                          <w:top w:sz="18.40000000000009" w:val="single" w:color="#484948"/>
                          <w:bottom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u w:val="single" w:color="484948"/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15.1</w:t>
                        </w:r>
                      </w:p>
                    </w:tc>
                    <w:tc>
                      <w:tcPr>
                        <w:tcW w:type="dxa" w:w="720"/>
                        <w:tcBorders>
                          <w:top w:sz="18.40000000000009" w:val="single" w:color="#484948"/>
                          <w:bottom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7"/>
                        <w:vMerge/>
                        <w:tcBorders>
                          <w:bottom w:sz="17.600000000000364" w:val="single" w:color="#484948"/>
                        </w:tcBorders>
                      </w:tcPr>
                      <w:p/>
                    </w:tc>
                    <w:tc>
                      <w:tcPr>
                        <w:tcW w:type="dxa" w:w="640"/>
                        <w:tcBorders>
                          <w:top w:sz="18.40000000000009" w:val="single" w:color="#484948"/>
                          <w:bottom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248"/>
                    </w:trPr>
                    <w:tc>
                      <w:tcPr>
                        <w:tcW w:type="dxa" w:w="717"/>
                        <w:vMerge/>
                        <w:tcBorders>
                          <w:top w:sz="18.40000000000009" w:val="single" w:color="#484948"/>
                        </w:tcBorders>
                      </w:tcPr>
                      <w:p/>
                    </w:tc>
                    <w:tc>
                      <w:tcPr>
                        <w:tcW w:type="dxa" w:w="720"/>
                        <w:vMerge w:val="restart"/>
                        <w:tcBorders>
                          <w:top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54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241.8</w:t>
                        </w:r>
                      </w:p>
                    </w:tc>
                    <w:tc>
                      <w:tcPr>
                        <w:tcW w:type="dxa" w:w="720"/>
                        <w:vMerge w:val="restart"/>
                        <w:tcBorders>
                          <w:top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9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256.7</w:t>
                        </w:r>
                      </w:p>
                    </w:tc>
                    <w:tc>
                      <w:tcPr>
                        <w:tcW w:type="dxa" w:w="720"/>
                        <w:vMerge w:val="restart"/>
                        <w:tcBorders>
                          <w:top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45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278.1</w:t>
                        </w:r>
                      </w:p>
                    </w:tc>
                    <w:tc>
                      <w:tcPr>
                        <w:tcW w:type="dxa" w:w="640"/>
                        <w:vMerge w:val="restart"/>
                        <w:tcBorders>
                          <w:top w:sz="17.600000000000364" w:val="single" w:color="#484948"/>
                        </w:tcBorders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392" w:after="0"/>
                          <w:ind w:left="160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300.6</w:t>
                        </w:r>
                      </w:p>
                    </w:tc>
                  </w:tr>
                  <w:tr>
                    <w:trPr>
                      <w:trHeight w:hRule="exact" w:val="534"/>
                    </w:trPr>
                    <w:tc>
                      <w:tcPr>
                        <w:tcW w:type="dxa" w:w="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30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243.5</w:t>
                        </w:r>
                      </w:p>
                    </w:tc>
                    <w:tc>
                      <w:tcPr>
                        <w:tcW w:type="dxa" w:w="717"/>
                        <w:vMerge/>
                        <w:tcBorders>
                          <w:top w:sz="17.600000000000364" w:val="single" w:color="#484948"/>
                        </w:tcBorders>
                      </w:tcPr>
                      <w:p/>
                    </w:tc>
                    <w:tc>
                      <w:tcPr>
                        <w:tcW w:type="dxa" w:w="717"/>
                        <w:vMerge/>
                        <w:tcBorders>
                          <w:top w:sz="17.600000000000364" w:val="single" w:color="#484948"/>
                        </w:tcBorders>
                      </w:tcPr>
                      <w:p/>
                    </w:tc>
                    <w:tc>
                      <w:tcPr>
                        <w:tcW w:type="dxa" w:w="717"/>
                        <w:vMerge/>
                        <w:tcBorders>
                          <w:top w:sz="17.600000000000364" w:val="single" w:color="#484948"/>
                        </w:tcBorders>
                      </w:tcPr>
                      <w:p/>
                    </w:tc>
                    <w:tc>
                      <w:tcPr>
                        <w:tcW w:type="dxa" w:w="717"/>
                        <w:vMerge/>
                        <w:tcBorders>
                          <w:top w:sz="17.600000000000364" w:val="single" w:color="#484948"/>
                        </w:tcBorders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86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280</w:t>
            </w:r>
          </w:p>
        </w:tc>
        <w:tc>
          <w:tcPr>
            <w:tcW w:type="dxa" w:w="7860"/>
            <w:gridSpan w:val="5"/>
            <w:vMerge/>
            <w:tcBorders/>
          </w:tcPr>
          <w:p/>
        </w:tc>
      </w:tr>
      <w:tr>
        <w:trPr>
          <w:trHeight w:hRule="exact" w:val="120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210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 xml:space="preserve">140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70</w:t>
            </w:r>
          </w:p>
        </w:tc>
        <w:tc>
          <w:tcPr>
            <w:tcW w:type="dxa" w:w="7860"/>
            <w:gridSpan w:val="5"/>
            <w:vMerge/>
            <w:tcBorders/>
          </w:tcPr>
          <w:p/>
        </w:tc>
      </w:tr>
      <w:tr>
        <w:trPr>
          <w:trHeight w:hRule="exact" w:val="46"/>
        </w:trPr>
        <w:tc>
          <w:tcPr>
            <w:tcW w:type="dxa" w:w="5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62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4"/>
        </w:trPr>
        <w:tc>
          <w:tcPr>
            <w:tcW w:type="dxa" w:w="1572"/>
            <w:vMerge/>
            <w:tcBorders/>
          </w:tcPr>
          <w:p/>
        </w:tc>
        <w:tc>
          <w:tcPr>
            <w:tcW w:type="dxa" w:w="7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Jun 21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Jun 22</w:t>
            </w:r>
          </w:p>
        </w:tc>
        <w:tc>
          <w:tcPr>
            <w:tcW w:type="dxa" w:w="8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Jun 23</w:t>
            </w:r>
          </w:p>
        </w:tc>
        <w:tc>
          <w:tcPr>
            <w:tcW w:type="dxa" w:w="6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Jun 24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Mar 25</w:t>
            </w:r>
          </w:p>
        </w:tc>
      </w:tr>
    </w:tbl>
    <w:p>
      <w:pPr>
        <w:autoSpaceDN w:val="0"/>
        <w:autoSpaceDE w:val="0"/>
        <w:widowControl/>
        <w:spacing w:line="244" w:lineRule="exact" w:before="204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Net Other Revenue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other revenue was lower by $19 million in FY25 YTD, compared with the same period in FY24. The decrease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mainly due to unrealized mark-to-market losses from forward contracts with a physical asset held at amortized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cost as its underlying.</w:t>
      </w:r>
    </w:p>
    <w:p>
      <w:pPr>
        <w:autoSpaceDN w:val="0"/>
        <w:autoSpaceDE w:val="0"/>
        <w:widowControl/>
        <w:spacing w:line="224" w:lineRule="exact" w:before="2074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13</w:t>
      </w:r>
    </w:p>
    <w:p>
      <w:pPr>
        <w:sectPr>
          <w:pgSz w:w="12240" w:h="15840"/>
          <w:pgMar w:top="25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02" w:lineRule="exact" w:before="308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6: Net Other Revenue</w:t>
      </w:r>
    </w:p>
    <w:p>
      <w:pPr>
        <w:autoSpaceDN w:val="0"/>
        <w:autoSpaceDE w:val="0"/>
        <w:widowControl/>
        <w:spacing w:line="178" w:lineRule="exact" w:before="54" w:after="16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02"/>
        </w:trPr>
        <w:tc>
          <w:tcPr>
            <w:tcW w:type="dxa" w:w="599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For the nine months ended March 31,</w:t>
            </w:r>
          </w:p>
        </w:tc>
        <w:tc>
          <w:tcPr>
            <w:tcW w:type="dxa" w:w="43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2025</w:t>
            </w:r>
          </w:p>
        </w:tc>
        <w:tc>
          <w:tcPr>
            <w:tcW w:type="dxa" w:w="47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2024</w:t>
            </w:r>
          </w:p>
        </w:tc>
        <w:tc>
          <w:tcPr>
            <w:tcW w:type="dxa" w:w="25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Variance</w:t>
            </w:r>
          </w:p>
        </w:tc>
      </w:tr>
      <w:tr>
        <w:trPr>
          <w:trHeight w:hRule="exact" w:val="224"/>
        </w:trPr>
        <w:tc>
          <w:tcPr>
            <w:tcW w:type="dxa" w:w="599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 commitment fees</w:t>
            </w:r>
          </w:p>
        </w:tc>
        <w:tc>
          <w:tcPr>
            <w:tcW w:type="dxa" w:w="43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116 </w:t>
            </w:r>
          </w:p>
        </w:tc>
        <w:tc>
          <w:tcPr>
            <w:tcW w:type="dxa" w:w="47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25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</w:tr>
      <w:tr>
        <w:trPr>
          <w:trHeight w:hRule="exact" w:val="240"/>
        </w:trPr>
        <w:tc>
          <w:tcPr>
            <w:tcW w:type="dxa" w:w="59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 fees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</w:tr>
      <w:tr>
        <w:trPr>
          <w:trHeight w:hRule="exact" w:val="254"/>
        </w:trPr>
        <w:tc>
          <w:tcPr>
            <w:tcW w:type="dxa" w:w="59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 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6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 </w:t>
            </w:r>
          </w:p>
        </w:tc>
        <w:tc>
          <w:tcPr>
            <w:tcW w:type="dxa" w:w="134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(26) </w:t>
            </w:r>
          </w:p>
        </w:tc>
      </w:tr>
      <w:tr>
        <w:trPr>
          <w:trHeight w:hRule="exact" w:val="220"/>
        </w:trPr>
        <w:tc>
          <w:tcPr>
            <w:tcW w:type="dxa" w:w="59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other revenue (Table 2)</w:t>
            </w:r>
          </w:p>
        </w:tc>
        <w:tc>
          <w:tcPr>
            <w:tcW w:type="dxa" w:w="4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201 </w:t>
            </w:r>
          </w:p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220 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(19) </w:t>
            </w:r>
          </w:p>
        </w:tc>
      </w:tr>
      <w:tr>
        <w:trPr>
          <w:trHeight w:hRule="exact" w:val="186"/>
        </w:trPr>
        <w:tc>
          <w:tcPr>
            <w:tcW w:type="dxa" w:w="599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2" w:lineRule="exact" w:before="58" w:after="0"/>
        <w:ind w:left="184" w:right="24" w:hanging="180"/>
        <w:jc w:val="both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net earnings from the PEBP and PCRF, unrealized mark-to-market losses from forward contracts with a physical asset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held at amortized cost as its underlying, and income from the recognition of recovery assets related to guarantees received under </w:t>
      </w:r>
      <w:r>
        <w:rPr>
          <w:rFonts w:ascii="Arial" w:hAnsi="Arial" w:eastAsia="Arial"/>
          <w:b w:val="0"/>
          <w:i/>
          <w:color w:val="000000"/>
          <w:sz w:val="16"/>
        </w:rPr>
        <w:t>Portfolio Guarantee Platform (PGP).</w:t>
      </w:r>
    </w:p>
    <w:p>
      <w:pPr>
        <w:autoSpaceDN w:val="0"/>
        <w:autoSpaceDE w:val="0"/>
        <w:widowControl/>
        <w:spacing w:line="244" w:lineRule="exact" w:before="37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Net Non-Interest Expenses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shown in Table 7, IBRD’s net non-interest expenses are primarily comprised of administrative expenses, net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from externally funded activities, and include costs related to Bank-executed activities for trust funds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other externally funded activities. IBRD and IDA's administrative budget is a single resource envelope that funds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combined work programs of both entities. The allocation of net administrative expenses between IBRD and IDA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an agreed cost and revenue-sharing methodology, approved by their Boards, which is primarily driven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relative level of lending, knowledge services, and other services between the two entities.</w:t>
      </w:r>
    </w:p>
    <w:p>
      <w:pPr>
        <w:autoSpaceDN w:val="0"/>
        <w:autoSpaceDE w:val="0"/>
        <w:widowControl/>
        <w:spacing w:line="202" w:lineRule="exact" w:before="14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Figure 9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8"/>
        </w:rPr>
        <w:t>Net Non-Interest Expenses (GAAP basis)</w:t>
      </w:r>
    </w:p>
    <w:p>
      <w:pPr>
        <w:autoSpaceDN w:val="0"/>
        <w:autoSpaceDE w:val="0"/>
        <w:widowControl/>
        <w:spacing w:line="178" w:lineRule="exact" w:before="138" w:after="0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YTD</w:t>
      </w:r>
    </w:p>
    <w:p>
      <w:pPr>
        <w:autoSpaceDN w:val="0"/>
        <w:autoSpaceDE w:val="0"/>
        <w:widowControl/>
        <w:spacing w:line="178" w:lineRule="exact" w:before="194" w:after="0"/>
        <w:ind w:left="204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1,200</w:t>
      </w:r>
    </w:p>
    <w:p>
      <w:pPr>
        <w:autoSpaceDN w:val="0"/>
        <w:tabs>
          <w:tab w:pos="844" w:val="left"/>
        </w:tabs>
        <w:autoSpaceDE w:val="0"/>
        <w:widowControl/>
        <w:spacing w:line="240" w:lineRule="auto" w:before="0" w:after="0"/>
        <w:ind w:left="338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800</w:t>
      </w:r>
      <w:r>
        <w:drawing>
          <wp:inline xmlns:a="http://schemas.openxmlformats.org/drawingml/2006/main" xmlns:pic="http://schemas.openxmlformats.org/drawingml/2006/picture">
            <wp:extent cx="2184400" cy="190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4400" cy="19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80" w:lineRule="exact" w:before="330" w:after="0"/>
        <w:ind w:left="338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400</w:t>
      </w:r>
    </w:p>
    <w:p>
      <w:pPr>
        <w:autoSpaceDN w:val="0"/>
        <w:autoSpaceDE w:val="0"/>
        <w:widowControl/>
        <w:spacing w:line="178" w:lineRule="exact" w:before="316" w:after="16"/>
        <w:ind w:left="516" w:right="0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>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4.00000000000006" w:type="dxa"/>
      </w:tblPr>
      <w:tblGrid>
        <w:gridCol w:w="1887"/>
        <w:gridCol w:w="1887"/>
        <w:gridCol w:w="1887"/>
        <w:gridCol w:w="1887"/>
        <w:gridCol w:w="1887"/>
      </w:tblGrid>
      <w:tr>
        <w:trPr>
          <w:trHeight w:hRule="exact" w:val="254"/>
        </w:trPr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FY25</w:t>
            </w:r>
          </w:p>
        </w:tc>
      </w:tr>
    </w:tbl>
    <w:p>
      <w:pPr>
        <w:autoSpaceDN w:val="0"/>
        <w:autoSpaceDE w:val="0"/>
        <w:widowControl/>
        <w:spacing w:line="224" w:lineRule="exact" w:before="6834" w:after="0"/>
        <w:ind w:left="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14     IBRD Management's Discussion and Analysis: March 31, 2025</w:t>
      </w:r>
    </w:p>
    <w:p>
      <w:pPr>
        <w:sectPr>
          <w:pgSz w:w="12240" w:h="15840"/>
          <w:pgMar w:top="256" w:right="1370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40" w:lineRule="exact" w:before="22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increase in net non-interest expenses from FY24 YTD to FY25 YTD, on both a GAAP and allocable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basis, was primarily driven by higher staff costs and higher consultant and contractual services (Table 7).</w:t>
      </w:r>
    </w:p>
    <w:p>
      <w:pPr>
        <w:autoSpaceDN w:val="0"/>
        <w:autoSpaceDE w:val="0"/>
        <w:widowControl/>
        <w:spacing w:line="202" w:lineRule="exact" w:before="320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7: Net Non-Interest Expenses</w:t>
      </w:r>
    </w:p>
    <w:p>
      <w:pPr>
        <w:autoSpaceDN w:val="0"/>
        <w:autoSpaceDE w:val="0"/>
        <w:widowControl/>
        <w:spacing w:line="180" w:lineRule="exact" w:before="62" w:after="3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8"/>
        <w:gridCol w:w="2358"/>
        <w:gridCol w:w="2358"/>
        <w:gridCol w:w="2358"/>
      </w:tblGrid>
      <w:tr>
        <w:trPr>
          <w:trHeight w:hRule="exact" w:val="240"/>
        </w:trPr>
        <w:tc>
          <w:tcPr>
            <w:tcW w:type="dxa" w:w="47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For the nine months ended March 31,</w:t>
            </w:r>
          </w:p>
        </w:tc>
        <w:tc>
          <w:tcPr>
            <w:tcW w:type="dxa" w:w="27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2025</w:t>
            </w:r>
          </w:p>
        </w:tc>
        <w:tc>
          <w:tcPr>
            <w:tcW w:type="dxa" w:w="86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3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2024</w:t>
            </w:r>
          </w:p>
        </w:tc>
        <w:tc>
          <w:tcPr>
            <w:tcW w:type="dxa" w:w="98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Variance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3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Administrative expenses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24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Staff costs</w:t>
            </w:r>
          </w:p>
        </w:tc>
        <w:tc>
          <w:tcPr>
            <w:tcW w:type="dxa" w:w="3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901 </w:t>
            </w:r>
          </w:p>
        </w:tc>
        <w:tc>
          <w:tcPr>
            <w:tcW w:type="dxa" w:w="4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854 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 </w:t>
            </w:r>
          </w:p>
        </w:tc>
      </w:tr>
      <w:tr>
        <w:trPr>
          <w:trHeight w:hRule="exact" w:val="240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Travel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107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</w:tr>
      <w:tr>
        <w:trPr>
          <w:trHeight w:hRule="exact" w:val="240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Consultant fees and contractual services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323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300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 </w:t>
            </w:r>
          </w:p>
        </w:tc>
      </w:tr>
      <w:tr>
        <w:trPr>
          <w:trHeight w:hRule="exact" w:val="240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Pension service cost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207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</w:tr>
      <w:tr>
        <w:trPr>
          <w:trHeight w:hRule="exact" w:val="240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Communications and technology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</w:tr>
      <w:tr>
        <w:trPr>
          <w:trHeight w:hRule="exact" w:val="240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Premises and equipment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54"/>
        </w:trPr>
        <w:tc>
          <w:tcPr>
            <w:tcW w:type="dxa" w:w="61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expenses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</w:tr>
      <w:tr>
        <w:trPr>
          <w:trHeight w:hRule="exact" w:val="240"/>
        </w:trPr>
        <w:tc>
          <w:tcPr>
            <w:tcW w:type="dxa" w:w="6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9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administrative expenses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1,732 </w:t>
            </w:r>
          </w:p>
        </w:tc>
        <w:tc>
          <w:tcPr>
            <w:tcW w:type="dxa" w:w="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1,632 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100 </w:t>
            </w:r>
          </w:p>
        </w:tc>
      </w:tr>
      <w:tr>
        <w:trPr>
          <w:trHeight w:hRule="exact" w:val="242"/>
        </w:trPr>
        <w:tc>
          <w:tcPr>
            <w:tcW w:type="dxa" w:w="61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Contributions to special programs</w:t>
            </w:r>
          </w:p>
        </w:tc>
        <w:tc>
          <w:tcPr>
            <w:tcW w:type="dxa" w:w="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 </w:t>
            </w:r>
          </w:p>
        </w:tc>
        <w:tc>
          <w:tcPr>
            <w:tcW w:type="dxa" w:w="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3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Revenue from externally funded activities: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24"/>
        </w:trPr>
        <w:tc>
          <w:tcPr>
            <w:tcW w:type="dxa" w:w="61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Reimbursable revenue – Bank-executed activities for trust funds</w:t>
            </w:r>
          </w:p>
        </w:tc>
        <w:tc>
          <w:tcPr>
            <w:tcW w:type="dxa" w:w="3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(402)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(391)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(11) </w:t>
            </w:r>
          </w:p>
        </w:tc>
      </w:tr>
      <w:tr>
        <w:trPr>
          <w:trHeight w:hRule="exact" w:val="254"/>
        </w:trPr>
        <w:tc>
          <w:tcPr>
            <w:tcW w:type="dxa" w:w="61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revenue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0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(229) </w:t>
            </w:r>
          </w:p>
        </w:tc>
        <w:tc>
          <w:tcPr>
            <w:tcW w:type="dxa" w:w="11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(241) </w:t>
            </w:r>
          </w:p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</w:tr>
      <w:tr>
        <w:trPr>
          <w:trHeight w:hRule="exact" w:val="240"/>
        </w:trPr>
        <w:tc>
          <w:tcPr>
            <w:tcW w:type="dxa" w:w="6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9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revenue from externally funded activities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2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(631) $ </w:t>
            </w:r>
          </w:p>
        </w:tc>
        <w:tc>
          <w:tcPr>
            <w:tcW w:type="dxa" w:w="11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(632) 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 </w:t>
            </w:r>
          </w:p>
        </w:tc>
      </w:tr>
      <w:tr>
        <w:trPr>
          <w:trHeight w:hRule="exact" w:val="226"/>
        </w:trPr>
        <w:tc>
          <w:tcPr>
            <w:tcW w:type="dxa" w:w="61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non-interest expenses (Table 2)</w:t>
            </w:r>
          </w:p>
        </w:tc>
        <w:tc>
          <w:tcPr>
            <w:tcW w:type="dxa" w:w="3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1,118 </w:t>
            </w:r>
          </w:p>
        </w:tc>
        <w:tc>
          <w:tcPr>
            <w:tcW w:type="dxa" w:w="11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1,018 </w:t>
            </w:r>
          </w:p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</w:tr>
      <w:tr>
        <w:trPr>
          <w:trHeight w:hRule="exact" w:val="254"/>
        </w:trPr>
        <w:tc>
          <w:tcPr>
            <w:tcW w:type="dxa" w:w="61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pension cost, other than service cost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(Table 2)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(129) </w:t>
            </w:r>
          </w:p>
        </w:tc>
        <w:tc>
          <w:tcPr>
            <w:tcW w:type="dxa" w:w="11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(142) </w:t>
            </w:r>
          </w:p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</w:tr>
      <w:tr>
        <w:trPr>
          <w:trHeight w:hRule="exact" w:val="231"/>
        </w:trPr>
        <w:tc>
          <w:tcPr>
            <w:tcW w:type="dxa" w:w="6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non-interest expenses - GAAP basis</w:t>
            </w:r>
          </w:p>
        </w:tc>
        <w:tc>
          <w:tcPr>
            <w:tcW w:type="dxa" w:w="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989 </w:t>
            </w:r>
          </w:p>
        </w:tc>
        <w:tc>
          <w:tcPr>
            <w:tcW w:type="dxa" w:w="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876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113 </w:t>
            </w:r>
          </w:p>
        </w:tc>
      </w:tr>
    </w:tbl>
    <w:p>
      <w:pPr>
        <w:autoSpaceDN w:val="0"/>
        <w:autoSpaceDE w:val="0"/>
        <w:widowControl/>
        <w:spacing w:line="180" w:lineRule="exact" w:before="42" w:after="32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Adjustments to arrive at net non-interest expenses - allocable income basis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02"/>
        </w:trPr>
        <w:tc>
          <w:tcPr>
            <w:tcW w:type="dxa" w:w="6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Pension, Externally Financed Outputs (EFO) and Reserve Advisory and Management </w:t>
            </w:r>
          </w:p>
        </w:tc>
        <w:tc>
          <w:tcPr>
            <w:tcW w:type="dxa" w:w="3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3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  <w:tc>
          <w:tcPr>
            <w:tcW w:type="dxa" w:w="4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</w:t>
            </w:r>
          </w:p>
        </w:tc>
      </w:tr>
      <w:tr>
        <w:trPr>
          <w:trHeight w:hRule="exact" w:val="230"/>
        </w:trPr>
        <w:tc>
          <w:tcPr>
            <w:tcW w:type="dxa" w:w="6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Partnership (RAMP) adjustments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  <w:tc>
          <w:tcPr>
            <w:tcW w:type="dxa" w:w="1348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0"/>
        </w:trPr>
        <w:tc>
          <w:tcPr>
            <w:tcW w:type="dxa" w:w="6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non-interest expenses - allocable income basis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1,111 </w:t>
            </w:r>
          </w:p>
        </w:tc>
        <w:tc>
          <w:tcPr>
            <w:tcW w:type="dxa" w:w="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1,019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92 </w:t>
            </w:r>
          </w:p>
        </w:tc>
      </w:tr>
      <w:tr>
        <w:trPr>
          <w:trHeight w:hRule="exact" w:val="260"/>
        </w:trPr>
        <w:tc>
          <w:tcPr>
            <w:tcW w:type="dxa" w:w="622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236" w:val="left"/>
        </w:tabs>
        <w:autoSpaceDE w:val="0"/>
        <w:widowControl/>
        <w:spacing w:line="192" w:lineRule="exact" w:before="22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The pension service cost represents the cost of benefits attributable to services performed by employees for the Bank during the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period. See Notes to Condensed Quarterly Financial Statements, Note K - Pension and Other Post-Retirement Benefits.</w:t>
      </w:r>
    </w:p>
    <w:p>
      <w:pPr>
        <w:autoSpaceDN w:val="0"/>
        <w:autoSpaceDE w:val="0"/>
        <w:widowControl/>
        <w:spacing w:line="180" w:lineRule="exact" w:before="60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Amount is included in Other Non-interest expenses in the Condensed Statements of Income (Table 2).</w:t>
      </w:r>
    </w:p>
    <w:p>
      <w:pPr>
        <w:autoSpaceDN w:val="0"/>
        <w:autoSpaceDE w:val="0"/>
        <w:widowControl/>
        <w:spacing w:line="180" w:lineRule="exact" w:before="60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Adjustments are included in the Pension and other adjustments line in Table 2. </w:t>
      </w:r>
    </w:p>
    <w:p>
      <w:pPr>
        <w:autoSpaceDN w:val="0"/>
        <w:autoSpaceDE w:val="0"/>
        <w:widowControl/>
        <w:spacing w:line="244" w:lineRule="exact" w:before="32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Unrealized mark-to-market gains and losses on non-trading portfolios</w:t>
      </w:r>
    </w:p>
    <w:p>
      <w:pPr>
        <w:autoSpaceDN w:val="0"/>
        <w:autoSpaceDE w:val="0"/>
        <w:widowControl/>
        <w:spacing w:line="240" w:lineRule="exact" w:before="12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Unrealized mark-to-market gains and losses associated with the non-trading portfolios are excluded from reported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income to arrive at allocable income. As a result, from a long-term financial sustainability perspective,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allocations are generally based on amounts that have been realized (except for the Investments-Trading portfolio,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previously discussed). For the first nine months of FY25, net unrealized mark-to-market gains were $263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($113 million net unrealized mark-to-market losses for same period in FY24) (Table 2).</w:t>
      </w:r>
    </w:p>
    <w:p>
      <w:pPr>
        <w:autoSpaceDN w:val="0"/>
        <w:autoSpaceDE w:val="0"/>
        <w:widowControl/>
        <w:spacing w:line="224" w:lineRule="exact" w:before="238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 xml:space="preserve">Table 8: Unrealized Mark-to-market Gains (Losses) on Non-trading Portfolios </w:t>
      </w:r>
      <w:r>
        <w:rPr>
          <w:w w:val="97.49999841054282"/>
          <w:rFonts w:ascii="Arial" w:hAnsi="Arial" w:eastAsia="Arial"/>
          <w:b/>
          <w:i w:val="0"/>
          <w:color w:val="000000"/>
          <w:sz w:val="12"/>
        </w:rPr>
        <w:t>a</w:t>
      </w:r>
    </w:p>
    <w:p>
      <w:pPr>
        <w:autoSpaceDN w:val="0"/>
        <w:autoSpaceDE w:val="0"/>
        <w:widowControl/>
        <w:spacing w:line="178" w:lineRule="exact" w:before="64" w:after="3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240"/>
        </w:trPr>
        <w:tc>
          <w:tcPr>
            <w:tcW w:type="dxa" w:w="599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For the nine months ended March 31,</w:t>
            </w:r>
          </w:p>
        </w:tc>
        <w:tc>
          <w:tcPr>
            <w:tcW w:type="dxa" w:w="39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80"/>
            <w:gridSpan w:val="2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9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2025</w:t>
            </w:r>
          </w:p>
        </w:tc>
        <w:tc>
          <w:tcPr>
            <w:tcW w:type="dxa" w:w="92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2024</w:t>
            </w:r>
          </w:p>
        </w:tc>
        <w:tc>
          <w:tcPr>
            <w:tcW w:type="dxa" w:w="89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Variance</w:t>
            </w:r>
          </w:p>
        </w:tc>
      </w:tr>
      <w:tr>
        <w:trPr>
          <w:trHeight w:hRule="exact" w:val="236"/>
        </w:trPr>
        <w:tc>
          <w:tcPr>
            <w:tcW w:type="dxa" w:w="599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</w:t>
            </w:r>
          </w:p>
        </w:tc>
        <w:tc>
          <w:tcPr>
            <w:tcW w:type="dxa" w:w="39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80"/>
            <w:gridSpan w:val="2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(929) $ </w:t>
            </w:r>
          </w:p>
        </w:tc>
        <w:tc>
          <w:tcPr>
            <w:tcW w:type="dxa" w:w="92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(715) $ </w:t>
            </w:r>
          </w:p>
        </w:tc>
        <w:tc>
          <w:tcPr>
            <w:tcW w:type="dxa" w:w="89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(214) </w:t>
            </w:r>
          </w:p>
        </w:tc>
      </w:tr>
      <w:tr>
        <w:trPr>
          <w:trHeight w:hRule="exact" w:val="240"/>
        </w:trPr>
        <w:tc>
          <w:tcPr>
            <w:tcW w:type="dxa" w:w="59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ALM derivatives</w:t>
            </w:r>
          </w:p>
        </w:tc>
        <w:tc>
          <w:tcPr>
            <w:tcW w:type="dxa" w:w="1572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2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1,280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719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561 </w:t>
            </w:r>
          </w:p>
        </w:tc>
      </w:tr>
      <w:tr>
        <w:trPr>
          <w:trHeight w:hRule="exact" w:val="240"/>
        </w:trPr>
        <w:tc>
          <w:tcPr>
            <w:tcW w:type="dxa" w:w="59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Borrowings, including derivatives</w:t>
            </w:r>
          </w:p>
        </w:tc>
        <w:tc>
          <w:tcPr>
            <w:tcW w:type="dxa" w:w="1572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4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(119)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(148)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</w:t>
            </w:r>
          </w:p>
        </w:tc>
      </w:tr>
      <w:tr>
        <w:trPr>
          <w:trHeight w:hRule="exact" w:val="244"/>
        </w:trPr>
        <w:tc>
          <w:tcPr>
            <w:tcW w:type="dxa" w:w="59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Client operations and other derivatives, net</w:t>
            </w:r>
          </w:p>
        </w:tc>
        <w:tc>
          <w:tcPr>
            <w:tcW w:type="dxa" w:w="1572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1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9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20"/>
        </w:trPr>
        <w:tc>
          <w:tcPr>
            <w:tcW w:type="dxa" w:w="59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263 </w:t>
            </w:r>
          </w:p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(113) 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376 </w:t>
            </w:r>
          </w:p>
        </w:tc>
      </w:tr>
      <w:tr>
        <w:trPr>
          <w:trHeight w:hRule="exact" w:val="260"/>
        </w:trPr>
        <w:tc>
          <w:tcPr>
            <w:tcW w:type="dxa" w:w="599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32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Adjusted to exclude amounts reclassified to realized mark-to-market gains (losses).</w:t>
      </w:r>
    </w:p>
    <w:p>
      <w:pPr>
        <w:autoSpaceDN w:val="0"/>
        <w:autoSpaceDE w:val="0"/>
        <w:widowControl/>
        <w:spacing w:line="224" w:lineRule="exact" w:before="2172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15</w:t>
      </w:r>
    </w:p>
    <w:p>
      <w:pPr>
        <w:sectPr>
          <w:pgSz w:w="12240" w:h="15840"/>
          <w:pgMar w:top="256" w:right="1370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44" w:lineRule="exact" w:before="24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Loan Portfolio</w:t>
      </w:r>
    </w:p>
    <w:p>
      <w:pPr>
        <w:autoSpaceDN w:val="0"/>
        <w:autoSpaceDE w:val="0"/>
        <w:widowControl/>
        <w:spacing w:line="240" w:lineRule="exact" w:before="126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are reported at amortized cost on the balance sheet and therefore the mark-to-market effect on loans is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reflected in reported net income. However, the derivatives used to convert loans from fixed-rate to variable-rate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instruments, for asset/liability management purposes, are reported at fair value. From an economic perspective,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loans after the effect of derivatives carry variable interest rates and have a low sensitivity to the change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rates. The unrealized mark-to-market losses on loan related derivatives were $214 million higher in the first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nine months of FY25 compared to the same period in FY24, due to the more prominent decrease in relevant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rates in FY25 YTD compared to FY24 YTD. See Section IV: Risk Management for additional details on how IBRD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uses derivatives in the loan portfolio.</w:t>
      </w:r>
    </w:p>
    <w:p>
      <w:pPr>
        <w:autoSpaceDN w:val="0"/>
        <w:autoSpaceDE w:val="0"/>
        <w:widowControl/>
        <w:spacing w:line="244" w:lineRule="exact" w:before="13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Other ALM Portfolio</w:t>
      </w:r>
    </w:p>
    <w:p>
      <w:pPr>
        <w:autoSpaceDN w:val="0"/>
        <w:autoSpaceDE w:val="0"/>
        <w:widowControl/>
        <w:spacing w:line="240" w:lineRule="exact" w:before="126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 uses derivatives to stabilize its interest revenue from the portion of loans that is sensitive to changes in short-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 interest rates. The Other ALM portfolio consists of derivatives which convert a portion of variable rate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cash flows to fixed rate loan cash flows. In the first nine months of FY25, IBRD recorded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of $1,280 million on this portfolio due to the decrease in relevant interest rates for the nine months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March 31, 2025. The duration of this portfolio was 4.5 years, within the Board established limit of 5 years.</w:t>
      </w:r>
    </w:p>
    <w:p>
      <w:pPr>
        <w:autoSpaceDN w:val="0"/>
        <w:autoSpaceDE w:val="0"/>
        <w:widowControl/>
        <w:spacing w:line="244" w:lineRule="exact" w:before="13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Borrowing Portfolio</w:t>
      </w:r>
    </w:p>
    <w:p>
      <w:pPr>
        <w:autoSpaceDN w:val="0"/>
        <w:autoSpaceDE w:val="0"/>
        <w:widowControl/>
        <w:spacing w:line="240" w:lineRule="exact" w:before="126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borrowings and the related derivatives are reported at fair value, except for hybrid capital which is reported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 amortized cost on the balance sheet. IBRD recorded $119 million of net unrealized mark-to-market losses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borrowings at fair value and associated derivatives, due to the decrease in relevant interest rates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March 31, 2025, compared to June 30, 2024. The unrealized mark-to-market losses on these borrowings at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mainly driven by the decrease in relevant interest rates and exceeded the gains on the bond-related derivatives.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net unrealized mark-to-market losses on IBRD’s bonds exclude changes in IBRD’s own credit, referred to as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DVA on Fair Value Option elected liabilities, which is recorded in Accumulated Other Comprehensive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(AOCI). For the first nine months of FY25, the DVA was $1,294 million of unrealized mark-to-market gains,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resulting mainly from the widening of IBRD’s credit spreads relative to the applicable reference rate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period, primarily driven by the widening of spreads across euro sovereign, supranational, and agency markets.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March 31, 2025, IBRD’s Condensed Balance Sheets included a cumulative DVA of $1,967 million of mark-to-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gains reflected in AOCI (see Notes to the Condensed Quarterly Financial Statements, Note J -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Disclosures).</w:t>
      </w:r>
    </w:p>
    <w:p>
      <w:pPr>
        <w:autoSpaceDN w:val="0"/>
        <w:autoSpaceDE w:val="0"/>
        <w:widowControl/>
        <w:spacing w:line="224" w:lineRule="exact" w:before="6692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16     IBRD Management's Discussion and Analysis: March 31, 2025</w:t>
      </w:r>
    </w:p>
    <w:p>
      <w:pPr>
        <w:sectPr>
          <w:pgSz w:w="12240" w:h="15840"/>
          <w:pgMar w:top="25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86"/>
        </w:trPr>
        <w:tc>
          <w:tcPr>
            <w:tcW w:type="dxa" w:w="3956"/>
            <w:tcBorders>
              <w:bottom w:sz="4.0" w:val="single" w:color="#6C6C6C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8"/>
            <w:tcBorders>
              <w:bottom w:sz="4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Financial Results</w:t>
            </w:r>
          </w:p>
        </w:tc>
      </w:tr>
    </w:tbl>
    <w:p>
      <w:pPr>
        <w:autoSpaceDN w:val="0"/>
        <w:autoSpaceDE w:val="0"/>
        <w:widowControl/>
        <w:spacing w:line="244" w:lineRule="exact" w:before="2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Board of Governors-approved Transfers and Allocations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first nine months of FY25, the Board of Governors approved the following transfers and allocations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shown below:</w:t>
      </w:r>
    </w:p>
    <w:p>
      <w:pPr>
        <w:autoSpaceDN w:val="0"/>
        <w:autoSpaceDE w:val="0"/>
        <w:widowControl/>
        <w:spacing w:line="180" w:lineRule="exact" w:before="92" w:after="6"/>
        <w:ind w:left="0" w:right="5744" w:firstLine="0"/>
        <w:jc w:val="righ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Amount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9"/>
        <w:gridCol w:w="2359"/>
        <w:gridCol w:w="2359"/>
        <w:gridCol w:w="2359"/>
      </w:tblGrid>
      <w:tr>
        <w:trPr>
          <w:trHeight w:hRule="exact" w:val="216"/>
        </w:trPr>
        <w:tc>
          <w:tcPr>
            <w:tcW w:type="dxa" w:w="23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7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Date of approval</w:t>
            </w:r>
          </w:p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5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($ in million)</w:t>
            </w:r>
          </w:p>
        </w:tc>
        <w:tc>
          <w:tcPr>
            <w:tcW w:type="dxa" w:w="2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6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Retained Earnings Source</w:t>
            </w:r>
          </w:p>
        </w:tc>
        <w:tc>
          <w:tcPr>
            <w:tcW w:type="dxa" w:w="2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Beneficiary</w:t>
            </w:r>
          </w:p>
        </w:tc>
      </w:tr>
    </w:tbl>
    <w:p>
      <w:pPr>
        <w:autoSpaceDN w:val="0"/>
        <w:autoSpaceDE w:val="0"/>
        <w:widowControl/>
        <w:spacing w:line="200" w:lineRule="exact" w:before="54" w:after="28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Board of Governors-approved and Other Transfers Reported in the Condensed Statements of Income </w:t>
      </w:r>
      <w:r>
        <w:rPr>
          <w:w w:val="103.99999618530273"/>
          <w:rFonts w:ascii="Arial" w:hAnsi="Arial" w:eastAsia="Arial"/>
          <w:b/>
          <w:i w:val="0"/>
          <w:color w:val="000000"/>
          <w:sz w:val="10"/>
        </w:rPr>
        <w:t>a</w:t>
      </w:r>
      <w:r>
        <w:rPr>
          <w:rFonts w:ascii="Arial" w:hAnsi="Arial" w:eastAsia="Arial"/>
          <w:b/>
          <w:i w:val="0"/>
          <w:color w:val="000000"/>
          <w:sz w:val="16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September 9, 2024</w:t>
            </w:r>
          </w:p>
        </w:tc>
        <w:tc>
          <w:tcPr>
            <w:tcW w:type="dxa" w:w="8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1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Surplus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Trust Fund for Gaza and West Bank </w:t>
            </w:r>
          </w:p>
        </w:tc>
      </w:tr>
      <w:tr>
        <w:trPr>
          <w:trHeight w:hRule="exact" w:val="240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September 18, 2024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3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200</w:t>
            </w:r>
          </w:p>
        </w:tc>
        <w:tc>
          <w:tcPr>
            <w:tcW w:type="dxa" w:w="1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Surplus 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Trust Fund for Gaza and West Bank</w:t>
            </w:r>
          </w:p>
        </w:tc>
      </w:tr>
      <w:tr>
        <w:trPr>
          <w:trHeight w:hRule="exact" w:val="244"/>
        </w:trPr>
        <w:tc>
          <w:tcPr>
            <w:tcW w:type="dxa" w:w="1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September 18, 2024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3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515</w:t>
            </w:r>
          </w:p>
        </w:tc>
        <w:tc>
          <w:tcPr>
            <w:tcW w:type="dxa" w:w="19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FY24 allocable income</w:t>
            </w:r>
          </w:p>
        </w:tc>
        <w:tc>
          <w:tcPr>
            <w:tcW w:type="dxa" w:w="3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</w:t>
            </w:r>
          </w:p>
        </w:tc>
      </w:tr>
      <w:tr>
        <w:trPr>
          <w:trHeight w:hRule="exact" w:val="220"/>
        </w:trPr>
        <w:tc>
          <w:tcPr>
            <w:tcW w:type="dxa" w:w="1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3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815</w:t>
            </w:r>
          </w:p>
        </w:tc>
        <w:tc>
          <w:tcPr>
            <w:tcW w:type="dxa" w:w="1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"/>
        </w:trPr>
        <w:tc>
          <w:tcPr>
            <w:tcW w:type="dxa" w:w="1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6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Board of Governors-approved Allocations Reported as Transfers Within Retained Earnings: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196"/>
        </w:trPr>
        <w:tc>
          <w:tcPr>
            <w:tcW w:type="dxa" w:w="18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September 18, 2024</w:t>
            </w:r>
          </w:p>
        </w:tc>
        <w:tc>
          <w:tcPr>
            <w:tcW w:type="dxa" w:w="8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3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200</w:t>
            </w:r>
          </w:p>
        </w:tc>
        <w:tc>
          <w:tcPr>
            <w:tcW w:type="dxa" w:w="14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Surplus</w:t>
            </w:r>
          </w:p>
        </w:tc>
        <w:tc>
          <w:tcPr>
            <w:tcW w:type="dxa" w:w="3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8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IBRD Surplus-Funded Livable Planet Fund </w:t>
            </w:r>
          </w:p>
        </w:tc>
      </w:tr>
      <w:tr>
        <w:trPr>
          <w:trHeight w:hRule="exact" w:val="220"/>
        </w:trPr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3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8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(LPF1)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</w:tr>
      <w:tr>
        <w:trPr>
          <w:trHeight w:hRule="exact" w:val="220"/>
        </w:trPr>
        <w:tc>
          <w:tcPr>
            <w:tcW w:type="dxa" w:w="18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January 17, 2025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38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14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Surplus</w:t>
            </w:r>
          </w:p>
        </w:tc>
        <w:tc>
          <w:tcPr>
            <w:tcW w:type="dxa" w:w="3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8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Grant Facility for Project Preparation </w:t>
            </w:r>
          </w:p>
        </w:tc>
      </w:tr>
      <w:tr>
        <w:trPr>
          <w:trHeight w:hRule="exact" w:val="234"/>
        </w:trPr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39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8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(GFPP)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</w:tr>
      <w:tr>
        <w:trPr>
          <w:trHeight w:hRule="exact" w:val="220"/>
        </w:trPr>
        <w:tc>
          <w:tcPr>
            <w:tcW w:type="dxa" w:w="1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3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300</w:t>
            </w:r>
          </w:p>
        </w:tc>
        <w:tc>
          <w:tcPr>
            <w:tcW w:type="dxa" w:w="1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26"/>
        </w:trPr>
        <w:tc>
          <w:tcPr>
            <w:tcW w:type="dxa" w:w="1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7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These transfers are unconditional and expensed upon approval. </w:t>
      </w:r>
    </w:p>
    <w:p>
      <w:pPr>
        <w:autoSpaceDN w:val="0"/>
        <w:autoSpaceDE w:val="0"/>
        <w:widowControl/>
        <w:spacing w:line="180" w:lineRule="exact" w:before="10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For the nine months ended March 31, 2025, no grants were expensed by the LPF1. </w:t>
      </w:r>
    </w:p>
    <w:p>
      <w:pPr>
        <w:autoSpaceDN w:val="0"/>
        <w:autoSpaceDE w:val="0"/>
        <w:widowControl/>
        <w:spacing w:line="192" w:lineRule="exact" w:before="68" w:after="0"/>
        <w:ind w:left="152" w:right="76" w:hanging="90"/>
        <w:jc w:val="both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c.The Grant Facility for Project Preparation (GFPP) provides grants to support preparation of World Bank financed lending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operations. The GFPP is currently financed by IBRD's surplus and is established for an initial period of 7 years. For the nine </w:t>
      </w:r>
      <w:r>
        <w:rPr>
          <w:rFonts w:ascii="Arial" w:hAnsi="Arial" w:eastAsia="Arial"/>
          <w:b w:val="0"/>
          <w:i/>
          <w:color w:val="000000"/>
          <w:sz w:val="16"/>
        </w:rPr>
        <w:t>months ended March 31, 2025, no grants were expensed by the GFPP.</w:t>
      </w:r>
    </w:p>
    <w:p>
      <w:pPr>
        <w:autoSpaceDN w:val="0"/>
        <w:autoSpaceDE w:val="0"/>
        <w:widowControl/>
        <w:spacing w:line="202" w:lineRule="exact" w:before="632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Changes in Surplus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6"/>
        <w:gridCol w:w="3146"/>
        <w:gridCol w:w="3146"/>
      </w:tblGrid>
      <w:tr>
        <w:trPr>
          <w:trHeight w:hRule="exact" w:val="242"/>
        </w:trPr>
        <w:tc>
          <w:tcPr>
            <w:tcW w:type="dxa" w:w="7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Amount</w:t>
            </w:r>
          </w:p>
        </w:tc>
      </w:tr>
      <w:tr>
        <w:trPr>
          <w:trHeight w:hRule="exact" w:val="230"/>
        </w:trPr>
        <w:tc>
          <w:tcPr>
            <w:tcW w:type="dxa" w:w="7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Surplus as of June 30, 2024</w:t>
            </w:r>
          </w:p>
        </w:tc>
        <w:tc>
          <w:tcPr>
            <w:tcW w:type="dxa" w:w="7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100 </w:t>
            </w:r>
          </w:p>
        </w:tc>
      </w:tr>
      <w:tr>
        <w:trPr>
          <w:trHeight w:hRule="exact" w:val="240"/>
        </w:trPr>
        <w:tc>
          <w:tcPr>
            <w:tcW w:type="dxa" w:w="7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Allocation from FY24 allocable income</w:t>
            </w:r>
          </w:p>
        </w:tc>
        <w:tc>
          <w:tcPr>
            <w:tcW w:type="dxa" w:w="314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500 </w:t>
            </w:r>
          </w:p>
        </w:tc>
      </w:tr>
      <w:tr>
        <w:trPr>
          <w:trHeight w:hRule="exact" w:val="240"/>
        </w:trPr>
        <w:tc>
          <w:tcPr>
            <w:tcW w:type="dxa" w:w="7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Board of Governors-approved transfers to Trust Fund for Gaza and West Bank</w:t>
            </w:r>
          </w:p>
        </w:tc>
        <w:tc>
          <w:tcPr>
            <w:tcW w:type="dxa" w:w="314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(300) </w:t>
            </w:r>
          </w:p>
        </w:tc>
      </w:tr>
      <w:tr>
        <w:trPr>
          <w:trHeight w:hRule="exact" w:val="240"/>
        </w:trPr>
        <w:tc>
          <w:tcPr>
            <w:tcW w:type="dxa" w:w="7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Board of Governors-approved allocations to LPF1</w:t>
            </w:r>
          </w:p>
        </w:tc>
        <w:tc>
          <w:tcPr>
            <w:tcW w:type="dxa" w:w="314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(200) </w:t>
            </w:r>
          </w:p>
        </w:tc>
      </w:tr>
      <w:tr>
        <w:trPr>
          <w:trHeight w:hRule="exact" w:val="250"/>
        </w:trPr>
        <w:tc>
          <w:tcPr>
            <w:tcW w:type="dxa" w:w="7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Board of Governors-approved allocations to GFPP</w:t>
            </w:r>
          </w:p>
        </w:tc>
        <w:tc>
          <w:tcPr>
            <w:tcW w:type="dxa" w:w="314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(100) </w:t>
            </w:r>
          </w:p>
        </w:tc>
      </w:tr>
      <w:tr>
        <w:trPr>
          <w:trHeight w:hRule="exact" w:val="220"/>
        </w:trPr>
        <w:tc>
          <w:tcPr>
            <w:tcW w:type="dxa" w:w="7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Surplus as of March 31, 2025</w:t>
            </w:r>
          </w:p>
        </w:tc>
        <w:tc>
          <w:tcPr>
            <w:tcW w:type="dxa" w:w="7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184"/>
        </w:trPr>
        <w:tc>
          <w:tcPr>
            <w:tcW w:type="dxa" w:w="7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4" w:lineRule="exact" w:before="6132" w:after="0"/>
        <w:ind w:left="0" w:right="6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17</w:t>
      </w:r>
    </w:p>
    <w:p>
      <w:pPr>
        <w:sectPr>
          <w:pgSz w:w="12240" w:h="15840"/>
          <w:pgMar w:top="256" w:right="1372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312" w:lineRule="exact" w:before="184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IV: Risk Management</w:t>
      </w:r>
    </w:p>
    <w:p>
      <w:pPr>
        <w:autoSpaceDN w:val="0"/>
        <w:autoSpaceDE w:val="0"/>
        <w:widowControl/>
        <w:spacing w:line="268" w:lineRule="exact" w:before="2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Risk Governance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risk management processes and practices evolve to reflect changes in activities in response to market, credit,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product, operational, and other developments. The Board, particularly the Audit Committee, periodically reviews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trends in IBRD’s risk profiles and performance, and any major developments in risk management policies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controls. Management believes that effective risk management is critical for its overall operations. Accordingly,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management governance structure is designed to manage the principal risks IBRD assumes in its activities. 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Risk Oversight and Coverage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Vice President and WBG Chief Risk Officer (CRO) oversees both financial and operational risks. These risks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 (i) country credit risks in the core sovereign-lending business, (ii) market and counterparty risks,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 and model risks, and (iii) operational risks relating to people, processes, and systems, or from external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events.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risk of IBRD’s operations not meeting their development outcomes (development outcome risk) in IBRD’s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lending activities is monitored at the corporate level by Operations Policy and Country Services (OPCS). Where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fraud and corruption risks may impact IBRD-financed projects, OPCS, the regions and practice groups,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Integrity Vice Presidency jointly address such issues.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a detailed discussion of the risk governance and risk oversight and coverage, see IBRD’s MD&amp;A for the fiscal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year ended June 30, 2024, Section IX: Risk Management. 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Management of IBRD’s Risks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assumes financial risks in order to achieve its development and strategic objectives. IBRD’s financial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framework is designed to enable and support the institution in achieving its goals in a financially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sustainable manner. IBRD manages credit, market, and operational risks in its financial activities, which include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lending, borrowing and investing. The primary financial risk to IBRD is the country credit risk inherent in its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portfolio. IBRD is also exposed to risks in its liquid asset and derivative portfolios, where the major risks are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rate, exchange rate, commercial counterparty credit, and liquidity risks. IBRD’s operational risk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framework is based on a structured and uniform approach to identify, assess and monitor key operational risks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across business units.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an effort to maximize IBRD’s capacity to lend to member countries for development purposes, IBRD limits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 to market and counterparty credit risks. In addition, to ensure that the financial risks associated with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other exposures do not exceed its risk-bearing capacity, IBRD uses a strategic capital adequacy framework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a key medium-term capital planning tool.</w:t>
      </w:r>
    </w:p>
    <w:p>
      <w:pPr>
        <w:autoSpaceDN w:val="0"/>
        <w:autoSpaceDE w:val="0"/>
        <w:widowControl/>
        <w:spacing w:line="224" w:lineRule="exact" w:before="5464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18     IBRD Management's Discussion and Analysis: March 31, 2025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68" w:lineRule="exact" w:before="1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Capital Adequacy </w:t>
      </w:r>
    </w:p>
    <w:p>
      <w:pPr>
        <w:autoSpaceDN w:val="0"/>
        <w:autoSpaceDE w:val="0"/>
        <w:widowControl/>
        <w:spacing w:line="240" w:lineRule="exact" w:before="12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holds capital to cover the credit, market and operational risks inherent in its operating activities and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assets. Country credit risk is the most substantive risk covered by IBRD’s equity. 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capital adequacy is the degree to which its equity is sufficient to withstand unexpected shocks. IBRD’s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Board monitors IBRD’s capital adequacy within a strategic capital adequacy framework and uses the Equity-to-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ratio as a key indicator of capital adequacy. The framework seeks to ensure that IBRD’s equity is aligned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financial risk associated with its loan portfolio and other exposures over a medium-term capital-planning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horizon.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shown in Table 9, IBRD’s Equity-to-Loans ratio decreased from 21.5% as of June 30, 2024 to 21.3%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March 31, 2025, primarily due to the increase in total loan exposure exceeding the increase in usable equity.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October 2024, as part of the WBG evolution process, the Board approved establishing the new Framework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Restoration Measures (FRM) for capital adequacy, which further strengthens the protection for IBRD’s triple-A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rating. The FRM includes a set of capital adequacy-related metrics, along with indicative thresholds, as well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restoration measures. Following the establishment of the FRM, the Board approved a reduction in the policy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minimum Equity-to-Loans ratio from 19% to 18% based on a review of IBRD's capital adequacy framework,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became effective immediately after the Board approval. The minimum Equity-to-Loans ratio policy continues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support IBRD's triple-A rating and long-term financial sustainability.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2024, the Board also approved the offer of Enhanced Callable Capital (ECC), another shareholder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support instrument to expand IBRD's financing capacity. Shareholders can convert a portion of their existing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callable capital to the enhanced terms so that it could be called earlier in the event that IBRD were to face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imminent threat of a rating downgrade, but had not yet reached a point where it was at risk of defaulting to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bondholders, which is when a call on the current form of callable capital will be made. The ECC conversion is on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voluntary basis and upon bilateral agreement between the shareholder and IBRD. There were no signed ECC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agreements as of March 31, 2025.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FY25 YTD, IBRD signed bilateral agreements for hybrid capital with 8 member countries for a total notional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value of $745 million, expected to be settled over the next 4 years. As of March 31, 2025, $476 million has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settled and reported in the balance sheet. Hybrid capital is an instrument that has characteristics of both debt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equity, and while reported as Borrowings at amortized cost on the balance sheet under US GAAP, for capital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adequacy purposes it is a component of usable equity in the equity-to-loans ratio (Table 9) in accordance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financial policies.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2024, IBRD signed portfolio guarantee agreements with total notional value of $1.1 billion with 2 highly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rated member countries under its new Portfolio Guarantee Platform (PGP). Portfolio guarantees are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instruments that support additional financing capacity for IBRD. The signed portfolio guarantees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become effective upon fulfillment of certain effectiveness conditions stipulated in the signed agreements. On IBRD's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Balance Sheet, effective portfolio guarantees are recorded in Other assets measured based on the expected credit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losses on the underlying portfolio. As of March 31, 2025, both portfolio guarantee agreements were effective.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capital adequacy measures, effective portfolio guarantees are  reductions to loan exposures in the equity-to-loans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ratio to capture their first-loss and portfolio-wide loss-absorption features.</w:t>
      </w:r>
    </w:p>
    <w:p>
      <w:pPr>
        <w:autoSpaceDN w:val="0"/>
        <w:autoSpaceDE w:val="0"/>
        <w:widowControl/>
        <w:spacing w:line="224" w:lineRule="exact" w:before="4436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19</w:t>
      </w:r>
    </w:p>
    <w:p>
      <w:pPr>
        <w:sectPr>
          <w:pgSz w:w="12240" w:h="15840"/>
          <w:pgMar w:top="31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02" w:lineRule="exact" w:before="186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9: Equity-to-Loans Ratio</w:t>
      </w:r>
    </w:p>
    <w:p>
      <w:pPr>
        <w:autoSpaceDN w:val="0"/>
        <w:autoSpaceDE w:val="0"/>
        <w:widowControl/>
        <w:spacing w:line="178" w:lineRule="exact" w:before="4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48" w:after="0"/>
        <w:ind w:left="0" w:right="1592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>Variance</w:t>
      </w:r>
    </w:p>
    <w:p>
      <w:pPr>
        <w:autoSpaceDN w:val="0"/>
        <w:autoSpaceDE w:val="0"/>
        <w:widowControl/>
        <w:spacing w:line="180" w:lineRule="exact" w:before="74" w:after="6"/>
        <w:ind w:left="0" w:right="352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 xml:space="preserve">Due to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192"/>
        </w:trPr>
        <w:tc>
          <w:tcPr>
            <w:tcW w:type="dxa" w:w="3068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As of</w:t>
            </w:r>
          </w:p>
        </w:tc>
        <w:tc>
          <w:tcPr>
            <w:tcW w:type="dxa" w:w="1266"/>
            <w:gridSpan w:val="2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March 31, 2025</w:t>
            </w:r>
          </w:p>
        </w:tc>
        <w:tc>
          <w:tcPr>
            <w:tcW w:type="dxa" w:w="1306"/>
            <w:gridSpan w:val="2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June 30, 2024</w:t>
            </w:r>
          </w:p>
        </w:tc>
        <w:tc>
          <w:tcPr>
            <w:tcW w:type="dxa" w:w="364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4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1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Total</w:t>
            </w:r>
          </w:p>
        </w:tc>
        <w:tc>
          <w:tcPr>
            <w:tcW w:type="dxa" w:w="26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Due to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Translation </w:t>
            </w:r>
          </w:p>
        </w:tc>
      </w:tr>
      <w:tr>
        <w:trPr>
          <w:trHeight w:hRule="exact" w:val="216"/>
        </w:trPr>
        <w:tc>
          <w:tcPr>
            <w:tcW w:type="dxa" w:w="858"/>
            <w:vMerge/>
            <w:tcBorders>
              <w:bottom w:sz="4.0" w:val="single" w:color="#929292"/>
            </w:tcBorders>
          </w:tcPr>
          <w:p/>
        </w:tc>
        <w:tc>
          <w:tcPr>
            <w:tcW w:type="dxa" w:w="1716"/>
            <w:gridSpan w:val="2"/>
            <w:vMerge/>
            <w:tcBorders>
              <w:bottom w:sz="4.0" w:val="single" w:color="#929292"/>
            </w:tcBorders>
          </w:tcPr>
          <w:p/>
        </w:tc>
        <w:tc>
          <w:tcPr>
            <w:tcW w:type="dxa" w:w="1716"/>
            <w:gridSpan w:val="2"/>
            <w:vMerge/>
            <w:tcBorders>
              <w:bottom w:sz="4.0" w:val="single" w:color="#929292"/>
            </w:tcBorders>
          </w:tcPr>
          <w:p/>
        </w:tc>
        <w:tc>
          <w:tcPr>
            <w:tcW w:type="dxa" w:w="858"/>
            <w:vMerge/>
            <w:tcBorders>
              <w:bottom w:sz="4.0" w:val="single" w:color="#929292"/>
            </w:tcBorders>
          </w:tcPr>
          <w:p/>
        </w:tc>
        <w:tc>
          <w:tcPr>
            <w:tcW w:type="dxa" w:w="858"/>
            <w:vMerge/>
            <w:tcBorders>
              <w:bottom w:sz="4.0" w:val="single" w:color="#929292"/>
            </w:tcBorders>
          </w:tcPr>
          <w:p/>
        </w:tc>
        <w:tc>
          <w:tcPr>
            <w:tcW w:type="dxa" w:w="858"/>
            <w:vMerge/>
            <w:tcBorders>
              <w:bottom w:sz="4.0" w:val="single" w:color="#929292"/>
            </w:tcBorders>
          </w:tcPr>
          <w:p/>
        </w:tc>
        <w:tc>
          <w:tcPr>
            <w:tcW w:type="dxa" w:w="92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Activities</w:t>
            </w:r>
          </w:p>
        </w:tc>
        <w:tc>
          <w:tcPr>
            <w:tcW w:type="dxa" w:w="1246"/>
            <w:gridSpan w:val="2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3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Adjustments</w:t>
            </w:r>
          </w:p>
        </w:tc>
      </w:tr>
      <w:tr>
        <w:trPr>
          <w:trHeight w:hRule="exact" w:val="444"/>
        </w:trPr>
        <w:tc>
          <w:tcPr>
            <w:tcW w:type="dxa" w:w="3068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Usable paid-in capital (Table 10)</w:t>
            </w:r>
          </w:p>
        </w:tc>
        <w:tc>
          <w:tcPr>
            <w:tcW w:type="dxa" w:w="31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21,610 </w:t>
            </w:r>
          </w:p>
        </w:tc>
        <w:tc>
          <w:tcPr>
            <w:tcW w:type="dxa" w:w="37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21,183 </w:t>
            </w:r>
          </w:p>
        </w:tc>
        <w:tc>
          <w:tcPr>
            <w:tcW w:type="dxa" w:w="364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427 </w:t>
            </w:r>
          </w:p>
        </w:tc>
        <w:tc>
          <w:tcPr>
            <w:tcW w:type="dxa" w:w="26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  <w:tc>
          <w:tcPr>
            <w:tcW w:type="dxa" w:w="59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Special reserve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293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293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General reserve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34,058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34,058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Cumulative translation adjustment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(1,034)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(1,126)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Hybrid capital 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476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476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476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6"/>
        </w:trPr>
        <w:tc>
          <w:tcPr>
            <w:tcW w:type="dxa" w:w="306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adjustments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26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192 </w:t>
            </w:r>
          </w:p>
        </w:tc>
        <w:tc>
          <w:tcPr>
            <w:tcW w:type="dxa" w:w="13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247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(55) </w:t>
            </w:r>
          </w:p>
        </w:tc>
        <w:tc>
          <w:tcPr>
            <w:tcW w:type="dxa" w:w="858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9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(55) </w:t>
            </w:r>
          </w:p>
        </w:tc>
      </w:tr>
      <w:tr>
        <w:trPr>
          <w:trHeight w:hRule="exact" w:val="204"/>
        </w:trPr>
        <w:tc>
          <w:tcPr>
            <w:tcW w:type="dxa" w:w="306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Equity (usable equity)</w:t>
            </w:r>
          </w:p>
        </w:tc>
        <w:tc>
          <w:tcPr>
            <w:tcW w:type="dxa" w:w="3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55,595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54,655 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940 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810 </w:t>
            </w:r>
          </w:p>
        </w:tc>
        <w:tc>
          <w:tcPr>
            <w:tcW w:type="dxa" w:w="5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130 </w:t>
            </w:r>
          </w:p>
        </w:tc>
      </w:tr>
      <w:tr>
        <w:trPr>
          <w:trHeight w:hRule="exact" w:val="470"/>
        </w:trPr>
        <w:tc>
          <w:tcPr>
            <w:tcW w:type="dxa" w:w="306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 exposures</w:t>
            </w:r>
          </w:p>
        </w:tc>
        <w:tc>
          <w:tcPr>
            <w:tcW w:type="dxa" w:w="3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275,567 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263,190 </w:t>
            </w:r>
          </w:p>
        </w:tc>
        <w:tc>
          <w:tcPr>
            <w:tcW w:type="dxa" w:w="3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12,377 </w:t>
            </w:r>
          </w:p>
        </w:tc>
        <w:tc>
          <w:tcPr>
            <w:tcW w:type="dxa" w:w="2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11,908 </w:t>
            </w:r>
          </w:p>
        </w:tc>
        <w:tc>
          <w:tcPr>
            <w:tcW w:type="dxa" w:w="5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469 </w:t>
            </w:r>
          </w:p>
        </w:tc>
      </w:tr>
      <w:tr>
        <w:trPr>
          <w:trHeight w:hRule="exact" w:val="20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Adjustments for third-party guarantees </w:t>
            </w:r>
          </w:p>
        </w:tc>
        <w:tc>
          <w:tcPr>
            <w:tcW w:type="dxa" w:w="126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(13,343) </w:t>
            </w:r>
          </w:p>
        </w:tc>
        <w:tc>
          <w:tcPr>
            <w:tcW w:type="dxa" w:w="130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(10,658)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(2,685)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(2,678) </w:t>
            </w:r>
          </w:p>
        </w:tc>
        <w:tc>
          <w:tcPr>
            <w:tcW w:type="dxa" w:w="124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(7)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received</w:t>
            </w:r>
          </w:p>
        </w:tc>
        <w:tc>
          <w:tcPr>
            <w:tcW w:type="dxa" w:w="1716"/>
            <w:gridSpan w:val="2"/>
            <w:vMerge/>
            <w:tcBorders/>
          </w:tcPr>
          <w:p/>
        </w:tc>
        <w:tc>
          <w:tcPr>
            <w:tcW w:type="dxa" w:w="1716"/>
            <w:gridSpan w:val="2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1716"/>
            <w:gridSpan w:val="2"/>
            <w:vMerge/>
            <w:tcBorders/>
          </w:tcPr>
          <w:p/>
        </w:tc>
      </w:tr>
      <w:tr>
        <w:trPr>
          <w:trHeight w:hRule="exact" w:val="194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Adjustment for portfolio guarantees </w:t>
            </w:r>
          </w:p>
        </w:tc>
        <w:tc>
          <w:tcPr>
            <w:tcW w:type="dxa" w:w="126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(4,280) </w:t>
            </w:r>
          </w:p>
        </w:tc>
        <w:tc>
          <w:tcPr>
            <w:tcW w:type="dxa" w:w="130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(4,280)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(4,280) </w:t>
            </w:r>
          </w:p>
        </w:tc>
        <w:tc>
          <w:tcPr>
            <w:tcW w:type="dxa" w:w="124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06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1716"/>
            <w:gridSpan w:val="2"/>
            <w:vMerge/>
            <w:tcBorders/>
          </w:tcPr>
          <w:p/>
        </w:tc>
        <w:tc>
          <w:tcPr>
            <w:tcW w:type="dxa" w:w="1716"/>
            <w:gridSpan w:val="2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1716"/>
            <w:gridSpan w:val="2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Present value of guarantees provided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3,749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3,488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239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Effective but undisbursed DDOs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2,152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1,261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891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884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</w:tr>
      <w:tr>
        <w:trPr>
          <w:trHeight w:hRule="exact" w:val="22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Relevant accumulated provisions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(2,832)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(2,942)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110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120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</w:t>
            </w:r>
          </w:p>
        </w:tc>
      </w:tr>
      <w:tr>
        <w:trPr>
          <w:trHeight w:hRule="exact" w:val="240"/>
        </w:trPr>
        <w:tc>
          <w:tcPr>
            <w:tcW w:type="dxa" w:w="3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Deferred loan income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(649)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(594)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(54) </w:t>
            </w:r>
          </w:p>
        </w:tc>
        <w:tc>
          <w:tcPr>
            <w:tcW w:type="dxa" w:w="1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</w:tr>
      <w:tr>
        <w:trPr>
          <w:trHeight w:hRule="exact" w:val="226"/>
        </w:trPr>
        <w:tc>
          <w:tcPr>
            <w:tcW w:type="dxa" w:w="306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exposures</w:t>
            </w:r>
          </w:p>
        </w:tc>
        <w:tc>
          <w:tcPr>
            <w:tcW w:type="dxa" w:w="126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378 </w:t>
            </w:r>
          </w:p>
        </w:tc>
        <w:tc>
          <w:tcPr>
            <w:tcW w:type="dxa" w:w="13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377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24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04"/>
        </w:trPr>
        <w:tc>
          <w:tcPr>
            <w:tcW w:type="dxa" w:w="306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Loans (total exposure)</w:t>
            </w:r>
          </w:p>
        </w:tc>
        <w:tc>
          <w:tcPr>
            <w:tcW w:type="dxa" w:w="3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260,742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254,122 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6,620 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6,140 </w:t>
            </w:r>
          </w:p>
        </w:tc>
        <w:tc>
          <w:tcPr>
            <w:tcW w:type="dxa" w:w="59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480 </w:t>
            </w:r>
          </w:p>
        </w:tc>
      </w:tr>
      <w:tr>
        <w:trPr>
          <w:trHeight w:hRule="exact" w:val="574"/>
        </w:trPr>
        <w:tc>
          <w:tcPr>
            <w:tcW w:type="dxa" w:w="3068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0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Equity-to-Loans Ratio</w:t>
            </w:r>
          </w:p>
        </w:tc>
        <w:tc>
          <w:tcPr>
            <w:tcW w:type="dxa" w:w="1266"/>
            <w:gridSpan w:val="2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0" w:after="0"/>
              <w:ind w:left="0" w:right="2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21.3 %</w:t>
            </w:r>
          </w:p>
        </w:tc>
        <w:tc>
          <w:tcPr>
            <w:tcW w:type="dxa" w:w="1306"/>
            <w:gridSpan w:val="2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0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21.5 %</w:t>
            </w:r>
          </w:p>
        </w:tc>
        <w:tc>
          <w:tcPr>
            <w:tcW w:type="dxa" w:w="36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8"/>
            <w:vMerge/>
            <w:tcBorders>
              <w:top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</w:tcBorders>
          </w:tcPr>
          <w:p/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72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June 30, 2024 amount prospectively includes the transfer to the General Reserve, which was approved by the Board on August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6, 2024.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20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Excludes cumulative translation amounts associated with the unrealized mark-to-market gains/losses on non-trading portfolios,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net.</w:t>
      </w:r>
    </w:p>
    <w:p>
      <w:pPr>
        <w:autoSpaceDN w:val="0"/>
        <w:autoSpaceDE w:val="0"/>
        <w:widowControl/>
        <w:spacing w:line="180" w:lineRule="exact" w:before="1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Includes cumulative translation gains on non-functional currencies of $240 million ($295 million gains as of June 30, 2024).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0" w:after="0"/>
        <w:ind w:left="62" w:right="288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d. The adjustment for portfolio guarantees received is management’s estimate of the benefit of the PGP which covers losses on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the entire portfolio (first loss), and also the counterparty credit risk.</w:t>
      </w:r>
    </w:p>
    <w:p>
      <w:pPr>
        <w:autoSpaceDN w:val="0"/>
        <w:autoSpaceDE w:val="0"/>
        <w:widowControl/>
        <w:spacing w:line="202" w:lineRule="exact" w:before="214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10: Usable Paid-In Capital</w:t>
      </w:r>
    </w:p>
    <w:p>
      <w:pPr>
        <w:autoSpaceDN w:val="0"/>
        <w:autoSpaceDE w:val="0"/>
        <w:widowControl/>
        <w:spacing w:line="180" w:lineRule="exact" w:before="60" w:after="26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4"/>
        </w:trPr>
        <w:tc>
          <w:tcPr>
            <w:tcW w:type="dxa" w:w="47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As of</w:t>
            </w:r>
          </w:p>
        </w:tc>
        <w:tc>
          <w:tcPr>
            <w:tcW w:type="dxa" w:w="84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March 31, 2025</w:t>
            </w:r>
          </w:p>
        </w:tc>
        <w:tc>
          <w:tcPr>
            <w:tcW w:type="dxa" w:w="1240"/>
            <w:gridSpan w:val="2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June 30, 2024</w:t>
            </w:r>
          </w:p>
        </w:tc>
        <w:tc>
          <w:tcPr>
            <w:tcW w:type="dxa" w:w="24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Variance</w:t>
            </w:r>
          </w:p>
        </w:tc>
      </w:tr>
      <w:tr>
        <w:trPr>
          <w:trHeight w:hRule="exact" w:val="204"/>
        </w:trPr>
        <w:tc>
          <w:tcPr>
            <w:tcW w:type="dxa" w:w="47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Paid-in Capital</w:t>
            </w:r>
          </w:p>
        </w:tc>
        <w:tc>
          <w:tcPr>
            <w:tcW w:type="dxa" w:w="840"/>
            <w:vMerge w:val="restart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8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22,786 </w:t>
            </w:r>
          </w:p>
        </w:tc>
        <w:tc>
          <w:tcPr>
            <w:tcW w:type="dxa" w:w="40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22,452 </w:t>
            </w:r>
          </w:p>
        </w:tc>
        <w:tc>
          <w:tcPr>
            <w:tcW w:type="dxa" w:w="240"/>
            <w:vMerge w:val="restart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</w:tr>
      <w:tr>
        <w:trPr>
          <w:trHeight w:hRule="exact" w:val="270"/>
        </w:trPr>
        <w:tc>
          <w:tcPr>
            <w:tcW w:type="dxa" w:w="4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Deferred amounts to maintain value of currency holdings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9"/>
            <w:vMerge/>
            <w:tcBorders>
              <w:top w:sz="4.0" w:val="single" w:color="#929292"/>
            </w:tcBorders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(522)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(558) </w:t>
            </w:r>
          </w:p>
        </w:tc>
        <w:tc>
          <w:tcPr>
            <w:tcW w:type="dxa" w:w="1349"/>
            <w:vMerge/>
            <w:tcBorders>
              <w:top w:sz="4.0" w:val="single" w:color="#929292"/>
            </w:tcBorders>
          </w:tcPr>
          <w:p/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Adjustments for unreleased NCPIC: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30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Restricted cash</w:t>
            </w:r>
          </w:p>
        </w:tc>
        <w:tc>
          <w:tcPr>
            <w:tcW w:type="dxa" w:w="5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(63) </w:t>
            </w:r>
          </w:p>
        </w:tc>
        <w:tc>
          <w:tcPr>
            <w:tcW w:type="dxa" w:w="4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(66) </w:t>
            </w:r>
          </w:p>
        </w:tc>
        <w:tc>
          <w:tcPr>
            <w:tcW w:type="dxa" w:w="5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20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Nonnegotiable, noninterest-bearing demand obligations on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99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(309)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(310)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5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</w:tr>
      <w:tr>
        <w:trPr>
          <w:trHeight w:hRule="exact" w:val="220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account of subscribed capital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49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Receivable amounts to maintain value of currency holdings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(283)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(337)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 </w:t>
            </w:r>
          </w:p>
        </w:tc>
      </w:tr>
      <w:tr>
        <w:trPr>
          <w:trHeight w:hRule="exact" w:val="250"/>
        </w:trPr>
        <w:tc>
          <w:tcPr>
            <w:tcW w:type="dxa" w:w="53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MOV payable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9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</w:tr>
      <w:tr>
        <w:trPr>
          <w:trHeight w:hRule="exact" w:val="240"/>
        </w:trPr>
        <w:tc>
          <w:tcPr>
            <w:tcW w:type="dxa" w:w="5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Adjustments for unreleased NCPIC</w:t>
            </w:r>
          </w:p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(654) </w:t>
            </w:r>
          </w:p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(711) </w:t>
            </w:r>
          </w:p>
        </w:tc>
        <w:tc>
          <w:tcPr>
            <w:tcW w:type="dxa" w:w="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 </w:t>
            </w:r>
          </w:p>
        </w:tc>
      </w:tr>
      <w:tr>
        <w:trPr>
          <w:trHeight w:hRule="exact" w:val="220"/>
        </w:trPr>
        <w:tc>
          <w:tcPr>
            <w:tcW w:type="dxa" w:w="5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Usable paid-in capital</w:t>
            </w:r>
          </w:p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21,610 </w:t>
            </w:r>
          </w:p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21,183 </w:t>
            </w:r>
          </w:p>
        </w:tc>
        <w:tc>
          <w:tcPr>
            <w:tcW w:type="dxa" w:w="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427 </w:t>
            </w:r>
          </w:p>
        </w:tc>
      </w:tr>
      <w:tr>
        <w:trPr>
          <w:trHeight w:hRule="exact" w:val="246"/>
        </w:trPr>
        <w:tc>
          <w:tcPr>
            <w:tcW w:type="dxa" w:w="532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6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top w:sz="8.0" w:val="single" w:color="#000000"/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3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 Maintenance-Of-Value (MOV) on released National Currency Paid-In Capital (NCPIC) is considered to be deferred.</w:t>
      </w:r>
    </w:p>
    <w:p>
      <w:pPr>
        <w:autoSpaceDN w:val="0"/>
        <w:autoSpaceDE w:val="0"/>
        <w:widowControl/>
        <w:spacing w:line="240" w:lineRule="exact" w:before="31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first nine months of FY25, IBRD received $334 million of paid-in capital subscribed under the 2018 GCI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SCI, bringing the cumulative amounts received to $6.3 billion, 84% of the $7.5 billion available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subscription. In line with IBRD’s currency management policy, exchange rate movements during the period did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have an impact on IBRD’s Equity-to-Loans ratio. Under the currency management policy, to minimize exchange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 risk, IBRD matches its borrowing obligations in any one currency (after derivatives) with assets in the same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currency. In addition, IBRD periodically undertakes currency conversions to align the currency composition of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equity with that of its outstanding loans, across major currencies.</w:t>
      </w:r>
    </w:p>
    <w:p>
      <w:pPr>
        <w:autoSpaceDN w:val="0"/>
        <w:autoSpaceDE w:val="0"/>
        <w:widowControl/>
        <w:spacing w:line="224" w:lineRule="exact" w:before="730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20     IBRD Management's Discussion and Analysis: March 31, 2025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68" w:lineRule="exact" w:before="1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Credit Risk</w:t>
      </w:r>
    </w:p>
    <w:p>
      <w:pPr>
        <w:autoSpaceDN w:val="0"/>
        <w:autoSpaceDE w:val="0"/>
        <w:widowControl/>
        <w:spacing w:line="240" w:lineRule="exact" w:before="124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faces two types of credit risk: country credit risk and counterparty credit risk. Country credit risk is the risk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 due to a country not meeting its contractual obligations, and counterparty credit risk is the risk of loss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attributable to a counterparty not honoring its contractual obligations. IBRD is exposed to commercial as well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non-commercial counterparty credit risk.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Country Credit Risk 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manages country credit risk by using individual country exposure limits and produces credit risk ratings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its borrowing countries, which reflect country economic, financial, and political circumstances, and also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considers Environmental, Social and Governance (ESG) risk factors. In addition, IBRD conducts stress tests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effects of changes in market variables and of potential geopolitical events on its portfolio to complement its capital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adequacy framework.</w:t>
      </w:r>
    </w:p>
    <w:p>
      <w:pPr>
        <w:autoSpaceDN w:val="0"/>
        <w:autoSpaceDE w:val="0"/>
        <w:widowControl/>
        <w:spacing w:line="196" w:lineRule="exact" w:before="152" w:after="0"/>
        <w:ind w:left="0" w:right="4896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Figure 10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8"/>
        </w:rPr>
        <w:t xml:space="preserve">Country Exposures as of March 31, 2025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p>
      <w:pPr>
        <w:autoSpaceDN w:val="0"/>
        <w:autoSpaceDE w:val="0"/>
        <w:widowControl/>
        <w:spacing w:line="222" w:lineRule="exact" w:before="232" w:after="210"/>
        <w:ind w:left="233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Top Ten Country Exposures ᵃ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179"/>
        <w:gridCol w:w="1179"/>
        <w:gridCol w:w="1179"/>
        <w:gridCol w:w="1179"/>
        <w:gridCol w:w="1179"/>
        <w:gridCol w:w="1179"/>
        <w:gridCol w:w="1179"/>
        <w:gridCol w:w="1179"/>
      </w:tblGrid>
      <w:tr>
        <w:trPr>
          <w:trHeight w:hRule="exact" w:val="288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India</w:t>
            </w:r>
          </w:p>
        </w:tc>
        <w:tc>
          <w:tcPr>
            <w:tcW w:type="dxa" w:w="642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6.00000000000023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116"/>
              </w:trPr>
              <w:tc>
                <w:tcPr>
                  <w:tcW w:type="dxa" w:w="5176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176" w:val="left"/>
                      <w:tab w:pos="2356" w:val="left"/>
                      <w:tab w:pos="2686" w:val="left"/>
                      <w:tab w:pos="2806" w:val="left"/>
                      <w:tab w:pos="2882" w:val="left"/>
                      <w:tab w:pos="2896" w:val="left"/>
                      <w:tab w:pos="3196" w:val="left"/>
                      <w:tab w:pos="3886" w:val="left"/>
                      <w:tab w:pos="4530" w:val="left"/>
                    </w:tabs>
                    <w:autoSpaceDE w:val="0"/>
                    <w:widowControl/>
                    <w:spacing w:line="252" w:lineRule="exact" w:before="0" w:after="0"/>
                    <w:ind w:left="1996" w:right="288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22.9 </w:t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20.0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16.8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15.4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15.3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14.9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14.4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12.8 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11.9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>11.1</w:t>
                  </w:r>
                </w:p>
              </w:tc>
              <w:tc>
                <w:tcPr>
                  <w:tcW w:type="dxa" w:w="1070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70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70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70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70"/>
                  <w:tcBorders>
                    <w:start w:sz="5.999998569488525" w:val="single" w:color="#898A89"/>
                    <w:bottom w:sz="5.99999856948852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Indonesia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Colombia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Brazil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Mexico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Philippines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China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Turkiye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Egypt, Arab Republic of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342"/>
        </w:trPr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Argentina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179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9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0" w:right="6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2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</w:t>
            </w:r>
          </w:p>
        </w:tc>
      </w:tr>
    </w:tbl>
    <w:p>
      <w:pPr>
        <w:autoSpaceDN w:val="0"/>
        <w:autoSpaceDE w:val="0"/>
        <w:widowControl/>
        <w:spacing w:line="178" w:lineRule="exact" w:before="222" w:after="0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Exposure includes loans outstanding and guarantees provided and are net of guarantees received. </w:t>
      </w:r>
    </w:p>
    <w:p>
      <w:pPr>
        <w:autoSpaceDN w:val="0"/>
        <w:autoSpaceDE w:val="0"/>
        <w:widowControl/>
        <w:spacing w:line="240" w:lineRule="exact" w:before="104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IBRD's loans outstanding to Ukraine were $16.6 billion and guarantees provided to Ukraine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$0.5 billion. Guarantees and other credit enhancements received from third parties for the benefit of Ukraine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$10.9 billion, bringing IBRD's net exposure to Ukraine to $6.2 billion. </w:t>
      </w:r>
    </w:p>
    <w:p>
      <w:pPr>
        <w:autoSpaceDN w:val="0"/>
        <w:autoSpaceDE w:val="0"/>
        <w:widowControl/>
        <w:spacing w:line="244" w:lineRule="exact" w:before="13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 xml:space="preserve">Credit enhancement arrangements </w:t>
      </w:r>
    </w:p>
    <w:p>
      <w:pPr>
        <w:autoSpaceDN w:val="0"/>
        <w:autoSpaceDE w:val="0"/>
        <w:widowControl/>
        <w:spacing w:line="230" w:lineRule="exact" w:before="136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 had $11.1 billion of outstanding loans under which guarantees were received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highly rated member countries or other Multilateral Development Banks ($8.9 billion as of June 30, 2024). </w:t>
      </w:r>
    </w:p>
    <w:p>
      <w:pPr>
        <w:autoSpaceDN w:val="0"/>
        <w:autoSpaceDE w:val="0"/>
        <w:widowControl/>
        <w:spacing w:line="230" w:lineRule="exact" w:before="2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as of March 31, 2025, IBRD received total notional value of $1.1 billion portfolio guarantees from 2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highly rated member countries, under its new Portfolio Guarantee Platform (PGP). </w:t>
      </w:r>
    </w:p>
    <w:p>
      <w:pPr>
        <w:autoSpaceDN w:val="0"/>
        <w:autoSpaceDE w:val="0"/>
        <w:widowControl/>
        <w:spacing w:line="230" w:lineRule="exact" w:before="2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guarantees serve as credit enhancements and reduce IBRD's internal risk capital requirements. Guarantees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contractually attached to the loan reduce the exposure at risk in computing the loan loss provision. Guarantees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that are not contractually attached to the loan (including the Portfolio Guarantee Platform), are recorded 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recoverable asset and included in Other assets on the Balance Sheet (see Notes to the Financial Statements, Note D -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Other Exposures). </w:t>
      </w:r>
    </w:p>
    <w:p>
      <w:pPr>
        <w:autoSpaceDN w:val="0"/>
        <w:autoSpaceDE w:val="0"/>
        <w:widowControl/>
        <w:spacing w:line="240" w:lineRule="exact" w:before="2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has also received other forms of credit enhancements for loans outstanding totaling $2.5 billion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March 31, 2025 ($2.0 billion as of June 30, 2024), that protect IBRD against the risk of loss on certain loans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portfolio. These credit enhancements are accounted for as derivatives at fair value and are included in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assets on IBRD’s Balance Sheet as they do not meet the accounting definition of guarantees.</w:t>
      </w:r>
    </w:p>
    <w:p>
      <w:pPr>
        <w:autoSpaceDN w:val="0"/>
        <w:autoSpaceDE w:val="0"/>
        <w:widowControl/>
        <w:spacing w:line="224" w:lineRule="exact" w:before="1618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21</w:t>
      </w:r>
    </w:p>
    <w:p>
      <w:pPr>
        <w:sectPr>
          <w:pgSz w:w="12240" w:h="15840"/>
          <w:pgMar w:top="31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02" w:lineRule="exact" w:before="18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11: Credit Enhancements Received</w:t>
      </w:r>
    </w:p>
    <w:p>
      <w:pPr>
        <w:autoSpaceDN w:val="0"/>
        <w:autoSpaceDE w:val="0"/>
        <w:widowControl/>
        <w:spacing w:line="180" w:lineRule="exact" w:before="58" w:after="3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2"/>
        </w:trPr>
        <w:tc>
          <w:tcPr>
            <w:tcW w:type="dxa" w:w="3510"/>
            <w:tcBorders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494949"/>
                <w:sz w:val="16"/>
              </w:rPr>
              <w:t>As of</w:t>
            </w:r>
          </w:p>
        </w:tc>
        <w:tc>
          <w:tcPr>
            <w:tcW w:type="dxa" w:w="4460"/>
            <w:tcBorders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0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494949"/>
                <w:sz w:val="16"/>
              </w:rPr>
              <w:t>March 31, 2025</w:t>
            </w:r>
          </w:p>
        </w:tc>
        <w:tc>
          <w:tcPr>
            <w:tcW w:type="dxa" w:w="1410"/>
            <w:tcBorders>
              <w:bottom w:sz="8.0" w:val="single" w:color="#6C6C6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33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494949"/>
                <w:sz w:val="16"/>
              </w:rPr>
              <w:t>June 30, 2024</w:t>
            </w:r>
          </w:p>
        </w:tc>
      </w:tr>
    </w:tbl>
    <w:p>
      <w:pPr>
        <w:autoSpaceDN w:val="0"/>
        <w:autoSpaceDE w:val="0"/>
        <w:widowControl/>
        <w:spacing w:line="180" w:lineRule="exact" w:before="28" w:after="0"/>
        <w:ind w:left="62" w:right="0" w:firstLine="0"/>
        <w:jc w:val="left"/>
      </w:pPr>
      <w:r>
        <w:rPr>
          <w:rFonts w:ascii="Arial" w:hAnsi="Arial" w:eastAsia="Arial"/>
          <w:b/>
          <w:i/>
          <w:color w:val="000000"/>
          <w:sz w:val="16"/>
        </w:rPr>
        <w:t>Bilateral Guarantees Received</w:t>
      </w:r>
    </w:p>
    <w:p>
      <w:pPr>
        <w:autoSpaceDN w:val="0"/>
        <w:autoSpaceDE w:val="0"/>
        <w:widowControl/>
        <w:spacing w:line="180" w:lineRule="exact" w:before="60" w:after="16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 Country With Loan Guarantees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3147"/>
        <w:gridCol w:w="3147"/>
        <w:gridCol w:w="3147"/>
      </w:tblGrid>
      <w:tr>
        <w:trPr>
          <w:trHeight w:hRule="exact" w:val="2418"/>
        </w:trPr>
        <w:tc>
          <w:tcPr>
            <w:tcW w:type="dxa" w:w="4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0" w:after="0"/>
              <w:ind w:left="32" w:right="244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Brazil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Egypt, Arab Republic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Indonesia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Iraq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Jordan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Morocco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Philippines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Ukraine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Outstanding</w:t>
            </w:r>
          </w:p>
          <w:p>
            <w:pPr>
              <w:autoSpaceDN w:val="0"/>
              <w:autoSpaceDE w:val="0"/>
              <w:widowControl/>
              <w:spacing w:line="180" w:lineRule="exact" w:before="30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6"/>
              </w:rPr>
              <w:t>Portfolio Guarantees Received</w:t>
            </w:r>
          </w:p>
        </w:tc>
        <w:tc>
          <w:tcPr>
            <w:tcW w:type="dxa" w:w="5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76.0000000000002" w:type="dxa"/>
            </w:tblPr>
            <w:tblGrid>
              <w:gridCol w:w="2590"/>
              <w:gridCol w:w="2590"/>
            </w:tblGrid>
            <w:tr>
              <w:trPr>
                <w:trHeight w:hRule="exact" w:val="1918"/>
              </w:trPr>
              <w:tc>
                <w:tcPr>
                  <w:tcW w:type="dxa" w:w="1644"/>
                  <w:tcBorders>
                    <w:end w:sz="24.0" w:val="single" w:color="#FFFFFF"/>
                    <w:bottom w:sz="8.0" w:val="single" w:color="#6C6C6C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3.999999999999773" w:type="dxa"/>
                  </w:tblPr>
                  <w:tblGrid>
                    <w:gridCol w:w="822"/>
                    <w:gridCol w:w="822"/>
                  </w:tblGrid>
                  <w:tr>
                    <w:trPr>
                      <w:trHeight w:hRule="exact" w:val="226"/>
                    </w:trPr>
                    <w:tc>
                      <w:tcPr>
                        <w:tcW w:type="dxa" w:w="70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4" w:after="0"/>
                          <w:ind w:left="38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 xml:space="preserve">$ </w:t>
                        </w:r>
                      </w:p>
                    </w:tc>
                    <w:tc>
                      <w:tcPr>
                        <w:tcW w:type="dxa" w:w="88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4" w:after="0"/>
                          <w:ind w:left="0" w:right="14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 xml:space="preserve">185 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36" w:lineRule="exact" w:before="0" w:after="0"/>
                    <w:ind w:left="1008" w:right="2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138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350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341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343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123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216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9,360 </w:t>
                  </w:r>
                </w:p>
              </w:tc>
              <w:tc>
                <w:tcPr>
                  <w:tcW w:type="dxa" w:w="1630"/>
                  <w:tcBorders>
                    <w:start w:sz="24.0" w:val="single" w:color="#FFFFFF"/>
                    <w:bottom w:sz="8.0" w:val="single" w:color="#6C6C6C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5"/>
                    <w:gridCol w:w="815"/>
                  </w:tblGrid>
                  <w:tr>
                    <w:trPr>
                      <w:trHeight w:hRule="exact" w:val="226"/>
                    </w:trPr>
                    <w:tc>
                      <w:tcPr>
                        <w:tcW w:type="dxa" w:w="70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4" w:after="0"/>
                          <w:ind w:left="42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 xml:space="preserve">$ </w:t>
                        </w:r>
                      </w:p>
                    </w:tc>
                    <w:tc>
                      <w:tcPr>
                        <w:tcW w:type="dxa" w:w="86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14" w:after="0"/>
                          <w:ind w:left="0" w:right="4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 xml:space="preserve">200 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36" w:lineRule="exact" w:before="0" w:after="0"/>
                    <w:ind w:left="1008" w:right="3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142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350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359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367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155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220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7,057 </w:t>
                  </w:r>
                </w:p>
              </w:tc>
            </w:tr>
            <w:tr>
              <w:trPr>
                <w:trHeight w:hRule="exact" w:val="220"/>
              </w:trPr>
              <w:tc>
                <w:tcPr>
                  <w:tcW w:type="dxa" w:w="1644"/>
                  <w:tcBorders>
                    <w:top w:sz="8.0" w:val="single" w:color="#6C6C6C"/>
                    <w:end w:sz="24.0" w:val="single" w:color="#FFFFFF"/>
                    <w:bottom w:sz="8.0" w:val="single" w:color="#6C6C6C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58" w:val="left"/>
                    </w:tabs>
                    <w:autoSpaceDE w:val="0"/>
                    <w:widowControl/>
                    <w:spacing w:line="180" w:lineRule="exact" w:before="18" w:after="0"/>
                    <w:ind w:left="6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$ </w:t>
                  </w:r>
                  <w:r>
                    <w:tab/>
                  </w: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11,056 </w:t>
                  </w:r>
                </w:p>
              </w:tc>
              <w:tc>
                <w:tcPr>
                  <w:tcW w:type="dxa" w:w="1630"/>
                  <w:tcBorders>
                    <w:start w:sz="24.0" w:val="single" w:color="#FFFFFF"/>
                    <w:top w:sz="8.0" w:val="single" w:color="#6C6C6C"/>
                    <w:bottom w:sz="8.0" w:val="single" w:color="#6C6C6C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122" w:val="left"/>
                    </w:tabs>
                    <w:autoSpaceDE w:val="0"/>
                    <w:widowControl/>
                    <w:spacing w:line="180" w:lineRule="exact" w:before="18" w:after="0"/>
                    <w:ind w:left="5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$ </w:t>
                  </w:r>
                  <w:r>
                    <w:tab/>
                  </w: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8,850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40"/>
        </w:trPr>
        <w:tc>
          <w:tcPr>
            <w:tcW w:type="dxa" w:w="3147"/>
            <w:vMerge/>
            <w:tcBorders/>
          </w:tcPr>
          <w:p/>
        </w:tc>
        <w:tc>
          <w:tcPr>
            <w:tcW w:type="dxa" w:w="3520"/>
            <w:tcBorders>
              <w:end w:sz="2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1,070 </w:t>
            </w:r>
          </w:p>
        </w:tc>
        <w:tc>
          <w:tcPr>
            <w:tcW w:type="dxa" w:w="1660"/>
            <w:tcBorders>
              <w:start w:sz="2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</w:tbl>
    <w:p>
      <w:pPr>
        <w:autoSpaceDN w:val="0"/>
        <w:autoSpaceDE w:val="0"/>
        <w:widowControl/>
        <w:spacing w:line="180" w:lineRule="exact" w:before="266" w:after="0"/>
        <w:ind w:left="62" w:right="0" w:firstLine="0"/>
        <w:jc w:val="left"/>
      </w:pPr>
      <w:r>
        <w:rPr>
          <w:rFonts w:ascii="Arial" w:hAnsi="Arial" w:eastAsia="Arial"/>
          <w:b/>
          <w:i/>
          <w:color w:val="000000"/>
          <w:sz w:val="16"/>
        </w:rPr>
        <w:t>Other Credit Enhancements Received</w:t>
      </w:r>
    </w:p>
    <w:p>
      <w:pPr>
        <w:autoSpaceDN w:val="0"/>
        <w:autoSpaceDE w:val="0"/>
        <w:widowControl/>
        <w:spacing w:line="180" w:lineRule="exact" w:before="60" w:after="1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 Country With Other Credit Enhancements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4720"/>
        <w:gridCol w:w="4720"/>
      </w:tblGrid>
      <w:tr>
        <w:trPr>
          <w:trHeight w:hRule="exact" w:val="804"/>
        </w:trPr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32" w:right="230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India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Ukraine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Outstanding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56.0" w:type="dxa"/>
            </w:tblPr>
            <w:tblGrid>
              <w:gridCol w:w="2830"/>
              <w:gridCol w:w="2830"/>
            </w:tblGrid>
            <w:tr>
              <w:trPr>
                <w:trHeight w:hRule="exact" w:val="478"/>
              </w:trPr>
              <w:tc>
                <w:tcPr>
                  <w:tcW w:type="dxa" w:w="1644"/>
                  <w:tcBorders>
                    <w:end w:sz="24.0" w:val="single" w:color="#FFFFFF"/>
                    <w:bottom w:sz="8.0" w:val="single" w:color="#6C6C6C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0" w:after="0"/>
                    <w:ind w:left="1008" w:right="2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1,000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1,500 </w:t>
                  </w:r>
                </w:p>
              </w:tc>
              <w:tc>
                <w:tcPr>
                  <w:tcW w:type="dxa" w:w="1630"/>
                  <w:tcBorders>
                    <w:start w:sz="24.0" w:val="single" w:color="#FFFFFF"/>
                    <w:bottom w:sz="8.0" w:val="single" w:color="#6C6C6C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0" w:after="0"/>
                    <w:ind w:left="1008" w:right="3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1,000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1,016 </w:t>
                  </w:r>
                </w:p>
              </w:tc>
            </w:tr>
            <w:tr>
              <w:trPr>
                <w:trHeight w:hRule="exact" w:val="220"/>
              </w:trPr>
              <w:tc>
                <w:tcPr>
                  <w:tcW w:type="dxa" w:w="1644"/>
                  <w:tcBorders>
                    <w:top w:sz="8.0" w:val="single" w:color="#6C6C6C"/>
                    <w:end w:sz="24.0" w:val="single" w:color="#FFFFFF"/>
                    <w:bottom w:sz="8.0" w:val="single" w:color="#6C6C6C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146" w:val="left"/>
                    </w:tabs>
                    <w:autoSpaceDE w:val="0"/>
                    <w:widowControl/>
                    <w:spacing w:line="180" w:lineRule="exact" w:before="18" w:after="0"/>
                    <w:ind w:left="6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$ </w:t>
                  </w:r>
                  <w:r>
                    <w:tab/>
                  </w: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2,500 </w:t>
                  </w:r>
                </w:p>
              </w:tc>
              <w:tc>
                <w:tcPr>
                  <w:tcW w:type="dxa" w:w="1630"/>
                  <w:tcBorders>
                    <w:start w:sz="24.0" w:val="single" w:color="#FFFFFF"/>
                    <w:top w:sz="8.0" w:val="single" w:color="#6C6C6C"/>
                    <w:bottom w:sz="8.0" w:val="single" w:color="#6C6C6C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122" w:val="left"/>
                    </w:tabs>
                    <w:autoSpaceDE w:val="0"/>
                    <w:widowControl/>
                    <w:spacing w:line="180" w:lineRule="exact" w:before="18" w:after="0"/>
                    <w:ind w:left="5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$ </w:t>
                  </w:r>
                  <w:r>
                    <w:tab/>
                  </w: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2,016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5"/>
        </w:trPr>
        <w:tc>
          <w:tcPr>
            <w:tcW w:type="dxa" w:w="7750"/>
            <w:vMerge w:val="restart"/>
            <w:tcBorders>
              <w:end w:sz="24.0" w:val="single" w:color="#FFFFFF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2583"/>
              <w:gridCol w:w="2583"/>
              <w:gridCol w:w="2583"/>
            </w:tblGrid>
            <w:tr>
              <w:trPr>
                <w:trHeight w:hRule="exact" w:val="234"/>
              </w:trPr>
              <w:tc>
                <w:tcPr>
                  <w:tcW w:type="dxa" w:w="5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4" w:after="0"/>
                    <w:ind w:left="3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>Total Guarantees and Credit Enhancements Received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4" w:after="0"/>
                    <w:ind w:left="0" w:right="430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$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4" w:after="0"/>
                    <w:ind w:left="0" w:right="14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16"/>
                    </w:rPr>
                    <w:t xml:space="preserve">14,626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630"/>
            <w:tcBorders>
              <w:start w:sz="24.0" w:val="single" w:color="#FFFFFF"/>
              <w:top w:sz="8.0" w:val="single" w:color="#6C6C6C"/>
              <w:bottom w:sz="8.0" w:val="single" w:color="#6C6C6C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34" w:val="left"/>
              </w:tabs>
              <w:autoSpaceDE w:val="0"/>
              <w:widowControl/>
              <w:spacing w:line="180" w:lineRule="exact" w:before="1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10,866 </w:t>
            </w:r>
          </w:p>
        </w:tc>
      </w:tr>
      <w:tr>
        <w:trPr>
          <w:trHeight w:hRule="exact" w:val="235"/>
        </w:trPr>
        <w:tc>
          <w:tcPr>
            <w:tcW w:type="dxa" w:w="4720"/>
            <w:vMerge/>
            <w:tcBorders>
              <w:end w:sz="24.0" w:val="single" w:color="#FFFFFF"/>
              <w:bottom w:sz="8.0" w:val="single" w:color="#929292"/>
            </w:tcBorders>
          </w:tcPr>
          <w:p/>
        </w:tc>
        <w:tc>
          <w:tcPr>
            <w:tcW w:type="dxa" w:w="1630"/>
            <w:tcBorders>
              <w:start w:sz="24.0" w:val="single" w:color="#FFFFFF"/>
              <w:top w:sz="8.0" w:val="single" w:color="#6C6C6C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30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Portfolio Concentration Risk</w:t>
      </w:r>
    </w:p>
    <w:p>
      <w:pPr>
        <w:autoSpaceDN w:val="0"/>
        <w:autoSpaceDE w:val="0"/>
        <w:widowControl/>
        <w:spacing w:line="240" w:lineRule="exact" w:before="126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concentration risk, which arises when a small group of borrowers accounts for a large share of loans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outstanding, is a key risk for IBRD. The ten countries with the highest exposures accounted for 58% of IBRD’s total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exposure as of March 31, 2025.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Concentration risk is carefully managed, in part, by applying an exposure limit to a single borrowing country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aggregate balance of loans outstanding, the present value of guarantees provided, the undisbursed portion of DDOs,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other eligible exposures that have become effective. Under the current guidelines, IBRD’s exposure to a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 country is restricted to the lower of an Equitable Access Limit (EAL) or the Single Borrower Limit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(SBL).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SBL framework reflects a dual-SBL system, which differentiates between countries below the Graduation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Discussion Income (GDI) threshold and those above it. Under this system, the FY25 SBL is $30.9 billion for highly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creditworthy countries below the GDI, and $22.2 billion for highly creditworthy countries above the GDI.</w:t>
      </w:r>
    </w:p>
    <w:p>
      <w:pPr>
        <w:autoSpaceDN w:val="0"/>
        <w:autoSpaceDE w:val="0"/>
        <w:widowControl/>
        <w:spacing w:line="24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Accumulated Provision for Losses on Loans and Other Exposures</w:t>
      </w:r>
    </w:p>
    <w:p>
      <w:pPr>
        <w:autoSpaceDN w:val="0"/>
        <w:autoSpaceDE w:val="0"/>
        <w:widowControl/>
        <w:spacing w:line="240" w:lineRule="exact" w:before="12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IBRD’s accumulated provision for losses on loans and other exposures was $3.0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(including $514 million of accumulated provision related to loan commitments, see Notes to Condensed Quarterly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Statements - Note D - Loans and Other Exposures), which was less than 1% of the underlying exposures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($3.0 billion as of June 30, 2024, less than 1% of the underlying exposures).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0.5% of IBRD’s total loans outstanding were in nonaccrual status, all related to Zimbabwe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Belarus. During the first nine months of FY25, IBRD received $1 million from borrowers in non-accrual status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payment towards overdue principal ($2 million as payment towards overdue interest in FY24 YTD). See Notes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Condensed Quarterly Financial Statements, Note D - Loans and Other Exposures.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 loans in nonaccrual status to any borrowing country were restored to accrual status during the first nine months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FY25.</w:t>
      </w:r>
    </w:p>
    <w:p>
      <w:pPr>
        <w:autoSpaceDN w:val="0"/>
        <w:autoSpaceDE w:val="0"/>
        <w:widowControl/>
        <w:spacing w:line="224" w:lineRule="exact" w:before="1554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22     IBRD Management's Discussion and Analysis: March 31, 2025</w:t>
      </w:r>
    </w:p>
    <w:p>
      <w:pPr>
        <w:sectPr>
          <w:pgSz w:w="12240" w:h="15840"/>
          <w:pgMar w:top="316" w:right="1370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44" w:lineRule="exact" w:before="11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Counterparty Credit Risk</w:t>
      </w:r>
    </w:p>
    <w:p>
      <w:pPr>
        <w:autoSpaceDN w:val="0"/>
        <w:autoSpaceDE w:val="0"/>
        <w:widowControl/>
        <w:spacing w:line="222" w:lineRule="exact" w:before="14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is exposed to commercial and non-commercial counterparty credit risk. 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Commercial Counterparty Credit Risk</w:t>
      </w:r>
    </w:p>
    <w:p>
      <w:pPr>
        <w:autoSpaceDN w:val="0"/>
        <w:autoSpaceDE w:val="0"/>
        <w:widowControl/>
        <w:spacing w:line="240" w:lineRule="exact" w:before="126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Commercial counterparty credit risk is the risk that counterparties fail to meet their payment obligations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terms of the contract or other financial instruments. Effective management of counterparty credit risk is vital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success of IBRD’s funding, investment, and asset/liability management activities. The monitoring and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these risks is continuous as the market environment evolves.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a result of IBRD’s use of collateral arrangements for swap transactions, its residual commercial counterparty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risk is concentrated in the investment portfolio, in instruments issued by sovereign governments and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sovereign holdings (including agencies and asset-backed securities, corporates, and time deposits).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shown in Table 12, 73% of IBRD's investment portfolio is rated AA or above, and the remainder predominantly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rated A. The exposures with AAA and AA rated counterparties primarily relate to sovereign debt and time deposits.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 rated counterparties principally consist of financial institutions (limited to short-term deposits and swaps)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sovereign debt. </w:t>
      </w:r>
    </w:p>
    <w:p>
      <w:pPr>
        <w:autoSpaceDN w:val="0"/>
        <w:autoSpaceDE w:val="0"/>
        <w:widowControl/>
        <w:spacing w:line="202" w:lineRule="exact" w:before="2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12: Commercial Credit Exposure, Net of Collateral Held, by Counterparty Rating</w:t>
      </w:r>
    </w:p>
    <w:p>
      <w:pPr>
        <w:autoSpaceDN w:val="0"/>
        <w:autoSpaceDE w:val="0"/>
        <w:widowControl/>
        <w:spacing w:line="180" w:lineRule="exact" w:before="60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0"/>
        <w:ind w:left="0" w:right="2872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>As of March 31, 2025</w:t>
      </w:r>
    </w:p>
    <w:p>
      <w:pPr>
        <w:autoSpaceDN w:val="0"/>
        <w:autoSpaceDE w:val="0"/>
        <w:widowControl/>
        <w:spacing w:line="180" w:lineRule="exact" w:before="60" w:after="24"/>
        <w:ind w:left="0" w:right="5204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>Investments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</w:tblGrid>
      <w:tr>
        <w:trPr>
          <w:trHeight w:hRule="exact" w:val="218"/>
        </w:trPr>
        <w:tc>
          <w:tcPr>
            <w:tcW w:type="dxa" w:w="2248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0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Counterparty Rating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929292"/>
                <w:sz w:val="10"/>
              </w:rPr>
              <w:t>a</w:t>
            </w:r>
          </w:p>
        </w:tc>
        <w:tc>
          <w:tcPr>
            <w:tcW w:type="dxa" w:w="216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76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Sovereigns</w:t>
            </w:r>
          </w:p>
        </w:tc>
        <w:tc>
          <w:tcPr>
            <w:tcW w:type="dxa" w:w="284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7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Non-Sovereigns</w:t>
            </w:r>
          </w:p>
        </w:tc>
        <w:tc>
          <w:tcPr>
            <w:tcW w:type="dxa" w:w="27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Net Swap </w:t>
            </w:r>
          </w:p>
        </w:tc>
        <w:tc>
          <w:tcPr>
            <w:tcW w:type="dxa" w:w="1336"/>
            <w:gridSpan w:val="2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Total Exposure</w:t>
            </w:r>
          </w:p>
        </w:tc>
        <w:tc>
          <w:tcPr>
            <w:tcW w:type="dxa" w:w="133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% of Total</w:t>
            </w:r>
          </w:p>
        </w:tc>
      </w:tr>
      <w:tr>
        <w:trPr>
          <w:trHeight w:hRule="exact" w:val="218"/>
        </w:trPr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10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8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Exposure</w:t>
            </w:r>
          </w:p>
        </w:tc>
        <w:tc>
          <w:tcPr>
            <w:tcW w:type="dxa" w:w="1886"/>
            <w:gridSpan w:val="2"/>
            <w:vMerge/>
            <w:tcBorders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</w:tr>
      <w:tr>
        <w:trPr>
          <w:trHeight w:hRule="exact" w:val="222"/>
        </w:trPr>
        <w:tc>
          <w:tcPr>
            <w:tcW w:type="dxa" w:w="2248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AAA</w:t>
            </w:r>
          </w:p>
        </w:tc>
        <w:tc>
          <w:tcPr>
            <w:tcW w:type="dxa" w:w="216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11,568 </w:t>
            </w:r>
          </w:p>
        </w:tc>
        <w:tc>
          <w:tcPr>
            <w:tcW w:type="dxa" w:w="284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12,280 </w:t>
            </w:r>
          </w:p>
        </w:tc>
        <w:tc>
          <w:tcPr>
            <w:tcW w:type="dxa" w:w="27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9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23,848 </w:t>
            </w:r>
          </w:p>
        </w:tc>
        <w:tc>
          <w:tcPr>
            <w:tcW w:type="dxa" w:w="133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24 %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4,870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43,087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47,993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49 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8,310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17,563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134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26,007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27 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BBB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* </w:t>
            </w:r>
          </w:p>
        </w:tc>
      </w:tr>
      <w:tr>
        <w:trPr>
          <w:trHeight w:hRule="exact" w:val="258"/>
        </w:trPr>
        <w:tc>
          <w:tcPr>
            <w:tcW w:type="dxa" w:w="224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BB or lower/unrated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33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* </w:t>
            </w:r>
          </w:p>
        </w:tc>
      </w:tr>
      <w:tr>
        <w:trPr>
          <w:trHeight w:hRule="exact" w:val="220"/>
        </w:trPr>
        <w:tc>
          <w:tcPr>
            <w:tcW w:type="dxa" w:w="224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24,751 </w:t>
            </w:r>
          </w:p>
        </w:tc>
        <w:tc>
          <w:tcPr>
            <w:tcW w:type="dxa" w:w="2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72,970 </w:t>
            </w:r>
          </w:p>
        </w:tc>
        <w:tc>
          <w:tcPr>
            <w:tcW w:type="dxa" w:w="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172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97,893 </w:t>
            </w:r>
          </w:p>
        </w:tc>
        <w:tc>
          <w:tcPr>
            <w:tcW w:type="dxa" w:w="1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</w:tr>
    </w:tbl>
    <w:p>
      <w:pPr>
        <w:autoSpaceDN w:val="0"/>
        <w:autoSpaceDE w:val="0"/>
        <w:widowControl/>
        <w:spacing w:line="180" w:lineRule="exact" w:before="392" w:after="0"/>
        <w:ind w:left="0" w:right="2900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 xml:space="preserve"> As of June 30, 2024</w:t>
      </w:r>
    </w:p>
    <w:p>
      <w:pPr>
        <w:autoSpaceDN w:val="0"/>
        <w:autoSpaceDE w:val="0"/>
        <w:widowControl/>
        <w:spacing w:line="180" w:lineRule="exact" w:before="60" w:after="24"/>
        <w:ind w:left="0" w:right="5204" w:firstLine="0"/>
        <w:jc w:val="right"/>
      </w:pPr>
      <w:r>
        <w:rPr>
          <w:rFonts w:ascii="Arial" w:hAnsi="Arial" w:eastAsia="Arial"/>
          <w:b w:val="0"/>
          <w:i/>
          <w:color w:val="929292"/>
          <w:sz w:val="16"/>
        </w:rPr>
        <w:t>Investments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</w:tblGrid>
      <w:tr>
        <w:trPr>
          <w:trHeight w:hRule="exact" w:val="218"/>
        </w:trPr>
        <w:tc>
          <w:tcPr>
            <w:tcW w:type="dxa" w:w="2248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0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Counterparty Rating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929292"/>
                <w:sz w:val="10"/>
              </w:rPr>
              <w:t>a</w:t>
            </w:r>
          </w:p>
        </w:tc>
        <w:tc>
          <w:tcPr>
            <w:tcW w:type="dxa" w:w="216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76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Sovereigns</w:t>
            </w:r>
          </w:p>
        </w:tc>
        <w:tc>
          <w:tcPr>
            <w:tcW w:type="dxa" w:w="284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7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Non-Sovereigns</w:t>
            </w:r>
          </w:p>
        </w:tc>
        <w:tc>
          <w:tcPr>
            <w:tcW w:type="dxa" w:w="27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Net Swap </w:t>
            </w:r>
          </w:p>
        </w:tc>
        <w:tc>
          <w:tcPr>
            <w:tcW w:type="dxa" w:w="1336"/>
            <w:gridSpan w:val="2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Total Exposure</w:t>
            </w:r>
          </w:p>
        </w:tc>
        <w:tc>
          <w:tcPr>
            <w:tcW w:type="dxa" w:w="133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% of Total</w:t>
            </w:r>
          </w:p>
        </w:tc>
      </w:tr>
      <w:tr>
        <w:trPr>
          <w:trHeight w:hRule="exact" w:val="218"/>
        </w:trPr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10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8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Exposure</w:t>
            </w:r>
          </w:p>
        </w:tc>
        <w:tc>
          <w:tcPr>
            <w:tcW w:type="dxa" w:w="1886"/>
            <w:gridSpan w:val="2"/>
            <w:vMerge/>
            <w:tcBorders>
              <w:bottom w:sz="4.0" w:val="single" w:color="#929292"/>
            </w:tcBorders>
          </w:tcPr>
          <w:p/>
        </w:tc>
        <w:tc>
          <w:tcPr>
            <w:tcW w:type="dxa" w:w="943"/>
            <w:vMerge/>
            <w:tcBorders>
              <w:top w:sz="4.0" w:val="single" w:color="#929292"/>
              <w:bottom w:sz="4.0" w:val="single" w:color="#929292"/>
            </w:tcBorders>
          </w:tcPr>
          <w:p/>
        </w:tc>
      </w:tr>
      <w:tr>
        <w:trPr>
          <w:trHeight w:hRule="exact" w:val="222"/>
        </w:trPr>
        <w:tc>
          <w:tcPr>
            <w:tcW w:type="dxa" w:w="2248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AAA</w:t>
            </w:r>
          </w:p>
        </w:tc>
        <w:tc>
          <w:tcPr>
            <w:tcW w:type="dxa" w:w="216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9,583 </w:t>
            </w:r>
          </w:p>
        </w:tc>
        <w:tc>
          <w:tcPr>
            <w:tcW w:type="dxa" w:w="284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8,844 </w:t>
            </w:r>
          </w:p>
        </w:tc>
        <w:tc>
          <w:tcPr>
            <w:tcW w:type="dxa" w:w="270"/>
            <w:vMerge w:val="restart"/>
            <w:tcBorders>
              <w:top w:sz="4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96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18,427 </w:t>
            </w:r>
          </w:p>
        </w:tc>
        <w:tc>
          <w:tcPr>
            <w:tcW w:type="dxa" w:w="133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23 %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6,778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36,481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43,313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54 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7,240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11,505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131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18,876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23 </w:t>
            </w:r>
          </w:p>
        </w:tc>
      </w:tr>
      <w:tr>
        <w:trPr>
          <w:trHeight w:hRule="exact" w:val="240"/>
        </w:trPr>
        <w:tc>
          <w:tcPr>
            <w:tcW w:type="dxa" w:w="2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BBB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* </w:t>
            </w:r>
          </w:p>
        </w:tc>
      </w:tr>
      <w:tr>
        <w:trPr>
          <w:trHeight w:hRule="exact" w:val="258"/>
        </w:trPr>
        <w:tc>
          <w:tcPr>
            <w:tcW w:type="dxa" w:w="224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BB or lower/unrated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5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943"/>
            <w:vMerge/>
            <w:tcBorders>
              <w:top w:sz="4.0" w:val="single" w:color="#929292"/>
              <w:bottom w:sz="8.0" w:val="single" w:color="#000000"/>
            </w:tcBorders>
          </w:tcPr>
          <w:p/>
        </w:tc>
        <w:tc>
          <w:tcPr>
            <w:tcW w:type="dxa" w:w="10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3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* </w:t>
            </w:r>
          </w:p>
        </w:tc>
      </w:tr>
      <w:tr>
        <w:trPr>
          <w:trHeight w:hRule="exact" w:val="220"/>
        </w:trPr>
        <w:tc>
          <w:tcPr>
            <w:tcW w:type="dxa" w:w="224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23,605 </w:t>
            </w:r>
          </w:p>
        </w:tc>
        <w:tc>
          <w:tcPr>
            <w:tcW w:type="dxa" w:w="2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56,865 </w:t>
            </w:r>
          </w:p>
        </w:tc>
        <w:tc>
          <w:tcPr>
            <w:tcW w:type="dxa" w:w="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185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80,655 </w:t>
            </w:r>
          </w:p>
        </w:tc>
        <w:tc>
          <w:tcPr>
            <w:tcW w:type="dxa" w:w="1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</w:tr>
    </w:tbl>
    <w:p>
      <w:pPr>
        <w:autoSpaceDN w:val="0"/>
        <w:autoSpaceDE w:val="0"/>
        <w:widowControl/>
        <w:spacing w:line="192" w:lineRule="exact" w:before="296" w:after="0"/>
        <w:ind w:left="236" w:right="92" w:hanging="180"/>
        <w:jc w:val="both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Average rating is calculated using available ratings from the three major rating agencies; however, if ratings are not available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from each of the three rating agencies, IBRD uses the average of the ratings available from any of such rating agencies or a </w:t>
      </w:r>
      <w:r>
        <w:rPr>
          <w:rFonts w:ascii="Arial" w:hAnsi="Arial" w:eastAsia="Arial"/>
          <w:b w:val="0"/>
          <w:i/>
          <w:color w:val="000000"/>
          <w:sz w:val="16"/>
        </w:rPr>
        <w:t>single rating to the extent that an instrument or issuer (as applicable) is rated by only one rating agency.</w:t>
      </w:r>
    </w:p>
    <w:p>
      <w:pPr>
        <w:autoSpaceDN w:val="0"/>
        <w:autoSpaceDE w:val="0"/>
        <w:widowControl/>
        <w:spacing w:line="180" w:lineRule="exact" w:before="60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 Indicates percentage less than 0.5%.</w:t>
      </w:r>
    </w:p>
    <w:p>
      <w:pPr>
        <w:autoSpaceDN w:val="0"/>
        <w:autoSpaceDE w:val="0"/>
        <w:widowControl/>
        <w:spacing w:line="242" w:lineRule="exact" w:before="20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Non-Commercial Counterparty Credit Risk</w:t>
      </w:r>
    </w:p>
    <w:p>
      <w:pPr>
        <w:autoSpaceDN w:val="0"/>
        <w:autoSpaceDE w:val="0"/>
        <w:widowControl/>
        <w:spacing w:line="240" w:lineRule="exact" w:before="126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 to its derivative transactions with commercial counterparties, IBRD offers derivative-intermediation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other services to borrowing member countries, as well as to affiliated and non-affiliated organizations, to help meet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their development needs and fulfill their development mandates (Table 13).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has a master derivatives agreement with the International Finance Facility for Immunisation (IFFIm),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several transactions have been executed. IBRD has the right to call for collateral above an agreed specified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threshold. As of March 31, 2025, IBRD had not exercised this right, but may do so under the existing terms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agreement. Rather than calling for collateral, IBRD and IFFIm have agreed to manage IBRD’s exposure by applying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risk management buffer to the gearing ratio limit. The gearing ratio limit represents the maximum amount of </w:t>
      </w:r>
    </w:p>
    <w:p>
      <w:pPr>
        <w:autoSpaceDN w:val="0"/>
        <w:autoSpaceDE w:val="0"/>
        <w:widowControl/>
        <w:spacing w:line="224" w:lineRule="exact" w:before="878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23</w:t>
      </w:r>
    </w:p>
    <w:p>
      <w:pPr>
        <w:sectPr>
          <w:pgSz w:w="12240" w:h="15840"/>
          <w:pgMar w:top="316" w:right="1370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40" w:lineRule="exact" w:before="10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IFFIm’s net financial obligations less cash and liquid assets, as a percentage of the net present value of its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assets.</w:t>
      </w:r>
    </w:p>
    <w:p>
      <w:pPr>
        <w:autoSpaceDN w:val="0"/>
        <w:autoSpaceDE w:val="0"/>
        <w:widowControl/>
        <w:spacing w:line="202" w:lineRule="exact" w:before="2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13: Non-Commercial Counterparty Credit Risk</w:t>
      </w:r>
    </w:p>
    <w:p>
      <w:pPr>
        <w:autoSpaceDN w:val="0"/>
        <w:autoSpaceDE w:val="0"/>
        <w:widowControl/>
        <w:spacing w:line="180" w:lineRule="exact" w:before="60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166" w:after="24"/>
        <w:ind w:left="56" w:right="0" w:firstLine="0"/>
        <w:jc w:val="left"/>
      </w:pPr>
      <w:r>
        <w:rPr>
          <w:rFonts w:ascii="Arial" w:hAnsi="Arial" w:eastAsia="Arial"/>
          <w:b w:val="0"/>
          <w:i/>
          <w:color w:val="929292"/>
          <w:sz w:val="16"/>
        </w:rPr>
        <w:t>Exposures as of March 31,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7"/>
        <w:gridCol w:w="1887"/>
        <w:gridCol w:w="1887"/>
        <w:gridCol w:w="1887"/>
        <w:gridCol w:w="1887"/>
      </w:tblGrid>
      <w:tr>
        <w:trPr>
          <w:trHeight w:hRule="exact" w:val="220"/>
        </w:trPr>
        <w:tc>
          <w:tcPr>
            <w:tcW w:type="dxa" w:w="172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Non-Commercial </w:t>
            </w:r>
          </w:p>
        </w:tc>
        <w:tc>
          <w:tcPr>
            <w:tcW w:type="dxa" w:w="182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 xml:space="preserve">Instrument </w:t>
            </w:r>
          </w:p>
        </w:tc>
        <w:tc>
          <w:tcPr>
            <w:tcW w:type="dxa" w:w="340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2" w:after="0"/>
              <w:ind w:left="60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Purpose of derivative transaction</w:t>
            </w:r>
          </w:p>
        </w:tc>
        <w:tc>
          <w:tcPr>
            <w:tcW w:type="dxa" w:w="1220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2" w:after="0"/>
              <w:ind w:left="0" w:right="1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Notional</w:t>
            </w:r>
          </w:p>
        </w:tc>
        <w:tc>
          <w:tcPr>
            <w:tcW w:type="dxa" w:w="1204"/>
            <w:vMerge w:val="restart"/>
            <w:tcBorders>
              <w:top w:sz="4.0" w:val="single" w:color="#929292"/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Net Exposure</w:t>
            </w:r>
          </w:p>
        </w:tc>
      </w:tr>
      <w:tr>
        <w:trPr>
          <w:trHeight w:hRule="exact" w:val="216"/>
        </w:trPr>
        <w:tc>
          <w:tcPr>
            <w:tcW w:type="dxa" w:w="172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Counterparty</w:t>
            </w:r>
          </w:p>
        </w:tc>
        <w:tc>
          <w:tcPr>
            <w:tcW w:type="dxa" w:w="182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4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929292"/>
                <w:sz w:val="16"/>
              </w:rPr>
              <w:t>used</w:t>
            </w:r>
          </w:p>
        </w:tc>
        <w:tc>
          <w:tcPr>
            <w:tcW w:type="dxa" w:w="1887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1887"/>
            <w:vMerge/>
            <w:tcBorders>
              <w:top w:sz="4.0" w:val="single" w:color="#929292"/>
              <w:bottom w:sz="4.0" w:val="single" w:color="#929292"/>
            </w:tcBorders>
          </w:tcPr>
          <w:p/>
        </w:tc>
        <w:tc>
          <w:tcPr>
            <w:tcW w:type="dxa" w:w="1887"/>
            <w:vMerge/>
            <w:tcBorders>
              <w:top w:sz="4.0" w:val="single" w:color="#929292"/>
              <w:bottom w:sz="4.0" w:val="single" w:color="#929292"/>
            </w:tcBorders>
          </w:tcPr>
          <w:p/>
        </w:tc>
      </w:tr>
    </w:tbl>
    <w:p>
      <w:pPr>
        <w:autoSpaceDN w:val="0"/>
        <w:autoSpaceDE w:val="0"/>
        <w:widowControl/>
        <w:spacing w:line="178" w:lineRule="exact" w:before="28" w:after="8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Borrowing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204"/>
        </w:trPr>
        <w:tc>
          <w:tcPr>
            <w:tcW w:type="dxa" w:w="20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Member Countries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Derivatives</w:t>
            </w:r>
          </w:p>
        </w:tc>
        <w:tc>
          <w:tcPr>
            <w:tcW w:type="dxa" w:w="4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Assist borrowing member countries with managing risks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6,792 </w:t>
            </w:r>
          </w:p>
        </w:tc>
        <w:tc>
          <w:tcPr>
            <w:tcW w:type="dxa" w:w="6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50"/>
        </w:trPr>
        <w:tc>
          <w:tcPr>
            <w:tcW w:type="dxa" w:w="20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Non-Affiliated Organization</w:t>
            </w:r>
          </w:p>
        </w:tc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Derivatives</w:t>
            </w:r>
          </w:p>
        </w:tc>
        <w:tc>
          <w:tcPr>
            <w:tcW w:type="dxa" w:w="4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Assist IFFIm with managing financial risks</w:t>
            </w:r>
          </w:p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1,847 </w:t>
            </w:r>
          </w:p>
        </w:tc>
        <w:tc>
          <w:tcPr>
            <w:tcW w:type="dxa" w:w="1572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20"/>
        </w:trPr>
        <w:tc>
          <w:tcPr>
            <w:tcW w:type="dxa" w:w="20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8,639 </w:t>
            </w:r>
          </w:p>
        </w:tc>
        <w:tc>
          <w:tcPr>
            <w:tcW w:type="dxa" w:w="6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— </w:t>
            </w:r>
          </w:p>
        </w:tc>
      </w:tr>
    </w:tbl>
    <w:p>
      <w:pPr>
        <w:autoSpaceDN w:val="0"/>
        <w:autoSpaceDE w:val="0"/>
        <w:widowControl/>
        <w:spacing w:line="244" w:lineRule="exact" w:before="35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Changes in Credit Spreads</w:t>
      </w:r>
    </w:p>
    <w:p>
      <w:pPr>
        <w:autoSpaceDN w:val="0"/>
        <w:autoSpaceDE w:val="0"/>
        <w:widowControl/>
        <w:spacing w:line="240" w:lineRule="exact" w:before="12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sensitivity of IBRD’s portfolios to credit represents the change in fair value corresponding to changes in credit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spreads.</w:t>
      </w:r>
    </w:p>
    <w:p>
      <w:pPr>
        <w:autoSpaceDN w:val="0"/>
        <w:tabs>
          <w:tab w:pos="724" w:val="left"/>
        </w:tabs>
        <w:autoSpaceDE w:val="0"/>
        <w:widowControl/>
        <w:spacing w:line="238" w:lineRule="exact" w:before="124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◦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Investments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IBRD purchases investment-grade securities for its liquid asset portfolio. Credit risk is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controlled through appropriate eligibility criteria (see investment eligibility criteria in IBRD’s MD&amp;A as of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2024) and a consultative loss limit.</w:t>
      </w:r>
    </w:p>
    <w:p>
      <w:pPr>
        <w:autoSpaceDN w:val="0"/>
        <w:tabs>
          <w:tab w:pos="724" w:val="left"/>
        </w:tabs>
        <w:autoSpaceDE w:val="0"/>
        <w:widowControl/>
        <w:spacing w:line="238" w:lineRule="exact" w:before="64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◦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Borrowings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IBRD’s own credit risk reflects the cost of funding relative to applicable reference rates.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Changes in IBRD’s credit spreads result in unrealized mark-to-market gains/losses, recorded as Net Change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DVA on Fair Value Option elected liabilities in the Condensed Statements of Comprehensive Income.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62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◦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Loans: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IBRD’s fair value model represents a hypothetical exit price of the loan portfolio. It incorporates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 Default Swaps (CDS) spreads as an indicator of the credit risk for each borrower. IBRD does not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hedge its sovereign credit exposure, but Management assesses its credit risk through a loan-loss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provisioning framework. The loan loss provision represents the expected losses inherent in its accrual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nonaccrual portfolios. IBRD’s country credit risk is managed by using individual country exposure limits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by monitoring its credit-risk-bearing capacity.</w:t>
      </w:r>
    </w:p>
    <w:p>
      <w:pPr>
        <w:autoSpaceDN w:val="0"/>
        <w:tabs>
          <w:tab w:pos="724" w:val="left"/>
        </w:tabs>
        <w:autoSpaceDE w:val="0"/>
        <w:widowControl/>
        <w:spacing w:line="238" w:lineRule="exact" w:before="64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◦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Derivatives: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IBRD uses derivatives to manage exposures to currency and interest rate risks in its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investment, loan, other ALM and borrowing portfolios. It is therefore exposed to commercial counterparty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risk on these instruments.</w:t>
      </w:r>
    </w:p>
    <w:p>
      <w:pPr>
        <w:autoSpaceDN w:val="0"/>
        <w:autoSpaceDE w:val="0"/>
        <w:widowControl/>
        <w:spacing w:line="268" w:lineRule="exact" w:before="19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Market Risk</w:t>
      </w:r>
    </w:p>
    <w:p>
      <w:pPr>
        <w:autoSpaceDN w:val="0"/>
        <w:autoSpaceDE w:val="0"/>
        <w:widowControl/>
        <w:spacing w:line="240" w:lineRule="exact" w:before="12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is exposed to changes in interest and exchange rates, and it uses various strategies to minimize its exposure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market risk.</w:t>
      </w:r>
    </w:p>
    <w:p>
      <w:pPr>
        <w:autoSpaceDN w:val="0"/>
        <w:autoSpaceDE w:val="0"/>
        <w:widowControl/>
        <w:spacing w:line="244" w:lineRule="exact" w:before="13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Interest Rate Risk</w:t>
      </w:r>
    </w:p>
    <w:p>
      <w:pPr>
        <w:autoSpaceDN w:val="0"/>
        <w:autoSpaceDE w:val="0"/>
        <w:widowControl/>
        <w:spacing w:line="240" w:lineRule="exact" w:before="12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its current interest rate risk management strategy, IBRD seeks to match the interest rate sensitivity of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(loan and investment trading portfolios) with those of its liabilities (borrowing portfolio) by using derivatives,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such as interest rate swaps. These derivatives effectively convert IBRD’s financial assets and liabilities into variable-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 instruments. After considering the effects of these derivatives, virtually the entire loan and borrowing portfolios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are carried at variable interest rates.</w:t>
      </w:r>
    </w:p>
    <w:p>
      <w:pPr>
        <w:autoSpaceDN w:val="0"/>
        <w:autoSpaceDE w:val="0"/>
        <w:widowControl/>
        <w:spacing w:line="244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2"/>
        </w:rPr>
        <w:t>Loans to borrowing countries</w:t>
      </w:r>
    </w:p>
    <w:p>
      <w:pPr>
        <w:autoSpaceDN w:val="0"/>
        <w:autoSpaceDE w:val="0"/>
        <w:widowControl/>
        <w:spacing w:line="220" w:lineRule="exact" w:before="14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Under IBRD’s loan agreements, if an interest rate yields a negative rate, the interest rate charged is zero.</w:t>
      </w:r>
    </w:p>
    <w:p>
      <w:pPr>
        <w:autoSpaceDN w:val="0"/>
        <w:autoSpaceDE w:val="0"/>
        <w:widowControl/>
        <w:spacing w:line="244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2"/>
        </w:rPr>
        <w:t>Liquid Asset Portfolio</w:t>
      </w:r>
    </w:p>
    <w:p>
      <w:pPr>
        <w:autoSpaceDN w:val="0"/>
        <w:autoSpaceDE w:val="0"/>
        <w:widowControl/>
        <w:spacing w:line="240" w:lineRule="exact" w:before="12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existing guidelines allow for the investment in a wide variety of credit products in both developed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emerging market economies (see investment eligibility criteria in IBRD’s MD&amp;A as of June 30, 2024).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interest rate risk on IBRD’s liquid asset portfolio, including the risk that the value of assets in the portfolio will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fluctuate in response to changes in market interest rates, is managed within specified duration-mismatch limits.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 asset portfolio has spread exposure because IBRD holds instruments other than short-term bank deposits. </w:t>
      </w:r>
    </w:p>
    <w:p>
      <w:pPr>
        <w:autoSpaceDN w:val="0"/>
        <w:autoSpaceDE w:val="0"/>
        <w:widowControl/>
        <w:spacing w:line="224" w:lineRule="exact" w:before="1046" w:after="0"/>
        <w:ind w:left="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24     IBRD Management's Discussion and Analysis: March 31, 2025</w:t>
      </w:r>
    </w:p>
    <w:p>
      <w:pPr>
        <w:sectPr>
          <w:pgSz w:w="12240" w:h="15840"/>
          <w:pgMar w:top="316" w:right="1370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40" w:lineRule="exact" w:before="10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investments generally yield positive returns over the risk-free reference rate (SOFR) but can generate mark-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to-market gains or losses if the credit spread moves.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Fixed Spread Loan Refinancing Risk</w:t>
      </w:r>
    </w:p>
    <w:p>
      <w:pPr>
        <w:autoSpaceDN w:val="0"/>
        <w:autoSpaceDE w:val="0"/>
        <w:widowControl/>
        <w:spacing w:line="240" w:lineRule="exact" w:before="126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IBRD no longer offers loans on fixed spread terms, refinancing risk for funding fixed-spread loans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relates to the potential impact of any future deterioration in IBRD's funding spread relative to what was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computed in the fixed-spread when the loan was initially disbursed. IBRD does not match the maturity of its funding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with that of its fixed spread loans as this would result in significantly higher financing costs for all loans. Instead,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 targets a shorter average funding maturity and manages the refinancing risk by charging a risk premium.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2"/>
        </w:rPr>
        <w:t>Other Interest Rate Risks</w:t>
      </w:r>
    </w:p>
    <w:p>
      <w:pPr>
        <w:autoSpaceDN w:val="0"/>
        <w:autoSpaceDE w:val="0"/>
        <w:widowControl/>
        <w:spacing w:line="240" w:lineRule="exact" w:before="126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risk also arises from other variables, including differences in timing between the contractual maturities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 re-pricing of IBRD’s assets, liabilities, and derivative instruments. On variable-rate assets and liabilities, IBRD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exposed to timing mismatches between the reset dates on its variable-rate receivables and payables. IBRD monitors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exposures and may execute overlay interest rate swaps to reduce sizable timing mismatches.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Exchange Rate Risk </w:t>
      </w:r>
    </w:p>
    <w:p>
      <w:pPr>
        <w:autoSpaceDN w:val="0"/>
        <w:autoSpaceDE w:val="0"/>
        <w:widowControl/>
        <w:spacing w:line="240" w:lineRule="exact" w:before="112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holds the majority of its assets and liabilities in U.S. dollars and euro. However, the reported levels of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assets, liabilities, income, and expenses in the financial statements are affected by exchange rate movements in all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currencies in which IBRD transacts, relative to its reporting currency, the U.S. dollar. While IBRD’s equity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could be affected by exchange rate movements, IBRD’s risk management policies work to minimize the exchange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rate risk in its capital adequacy, by immunizing the Equity-to-Loans ratio against exchange rate movements.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minimize exchange rate risk, IBRD matches its borrowing obligations in any one currency (after derivatives)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with assets in the same currency. In addition, IBRD undertakes periodic currency conversions to align the currency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composition of its equity with that of its outstanding loans across major currencies. Together, these policies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designed to minimize the impact of exchange rate fluctuations on the Equity-to-Loans ratio; thereby preserving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ability to better absorb unexpected losses from arrears on loan repayments, regardless of exchange 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movements. As a result, exchange rate movements during the period generally do not have an impact on the overall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Equity-to-Loans ratio.</w:t>
      </w:r>
    </w:p>
    <w:p>
      <w:pPr>
        <w:autoSpaceDN w:val="0"/>
        <w:autoSpaceDE w:val="0"/>
        <w:widowControl/>
        <w:spacing w:line="242" w:lineRule="exact" w:before="13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Liquidity Risk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 risk arises in the general funding of IBRD’s activities and in managing its financial position. It includes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risk of IBRD being unable to fund its portfolio of assets at appropriate maturities and rates, and the risk of being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unable to liquidate a position in a timely manner at a reasonable price.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IBRD’s liquidity management guidelines, liquid asset holdings are kept at or above a specified Prudential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Minimum to safeguard against cash flow interruptions.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Target Liquidity Level represents twelve-months’ coverage as calculated at the start of every fiscal year.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Prudential Minimum is defined as 80% of the Target Liquidity Level. The maximum guideline of 150%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Target Liquidity Level continues to function as a guideline rather than a hard ceiling (Table 14).</w:t>
      </w:r>
    </w:p>
    <w:p>
      <w:pPr>
        <w:autoSpaceDN w:val="0"/>
        <w:autoSpaceDE w:val="0"/>
        <w:widowControl/>
        <w:spacing w:line="202" w:lineRule="exact" w:before="202" w:after="3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Table 14: Liquidity Levels for FY25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8"/>
        <w:gridCol w:w="2358"/>
        <w:gridCol w:w="2358"/>
        <w:gridCol w:w="2358"/>
      </w:tblGrid>
      <w:tr>
        <w:trPr>
          <w:trHeight w:hRule="exact" w:val="238"/>
        </w:trPr>
        <w:tc>
          <w:tcPr>
            <w:tcW w:type="dxa" w:w="38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4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1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In billions of U.S. dollars</w:t>
            </w:r>
          </w:p>
        </w:tc>
        <w:tc>
          <w:tcPr>
            <w:tcW w:type="dxa" w:w="232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% of Target Liquidity Level</w:t>
            </w:r>
          </w:p>
        </w:tc>
      </w:tr>
      <w:tr>
        <w:trPr>
          <w:trHeight w:hRule="exact" w:val="238"/>
        </w:trPr>
        <w:tc>
          <w:tcPr>
            <w:tcW w:type="dxa" w:w="3864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Target Liquidity Level</w:t>
            </w:r>
          </w:p>
        </w:tc>
        <w:tc>
          <w:tcPr>
            <w:tcW w:type="dxa" w:w="1040"/>
            <w:vMerge w:val="restart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40"/>
            <w:tcBorders>
              <w:top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65.0 </w:t>
            </w:r>
          </w:p>
        </w:tc>
        <w:tc>
          <w:tcPr>
            <w:tcW w:type="dxa" w:w="2324"/>
            <w:vMerge w:val="restart"/>
            <w:tcBorders>
              <w:top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0" w:after="0"/>
              <w:ind w:left="0" w:right="8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150%</w:t>
            </w:r>
          </w:p>
        </w:tc>
      </w:tr>
      <w:tr>
        <w:trPr>
          <w:trHeight w:hRule="exact" w:val="210"/>
        </w:trPr>
        <w:tc>
          <w:tcPr>
            <w:tcW w:type="dxa" w:w="3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Guideline Maximum Liquidity Level</w:t>
            </w:r>
          </w:p>
        </w:tc>
        <w:tc>
          <w:tcPr>
            <w:tcW w:type="dxa" w:w="2358"/>
            <w:vMerge/>
            <w:tcBorders>
              <w:top w:sz="4.0" w:val="single" w:color="#929292"/>
            </w:tcBorders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97.5 </w:t>
            </w:r>
          </w:p>
        </w:tc>
        <w:tc>
          <w:tcPr>
            <w:tcW w:type="dxa" w:w="2358"/>
            <w:vMerge/>
            <w:tcBorders>
              <w:top w:sz="4.0" w:val="single" w:color="#929292"/>
            </w:tcBorders>
          </w:tcPr>
          <w:p/>
        </w:tc>
      </w:tr>
      <w:tr>
        <w:trPr>
          <w:trHeight w:hRule="exact" w:val="270"/>
        </w:trPr>
        <w:tc>
          <w:tcPr>
            <w:tcW w:type="dxa" w:w="3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Prudential Minimum Liquidity Level</w:t>
            </w:r>
          </w:p>
        </w:tc>
        <w:tc>
          <w:tcPr>
            <w:tcW w:type="dxa" w:w="1040"/>
            <w:vMerge w:val="restart"/>
            <w:tcBorders>
              <w:bottom w:sz="4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98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52.0 </w:t>
            </w:r>
          </w:p>
        </w:tc>
        <w:tc>
          <w:tcPr>
            <w:tcW w:type="dxa" w:w="2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9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80%</w:t>
            </w:r>
          </w:p>
        </w:tc>
      </w:tr>
      <w:tr>
        <w:trPr>
          <w:trHeight w:hRule="exact" w:val="242"/>
        </w:trPr>
        <w:tc>
          <w:tcPr>
            <w:tcW w:type="dxa" w:w="386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Liquid Asset Portfolio as of March 31, 2025</w:t>
            </w:r>
          </w:p>
        </w:tc>
        <w:tc>
          <w:tcPr>
            <w:tcW w:type="dxa" w:w="2358"/>
            <w:vMerge/>
            <w:tcBorders>
              <w:bottom w:sz="4.0" w:val="single" w:color="#929292"/>
            </w:tcBorders>
          </w:tcPr>
          <w:p/>
        </w:tc>
        <w:tc>
          <w:tcPr>
            <w:tcW w:type="dxa" w:w="2140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97.9 </w:t>
            </w:r>
          </w:p>
        </w:tc>
        <w:tc>
          <w:tcPr>
            <w:tcW w:type="dxa" w:w="2324"/>
            <w:tcBorders>
              <w:bottom w:sz="4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8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151%</w:t>
            </w:r>
          </w:p>
        </w:tc>
      </w:tr>
    </w:tbl>
    <w:p>
      <w:pPr>
        <w:autoSpaceDN w:val="0"/>
        <w:autoSpaceDE w:val="0"/>
        <w:widowControl/>
        <w:spacing w:line="240" w:lineRule="exact" w:before="16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FY25 Target Liquidity Level is $6.0 billion higher than the prior year, due to the higher projected debt service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FY25.</w:t>
      </w:r>
    </w:p>
    <w:p>
      <w:pPr>
        <w:autoSpaceDN w:val="0"/>
        <w:autoSpaceDE w:val="0"/>
        <w:widowControl/>
        <w:spacing w:line="224" w:lineRule="exact" w:before="2250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25</w:t>
      </w:r>
    </w:p>
    <w:p>
      <w:pPr>
        <w:sectPr>
          <w:pgSz w:w="12240" w:h="15840"/>
          <w:pgMar w:top="316" w:right="1370" w:bottom="136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IV: Risk Management </w:t>
            </w:r>
          </w:p>
        </w:tc>
      </w:tr>
    </w:tbl>
    <w:p>
      <w:pPr>
        <w:autoSpaceDN w:val="0"/>
        <w:autoSpaceDE w:val="0"/>
        <w:widowControl/>
        <w:spacing w:line="244" w:lineRule="exact" w:before="118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Operational Risk 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Operational risk is defined as the risk of financial loss, or damage to IBRD’s reputation resulting from inadequate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failed internal processes, people and systems, or from external events.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recognizes the importance of operational risk management activities, which are embedded in its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operations. As part of its business activities, IBRD is exposed to a range of operational risks including physical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security, staff health and safety, information security and data privacy, business continuity, and third-party risks.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approach to identifying and managing operational risk includes a dedicated program for these risks and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robust process that includes assessing and prioritizing operational risks, monitoring and reporting relevant key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indicators, aggregating and analyzing internal and external events, and identifying emerging risks that may affect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business units and developing risk response and mitigating actions.</w:t>
      </w:r>
    </w:p>
    <w:p>
      <w:pPr>
        <w:autoSpaceDN w:val="0"/>
        <w:autoSpaceDE w:val="0"/>
        <w:widowControl/>
        <w:spacing w:line="224" w:lineRule="exact" w:before="1166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26     IBRD Management's Discussion and Analysis: March 31, 2025</w:t>
      </w:r>
    </w:p>
    <w:p>
      <w:pPr>
        <w:sectPr>
          <w:pgSz w:w="12240" w:h="15840"/>
          <w:pgMar w:top="316" w:right="137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84"/>
        </w:trPr>
        <w:tc>
          <w:tcPr>
            <w:tcW w:type="dxa" w:w="3950"/>
            <w:tcBorders>
              <w:bottom w:sz="8.0" w:val="single" w:color="#DADADA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20"/>
            <w:tcBorders>
              <w:bottom w:sz="8.0" w:val="single" w:color="#DADAD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Governance</w:t>
            </w:r>
          </w:p>
        </w:tc>
      </w:tr>
    </w:tbl>
    <w:p>
      <w:pPr>
        <w:autoSpaceDN w:val="0"/>
        <w:autoSpaceDE w:val="0"/>
        <w:widowControl/>
        <w:spacing w:line="312" w:lineRule="exact" w:before="184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V: Governance</w:t>
      </w:r>
    </w:p>
    <w:p>
      <w:pPr>
        <w:autoSpaceDN w:val="0"/>
        <w:autoSpaceDE w:val="0"/>
        <w:widowControl/>
        <w:spacing w:line="298" w:lineRule="exact" w:before="17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Senior Management Changes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Lakshmi Shyam-Sunder, WBG Chief Risk Officer and Vice President, retired in January 2025. Dennis McLaughlin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was appointed to this role effective January 2, 2025.</w:t>
      </w:r>
    </w:p>
    <w:p>
      <w:pPr>
        <w:autoSpaceDN w:val="0"/>
        <w:autoSpaceDE w:val="0"/>
        <w:widowControl/>
        <w:spacing w:line="224" w:lineRule="exact" w:before="12866" w:after="0"/>
        <w:ind w:left="0" w:right="6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Management's Discussion and Analysis: March 31, 2025     27</w:t>
      </w:r>
    </w:p>
    <w:p>
      <w:pPr>
        <w:sectPr>
          <w:pgSz w:w="12240" w:h="15840"/>
          <w:pgMar w:top="316" w:right="1372" w:bottom="136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16"/>
        <w:ind w:left="0" w:right="0"/>
      </w:pPr>
    </w:p>
    <w:p>
      <w:pPr>
        <w:autoSpaceDN w:val="0"/>
        <w:autoSpaceDE w:val="0"/>
        <w:widowControl/>
        <w:spacing w:line="402" w:lineRule="exact" w:before="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36"/>
        </w:rPr>
        <w:t>This page left intentionally blank</w:t>
      </w:r>
    </w:p>
    <w:p>
      <w:pPr>
        <w:autoSpaceDN w:val="0"/>
        <w:autoSpaceDE w:val="0"/>
        <w:widowControl/>
        <w:spacing w:line="224" w:lineRule="exact" w:before="1176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28     IBRD Management's Discussion and Analysis: March 31, 2025</w:t>
      </w:r>
    </w:p>
    <w:p>
      <w:pPr>
        <w:sectPr>
          <w:pgSz w:w="12240" w:h="15840"/>
          <w:pgMar w:top="1440" w:right="1440" w:bottom="1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24" w:lineRule="exact" w:before="0" w:after="0"/>
        <w:ind w:left="0" w:right="14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INTERNATIONAL BANK FOR RECONSTRUCTION AND DEVELOPMENT </w:t>
      </w:r>
      <w:r>
        <w:rPr>
          <w:rFonts w:ascii="ArialMT" w:hAnsi="ArialMT" w:eastAsia="ArialMT"/>
          <w:b w:val="0"/>
          <w:i w:val="0"/>
          <w:color w:val="000000"/>
          <w:sz w:val="28"/>
        </w:rPr>
        <w:t>(IBRD)</w:t>
      </w:r>
    </w:p>
    <w:p>
      <w:pPr>
        <w:autoSpaceDN w:val="0"/>
        <w:autoSpaceDE w:val="0"/>
        <w:widowControl/>
        <w:spacing w:line="280" w:lineRule="exact" w:before="416" w:after="0"/>
        <w:ind w:left="0" w:right="792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CONTENTS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March 31, 2025</w:t>
      </w:r>
    </w:p>
    <w:p>
      <w:pPr>
        <w:autoSpaceDN w:val="0"/>
        <w:autoSpaceDE w:val="0"/>
        <w:widowControl/>
        <w:spacing w:line="314" w:lineRule="exact" w:before="35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CONDENSED QUARTERLY FINANCIAL STATEMENTS (UNAUDITED)</w:t>
      </w:r>
    </w:p>
    <w:p>
      <w:pPr>
        <w:autoSpaceDN w:val="0"/>
        <w:tabs>
          <w:tab w:pos="9190" w:val="left"/>
        </w:tabs>
        <w:autoSpaceDE w:val="0"/>
        <w:widowControl/>
        <w:spacing w:line="404" w:lineRule="exact" w:before="430" w:after="0"/>
        <w:ind w:left="52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CONDENSED BALANCE SHEETS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30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CONDENSED STATEMENTS OF INCOME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32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CONDENSED STATEMENTS OF COMPREHENSIVE INCOME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33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CONDENSED STATEMENTS OF CHANGES IN RETAINED EARNINGS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33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CONDENSED STATEMENTS OF CASH FLOWS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34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NOTES TO CONDENSED QUARTERLY FINANCIAL STATEMENTS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35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INDEPENDENT AUDITOR'S REVIEW REPORT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64</w:t>
      </w:r>
    </w:p>
    <w:p>
      <w:pPr>
        <w:autoSpaceDN w:val="0"/>
        <w:autoSpaceDE w:val="0"/>
        <w:widowControl/>
        <w:spacing w:line="224" w:lineRule="exact" w:before="7942" w:after="0"/>
        <w:ind w:left="208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29</w:t>
      </w:r>
    </w:p>
    <w:p>
      <w:pPr>
        <w:sectPr>
          <w:pgSz w:w="12240" w:h="15840"/>
          <w:pgMar w:top="696" w:right="12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0" w:lineRule="exact" w:before="54" w:after="578"/>
        <w:ind w:left="0" w:right="504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CONDENSED BALANCE SHEETS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30.0" w:type="dxa"/>
      </w:tblPr>
      <w:tblGrid>
        <w:gridCol w:w="4708"/>
        <w:gridCol w:w="4708"/>
      </w:tblGrid>
      <w:tr>
        <w:trPr>
          <w:trHeight w:hRule="exact" w:val="506"/>
        </w:trPr>
        <w:tc>
          <w:tcPr>
            <w:tcW w:type="dxa" w:w="17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March 31, 2025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  <w:tc>
          <w:tcPr>
            <w:tcW w:type="dxa" w:w="17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June 30, 2024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</w:tr>
    </w:tbl>
    <w:p>
      <w:pPr>
        <w:autoSpaceDN w:val="0"/>
        <w:autoSpaceDE w:val="0"/>
        <w:widowControl/>
        <w:spacing w:line="202" w:lineRule="exact" w:before="24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Assets</w:t>
      </w:r>
    </w:p>
    <w:p>
      <w:pPr>
        <w:autoSpaceDN w:val="0"/>
        <w:autoSpaceDE w:val="0"/>
        <w:widowControl/>
        <w:spacing w:line="200" w:lineRule="exact" w:before="54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Due from banks—Notes C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54"/>
        <w:gridCol w:w="2354"/>
        <w:gridCol w:w="2354"/>
        <w:gridCol w:w="2354"/>
      </w:tblGrid>
      <w:tr>
        <w:trPr>
          <w:trHeight w:hRule="exact" w:val="244"/>
        </w:trPr>
        <w:tc>
          <w:tcPr>
            <w:tcW w:type="dxa" w:w="5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Unrestricted cash</w:t>
            </w:r>
          </w:p>
        </w:tc>
        <w:tc>
          <w:tcPr>
            <w:tcW w:type="dxa" w:w="7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339 $ </w:t>
            </w:r>
          </w:p>
        </w:tc>
        <w:tc>
          <w:tcPr>
            <w:tcW w:type="dxa" w:w="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410 </w:t>
            </w:r>
          </w:p>
        </w:tc>
      </w:tr>
      <w:tr>
        <w:trPr>
          <w:trHeight w:hRule="exact" w:val="268"/>
        </w:trPr>
        <w:tc>
          <w:tcPr>
            <w:tcW w:type="dxa" w:w="5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Restricted cash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8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77 </w:t>
            </w:r>
          </w:p>
        </w:tc>
        <w:tc>
          <w:tcPr>
            <w:tcW w:type="dxa" w:w="9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80 </w:t>
            </w:r>
          </w:p>
        </w:tc>
      </w:tr>
      <w:tr>
        <w:trPr>
          <w:trHeight w:hRule="exact" w:val="256"/>
        </w:trPr>
        <w:tc>
          <w:tcPr>
            <w:tcW w:type="dxa" w:w="5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8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416 </w:t>
            </w:r>
          </w:p>
        </w:tc>
        <w:tc>
          <w:tcPr>
            <w:tcW w:type="dxa" w:w="9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490 </w:t>
            </w:r>
          </w:p>
        </w:tc>
      </w:tr>
    </w:tbl>
    <w:p>
      <w:pPr>
        <w:autoSpaceDN w:val="0"/>
        <w:autoSpaceDE w:val="0"/>
        <w:widowControl/>
        <w:spacing w:line="216" w:lineRule="exact" w:before="26" w:after="8"/>
        <w:ind w:left="0" w:right="3456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Investments-Trading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(including securities transferred under repurchase 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or securities lending agreements of $1,097 million—March 31, 2025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139"/>
        <w:gridCol w:w="3139"/>
        <w:gridCol w:w="3139"/>
      </w:tblGrid>
      <w:tr>
        <w:trPr>
          <w:trHeight w:hRule="exact" w:val="350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and $255 million—June 30, 2024)—Notes C and J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5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100,515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82,728 </w:t>
            </w:r>
          </w:p>
        </w:tc>
      </w:tr>
      <w:tr>
        <w:trPr>
          <w:trHeight w:hRule="exact" w:val="520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Securities purchased under resale agreements—Notes C and J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8" w:after="0"/>
              <w:ind w:left="0" w:right="5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15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79 </w:t>
            </w:r>
          </w:p>
        </w:tc>
      </w:tr>
      <w:tr>
        <w:trPr>
          <w:trHeight w:hRule="exact" w:val="418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5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Derivative assets, net—Notes H</w:t>
            </w: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and J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58" w:after="0"/>
              <w:ind w:left="0" w:right="5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455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5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456 </w:t>
            </w:r>
          </w:p>
        </w:tc>
      </w:tr>
    </w:tbl>
    <w:p>
      <w:pPr>
        <w:autoSpaceDN w:val="0"/>
        <w:autoSpaceDE w:val="0"/>
        <w:widowControl/>
        <w:spacing w:line="200" w:lineRule="exact" w:before="250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Loans outstanding—Notes D, H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64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 loans approved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5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362,418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348,248 </w:t>
            </w:r>
          </w:p>
        </w:tc>
      </w:tr>
    </w:tbl>
    <w:p>
      <w:pPr>
        <w:autoSpaceDN w:val="0"/>
        <w:autoSpaceDE w:val="0"/>
        <w:widowControl/>
        <w:spacing w:line="216" w:lineRule="exact" w:before="20" w:after="8"/>
        <w:ind w:left="502" w:right="3744" w:hanging="18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Less: Undisbursed balance (including signed loan commitments of </w:t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$73,584 million—March 31, 2025 and $66,761 million—June 30,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139"/>
        <w:gridCol w:w="3139"/>
        <w:gridCol w:w="3139"/>
      </w:tblGrid>
      <w:tr>
        <w:trPr>
          <w:trHeight w:hRule="exact" w:val="238"/>
        </w:trPr>
        <w:tc>
          <w:tcPr>
            <w:tcW w:type="dxa" w:w="5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2024)</w:t>
            </w:r>
          </w:p>
        </w:tc>
        <w:tc>
          <w:tcPr>
            <w:tcW w:type="dxa" w:w="175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(86,851) </w:t>
            </w:r>
          </w:p>
        </w:tc>
        <w:tc>
          <w:tcPr>
            <w:tcW w:type="dxa" w:w="17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(85,058) </w:t>
            </w:r>
          </w:p>
        </w:tc>
      </w:tr>
      <w:tr>
        <w:trPr>
          <w:trHeight w:hRule="exact" w:val="252"/>
        </w:trPr>
        <w:tc>
          <w:tcPr>
            <w:tcW w:type="dxa" w:w="5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4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 outstanding</w:t>
            </w:r>
          </w:p>
        </w:tc>
        <w:tc>
          <w:tcPr>
            <w:tcW w:type="dxa" w:w="175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275,567 </w:t>
            </w:r>
          </w:p>
        </w:tc>
        <w:tc>
          <w:tcPr>
            <w:tcW w:type="dxa" w:w="17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263,190 </w:t>
            </w:r>
          </w:p>
        </w:tc>
      </w:tr>
    </w:tbl>
    <w:p>
      <w:pPr>
        <w:autoSpaceDN w:val="0"/>
        <w:autoSpaceDE w:val="0"/>
        <w:widowControl/>
        <w:spacing w:line="200" w:lineRule="exact" w:before="28" w:after="26"/>
        <w:ind w:left="3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Less: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354"/>
        <w:gridCol w:w="2354"/>
        <w:gridCol w:w="2354"/>
        <w:gridCol w:w="2354"/>
      </w:tblGrid>
      <w:tr>
        <w:trPr>
          <w:trHeight w:hRule="exact" w:val="256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Accumulated provision for loan losses</w:t>
            </w:r>
          </w:p>
        </w:tc>
        <w:tc>
          <w:tcPr>
            <w:tcW w:type="dxa" w:w="5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(2,385)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(2,360) </w:t>
            </w:r>
          </w:p>
        </w:tc>
      </w:tr>
      <w:tr>
        <w:trPr>
          <w:trHeight w:hRule="exact" w:val="258"/>
        </w:trPr>
        <w:tc>
          <w:tcPr>
            <w:tcW w:type="dxa" w:w="59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Deferred loan income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5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(650) 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(594) </w:t>
            </w:r>
          </w:p>
        </w:tc>
      </w:tr>
      <w:tr>
        <w:trPr>
          <w:trHeight w:hRule="exact" w:val="362"/>
        </w:trPr>
        <w:tc>
          <w:tcPr>
            <w:tcW w:type="dxa" w:w="59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5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Net loans outstanding</w:t>
            </w:r>
          </w:p>
        </w:tc>
        <w:tc>
          <w:tcPr>
            <w:tcW w:type="dxa" w:w="5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272,532 </w:t>
            </w:r>
          </w:p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260,236 </w:t>
            </w:r>
          </w:p>
        </w:tc>
      </w:tr>
      <w:tr>
        <w:trPr>
          <w:trHeight w:hRule="exact" w:val="658"/>
        </w:trPr>
        <w:tc>
          <w:tcPr>
            <w:tcW w:type="dxa" w:w="59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Other assets—Notes C, D, H and J</w:t>
            </w:r>
          </w:p>
        </w:tc>
        <w:tc>
          <w:tcPr>
            <w:tcW w:type="dxa" w:w="235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16,212 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12,623 </w:t>
            </w:r>
          </w:p>
        </w:tc>
      </w:tr>
      <w:tr>
        <w:trPr>
          <w:trHeight w:hRule="exact" w:val="234"/>
        </w:trPr>
        <w:tc>
          <w:tcPr>
            <w:tcW w:type="dxa" w:w="5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assets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390,145 $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356,612 </w:t>
            </w:r>
          </w:p>
        </w:tc>
      </w:tr>
      <w:tr>
        <w:trPr>
          <w:trHeight w:hRule="exact" w:val="52"/>
        </w:trPr>
        <w:tc>
          <w:tcPr>
            <w:tcW w:type="dxa" w:w="59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4" w:lineRule="exact" w:before="5052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30     IBRD Condensed Quarterly Financial Statements: March 31, 2025 (Unaudited)</w:t>
      </w:r>
    </w:p>
    <w:p>
      <w:pPr>
        <w:sectPr>
          <w:pgSz w:w="12240" w:h="15840"/>
          <w:pgMar w:top="696" w:right="138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30.0" w:type="dxa"/>
      </w:tblPr>
      <w:tblGrid>
        <w:gridCol w:w="4708"/>
        <w:gridCol w:w="4708"/>
      </w:tblGrid>
      <w:tr>
        <w:trPr>
          <w:trHeight w:hRule="exact" w:val="446"/>
        </w:trPr>
        <w:tc>
          <w:tcPr>
            <w:tcW w:type="dxa" w:w="17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March 31, 2025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  <w:tc>
          <w:tcPr>
            <w:tcW w:type="dxa" w:w="17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June 30, 2024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</w:tr>
    </w:tbl>
    <w:p>
      <w:pPr>
        <w:autoSpaceDN w:val="0"/>
        <w:autoSpaceDE w:val="0"/>
        <w:widowControl/>
        <w:spacing w:line="202" w:lineRule="exact" w:before="24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Liabilities</w:t>
      </w:r>
    </w:p>
    <w:p>
      <w:pPr>
        <w:autoSpaceDN w:val="0"/>
        <w:autoSpaceDE w:val="0"/>
        <w:widowControl/>
        <w:spacing w:line="200" w:lineRule="exact" w:before="54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Borrowings—Notes E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54"/>
        <w:gridCol w:w="2354"/>
        <w:gridCol w:w="2354"/>
        <w:gridCol w:w="2354"/>
      </w:tblGrid>
      <w:tr>
        <w:trPr>
          <w:trHeight w:hRule="exact" w:val="236"/>
        </w:trPr>
        <w:tc>
          <w:tcPr>
            <w:tcW w:type="dxa" w:w="5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Borrowings, at fair value</w:t>
            </w:r>
          </w:p>
        </w:tc>
        <w:tc>
          <w:tcPr>
            <w:tcW w:type="dxa" w:w="5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295,851 $ 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261,790 </w:t>
            </w:r>
          </w:p>
        </w:tc>
      </w:tr>
      <w:tr>
        <w:trPr>
          <w:trHeight w:hRule="exact" w:val="276"/>
        </w:trPr>
        <w:tc>
          <w:tcPr>
            <w:tcW w:type="dxa" w:w="5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Borrowings, at amortized cost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476 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</w:tr>
      <w:tr>
        <w:trPr>
          <w:trHeight w:hRule="exact" w:val="254"/>
        </w:trPr>
        <w:tc>
          <w:tcPr>
            <w:tcW w:type="dxa" w:w="5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296,327 </w:t>
            </w:r>
          </w:p>
        </w:tc>
        <w:tc>
          <w:tcPr>
            <w:tcW w:type="dxa" w:w="11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261,790 </w:t>
            </w:r>
          </w:p>
        </w:tc>
      </w:tr>
    </w:tbl>
    <w:p>
      <w:pPr>
        <w:autoSpaceDN w:val="0"/>
        <w:tabs>
          <w:tab w:pos="232" w:val="left"/>
        </w:tabs>
        <w:autoSpaceDE w:val="0"/>
        <w:widowControl/>
        <w:spacing w:line="216" w:lineRule="exact" w:before="284" w:after="8"/>
        <w:ind w:left="52" w:right="3456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Securities sold under repurchase agreements, securities lent under </w:t>
      </w:r>
      <w:r>
        <w:tab/>
      </w:r>
      <w:r>
        <w:rPr>
          <w:rFonts w:ascii="Arial" w:hAnsi="Arial" w:eastAsia="Arial"/>
          <w:b/>
          <w:i/>
          <w:color w:val="000000"/>
          <w:sz w:val="18"/>
        </w:rPr>
        <w:t xml:space="preserve">securities lending agreements, and payable for cash collateral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139"/>
        <w:gridCol w:w="3139"/>
        <w:gridCol w:w="3139"/>
      </w:tblGrid>
      <w:tr>
        <w:trPr>
          <w:trHeight w:hRule="exact" w:val="346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21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received—Notes C and J</w:t>
            </w:r>
          </w:p>
        </w:tc>
        <w:tc>
          <w:tcPr>
            <w:tcW w:type="dxa" w:w="17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1,097 </w:t>
            </w:r>
          </w:p>
        </w:tc>
        <w:tc>
          <w:tcPr>
            <w:tcW w:type="dxa" w:w="17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256 </w:t>
            </w:r>
          </w:p>
        </w:tc>
      </w:tr>
      <w:tr>
        <w:trPr>
          <w:trHeight w:hRule="exact" w:val="520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Derivative liabilities, net—Notes H and J</w:t>
            </w:r>
          </w:p>
        </w:tc>
        <w:tc>
          <w:tcPr>
            <w:tcW w:type="dxa" w:w="17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17,173 </w:t>
            </w:r>
          </w:p>
        </w:tc>
        <w:tc>
          <w:tcPr>
            <w:tcW w:type="dxa" w:w="17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22,728 </w:t>
            </w:r>
          </w:p>
        </w:tc>
      </w:tr>
      <w:tr>
        <w:trPr>
          <w:trHeight w:hRule="exact" w:val="646"/>
        </w:trPr>
        <w:tc>
          <w:tcPr>
            <w:tcW w:type="dxa" w:w="59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Other liabilities—Notes C, D, H and J</w:t>
            </w:r>
          </w:p>
        </w:tc>
        <w:tc>
          <w:tcPr>
            <w:tcW w:type="dxa" w:w="17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9,029 </w:t>
            </w:r>
          </w:p>
        </w:tc>
        <w:tc>
          <w:tcPr>
            <w:tcW w:type="dxa" w:w="17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8,354 </w:t>
            </w:r>
          </w:p>
        </w:tc>
      </w:tr>
      <w:tr>
        <w:trPr>
          <w:trHeight w:hRule="exact" w:val="314"/>
        </w:trPr>
        <w:tc>
          <w:tcPr>
            <w:tcW w:type="dxa" w:w="5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liabilities</w:t>
            </w:r>
          </w:p>
        </w:tc>
        <w:tc>
          <w:tcPr>
            <w:tcW w:type="dxa" w:w="17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323,626 </w:t>
            </w:r>
          </w:p>
        </w:tc>
        <w:tc>
          <w:tcPr>
            <w:tcW w:type="dxa" w:w="17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293,128 </w:t>
            </w:r>
          </w:p>
        </w:tc>
      </w:tr>
    </w:tbl>
    <w:p>
      <w:pPr>
        <w:autoSpaceDN w:val="0"/>
        <w:autoSpaceDE w:val="0"/>
        <w:widowControl/>
        <w:spacing w:line="202" w:lineRule="exact" w:before="280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Equity</w:t>
      </w:r>
    </w:p>
    <w:p>
      <w:pPr>
        <w:autoSpaceDN w:val="0"/>
        <w:autoSpaceDE w:val="0"/>
        <w:widowControl/>
        <w:spacing w:line="200" w:lineRule="exact" w:before="144" w:after="0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Capital stock—Note B</w:t>
      </w:r>
    </w:p>
    <w:p>
      <w:pPr>
        <w:autoSpaceDN w:val="0"/>
        <w:tabs>
          <w:tab w:pos="592" w:val="left"/>
        </w:tabs>
        <w:autoSpaceDE w:val="0"/>
        <w:widowControl/>
        <w:spacing w:line="216" w:lineRule="exact" w:before="48" w:after="0"/>
        <w:ind w:left="412" w:right="4176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Authorized capital (2,783,873 shares—March 31, 2025 and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8"/>
        </w:rPr>
        <w:t>June 30, 2024)</w:t>
      </w:r>
    </w:p>
    <w:p>
      <w:pPr>
        <w:autoSpaceDN w:val="0"/>
        <w:autoSpaceDE w:val="0"/>
        <w:widowControl/>
        <w:spacing w:line="200" w:lineRule="exact" w:before="64" w:after="8"/>
        <w:ind w:left="41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Subscribed capital (2,701,456 shares—March 31, 2025, and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3139"/>
        <w:gridCol w:w="3139"/>
        <w:gridCol w:w="3139"/>
      </w:tblGrid>
      <w:tr>
        <w:trPr>
          <w:trHeight w:hRule="exact" w:val="222"/>
        </w:trPr>
        <w:tc>
          <w:tcPr>
            <w:tcW w:type="dxa" w:w="5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2,678,098 shares—June 30, 2024)</w:t>
            </w:r>
          </w:p>
        </w:tc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325,890 </w:t>
            </w:r>
          </w:p>
        </w:tc>
        <w:tc>
          <w:tcPr>
            <w:tcW w:type="dxa" w:w="1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323,072 </w:t>
            </w:r>
          </w:p>
        </w:tc>
      </w:tr>
      <w:tr>
        <w:trPr>
          <w:trHeight w:hRule="exact" w:val="270"/>
        </w:trPr>
        <w:tc>
          <w:tcPr>
            <w:tcW w:type="dxa" w:w="5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Less: Uncalled portion of subscriptions</w:t>
            </w:r>
          </w:p>
        </w:tc>
        <w:tc>
          <w:tcPr>
            <w:tcW w:type="dxa" w:w="175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(303,104) </w:t>
            </w:r>
          </w:p>
        </w:tc>
        <w:tc>
          <w:tcPr>
            <w:tcW w:type="dxa" w:w="17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(300,620) </w:t>
            </w:r>
          </w:p>
        </w:tc>
      </w:tr>
      <w:tr>
        <w:trPr>
          <w:trHeight w:hRule="exact" w:val="286"/>
        </w:trPr>
        <w:tc>
          <w:tcPr>
            <w:tcW w:type="dxa" w:w="5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4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Paid-in capital</w:t>
            </w:r>
          </w:p>
        </w:tc>
        <w:tc>
          <w:tcPr>
            <w:tcW w:type="dxa" w:w="175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22,786 </w:t>
            </w:r>
          </w:p>
        </w:tc>
        <w:tc>
          <w:tcPr>
            <w:tcW w:type="dxa" w:w="17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22,452 </w:t>
            </w:r>
          </w:p>
        </w:tc>
      </w:tr>
    </w:tbl>
    <w:p>
      <w:pPr>
        <w:autoSpaceDN w:val="0"/>
        <w:autoSpaceDE w:val="0"/>
        <w:widowControl/>
        <w:spacing w:line="202" w:lineRule="exact" w:before="258" w:after="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Nonnegotiable, non-interest-bearing demand obligations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354"/>
        <w:gridCol w:w="2354"/>
        <w:gridCol w:w="2354"/>
        <w:gridCol w:w="2354"/>
      </w:tblGrid>
      <w:tr>
        <w:trPr>
          <w:trHeight w:hRule="exact" w:val="278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21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account of subscribed capital</w:t>
            </w:r>
          </w:p>
        </w:tc>
        <w:tc>
          <w:tcPr>
            <w:tcW w:type="dxa" w:w="5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5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(309)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(310) </w:t>
            </w:r>
          </w:p>
        </w:tc>
      </w:tr>
      <w:tr>
        <w:trPr>
          <w:trHeight w:hRule="exact" w:val="380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Receivable amounts to maintain value of currency holdings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0" w:right="5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(283)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(337) </w:t>
            </w:r>
          </w:p>
        </w:tc>
      </w:tr>
      <w:tr>
        <w:trPr>
          <w:trHeight w:hRule="exact" w:val="380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0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Deferred amounts to maintain value of currency holdings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00" w:after="0"/>
              <w:ind w:left="0" w:right="5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(522)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0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(558) </w:t>
            </w:r>
          </w:p>
        </w:tc>
      </w:tr>
      <w:tr>
        <w:trPr>
          <w:trHeight w:hRule="exact" w:val="380"/>
        </w:trPr>
        <w:tc>
          <w:tcPr>
            <w:tcW w:type="dxa" w:w="5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Retained earnings—Note G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6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39,519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38,283 </w:t>
            </w:r>
          </w:p>
        </w:tc>
      </w:tr>
      <w:tr>
        <w:trPr>
          <w:trHeight w:hRule="exact" w:val="576"/>
        </w:trPr>
        <w:tc>
          <w:tcPr>
            <w:tcW w:type="dxa" w:w="59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Accumulated other comprehensive income—Note I</w:t>
            </w:r>
          </w:p>
        </w:tc>
        <w:tc>
          <w:tcPr>
            <w:tcW w:type="dxa" w:w="2354"/>
            <w:vMerge/>
            <w:tcBorders>
              <w:bottom w:sz="8.0" w:val="single" w:color="#000000"/>
            </w:tcBorders>
          </w:tcPr>
          <w:p/>
        </w:tc>
        <w:tc>
          <w:tcPr>
            <w:tcW w:type="dxa" w:w="1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5,328 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3,954 </w:t>
            </w:r>
          </w:p>
        </w:tc>
      </w:tr>
      <w:tr>
        <w:trPr>
          <w:trHeight w:hRule="exact" w:val="300"/>
        </w:trPr>
        <w:tc>
          <w:tcPr>
            <w:tcW w:type="dxa" w:w="5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equity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66,519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63,484 </w:t>
            </w:r>
          </w:p>
        </w:tc>
      </w:tr>
      <w:tr>
        <w:trPr>
          <w:trHeight w:hRule="exact" w:val="294"/>
        </w:trPr>
        <w:tc>
          <w:tcPr>
            <w:tcW w:type="dxa" w:w="5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liabilities and equity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390,145 $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356,612 </w:t>
            </w:r>
          </w:p>
        </w:tc>
      </w:tr>
      <w:tr>
        <w:trPr>
          <w:trHeight w:hRule="exact" w:val="52"/>
        </w:trPr>
        <w:tc>
          <w:tcPr>
            <w:tcW w:type="dxa" w:w="59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0" w:lineRule="exact" w:before="494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the Condensed Quarterly Financial Statements are an integral part of these Statements.</w:t>
      </w:r>
    </w:p>
    <w:p>
      <w:pPr>
        <w:autoSpaceDN w:val="0"/>
        <w:autoSpaceDE w:val="0"/>
        <w:widowControl/>
        <w:spacing w:line="224" w:lineRule="exact" w:before="2780" w:after="0"/>
        <w:ind w:left="190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31</w:t>
      </w:r>
    </w:p>
    <w:p>
      <w:pPr>
        <w:sectPr>
          <w:pgSz w:w="12240" w:h="15840"/>
          <w:pgMar w:top="844" w:right="138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CONDENSED STATEMENTS OF INCOME</w:t>
      </w:r>
    </w:p>
    <w:p>
      <w:pPr>
        <w:autoSpaceDN w:val="0"/>
        <w:autoSpaceDE w:val="0"/>
        <w:widowControl/>
        <w:spacing w:line="224" w:lineRule="exact" w:before="36" w:after="370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736.0" w:type="dxa"/>
      </w:tblPr>
      <w:tblGrid>
        <w:gridCol w:w="2354"/>
        <w:gridCol w:w="2354"/>
        <w:gridCol w:w="2354"/>
        <w:gridCol w:w="2354"/>
      </w:tblGrid>
      <w:tr>
        <w:trPr>
          <w:trHeight w:hRule="exact" w:val="722"/>
        </w:trPr>
        <w:tc>
          <w:tcPr>
            <w:tcW w:type="dxa" w:w="18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Three Months Ended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March 31,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  <w:tc>
          <w:tcPr>
            <w:tcW w:type="dxa" w:w="18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4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Nine Months Ended 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March 31,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(Unaudited)</w:t>
            </w:r>
          </w:p>
        </w:tc>
      </w:tr>
      <w:tr>
        <w:trPr>
          <w:trHeight w:hRule="exact" w:val="256"/>
        </w:trPr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2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8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202" w:lineRule="exact" w:before="24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Interest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36"/>
        </w:trPr>
        <w:tc>
          <w:tcPr>
            <w:tcW w:type="dxa" w:w="5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D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$ 3,599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$ 4,075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$ 11,678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$ 11,690 </w:t>
            </w:r>
          </w:p>
        </w:tc>
      </w:tr>
      <w:tr>
        <w:trPr>
          <w:trHeight w:hRule="exact" w:val="260"/>
        </w:trPr>
        <w:tc>
          <w:tcPr>
            <w:tcW w:type="dxa" w:w="5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asset / liability management derivatives,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F and J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(270) </w:t>
            </w:r>
          </w:p>
        </w:tc>
        <w:tc>
          <w:tcPr>
            <w:tcW w:type="dxa" w:w="27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4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(435)  (1,031)  (1,303) </w:t>
            </w:r>
          </w:p>
        </w:tc>
      </w:tr>
      <w:tr>
        <w:trPr>
          <w:trHeight w:hRule="exact" w:val="260"/>
        </w:trPr>
        <w:tc>
          <w:tcPr>
            <w:tcW w:type="dxa" w:w="5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Investments-Trading,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C and F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1,042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1,100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3,338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3,237 </w:t>
            </w:r>
          </w:p>
        </w:tc>
      </w:tr>
      <w:tr>
        <w:trPr>
          <w:trHeight w:hRule="exact" w:val="360"/>
        </w:trPr>
        <w:tc>
          <w:tcPr>
            <w:tcW w:type="dxa" w:w="5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Other, net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 </w:t>
            </w:r>
          </w:p>
        </w:tc>
      </w:tr>
      <w:tr>
        <w:trPr>
          <w:trHeight w:hRule="exact" w:val="356"/>
        </w:trPr>
        <w:tc>
          <w:tcPr>
            <w:tcW w:type="dxa" w:w="5716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Borrowing expenses, net—Note E</w:t>
            </w:r>
          </w:p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6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(3,482) </w:t>
            </w:r>
          </w:p>
        </w:tc>
        <w:tc>
          <w:tcPr>
            <w:tcW w:type="dxa" w:w="270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6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(3,918)  (11,337)  (11,252) </w:t>
            </w:r>
          </w:p>
        </w:tc>
      </w:tr>
      <w:tr>
        <w:trPr>
          <w:trHeight w:hRule="exact" w:val="331"/>
        </w:trPr>
        <w:tc>
          <w:tcPr>
            <w:tcW w:type="dxa" w:w="57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Interest revenue, net of borrowing expenses</w:t>
            </w:r>
          </w:p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889 </w:t>
            </w:r>
          </w:p>
        </w:tc>
        <w:tc>
          <w:tcPr>
            <w:tcW w:type="dxa" w:w="9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823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2,649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2,374 </w:t>
            </w:r>
          </w:p>
        </w:tc>
      </w:tr>
    </w:tbl>
    <w:p>
      <w:pPr>
        <w:autoSpaceDN w:val="0"/>
        <w:autoSpaceDE w:val="0"/>
        <w:widowControl/>
        <w:spacing w:line="202" w:lineRule="exact" w:before="332" w:after="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Provision for losses on loans and other exposures, (charge)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68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release —Note D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(83)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(53) </w:t>
            </w:r>
          </w:p>
        </w:tc>
      </w:tr>
    </w:tbl>
    <w:p>
      <w:pPr>
        <w:autoSpaceDN w:val="0"/>
        <w:autoSpaceDE w:val="0"/>
        <w:widowControl/>
        <w:spacing w:line="202" w:lineRule="exact" w:before="308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Non-interest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4"/>
        </w:trPr>
        <w:tc>
          <w:tcPr>
            <w:tcW w:type="dxa" w:w="5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Revenue from externally funded activities—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H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214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231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631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632 </w:t>
            </w:r>
          </w:p>
        </w:tc>
      </w:tr>
      <w:tr>
        <w:trPr>
          <w:trHeight w:hRule="exact" w:val="260"/>
        </w:trPr>
        <w:tc>
          <w:tcPr>
            <w:tcW w:type="dxa" w:w="5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Commitment charges—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D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36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116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111 </w:t>
            </w:r>
          </w:p>
        </w:tc>
      </w:tr>
      <w:tr>
        <w:trPr>
          <w:trHeight w:hRule="exact" w:val="262"/>
        </w:trPr>
        <w:tc>
          <w:tcPr>
            <w:tcW w:type="dxa" w:w="5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Other, net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149 </w:t>
            </w:r>
          </w:p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 </w:t>
            </w:r>
          </w:p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169 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 </w:t>
            </w:r>
          </w:p>
        </w:tc>
      </w:tr>
      <w:tr>
        <w:trPr>
          <w:trHeight w:hRule="exact" w:val="256"/>
        </w:trPr>
        <w:tc>
          <w:tcPr>
            <w:tcW w:type="dxa" w:w="5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399 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279 </w:t>
            </w:r>
          </w:p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916 </w:t>
            </w:r>
          </w:p>
        </w:tc>
        <w:tc>
          <w:tcPr>
            <w:tcW w:type="dxa" w:w="9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774 </w:t>
            </w:r>
          </w:p>
        </w:tc>
      </w:tr>
    </w:tbl>
    <w:p>
      <w:pPr>
        <w:autoSpaceDN w:val="0"/>
        <w:autoSpaceDE w:val="0"/>
        <w:widowControl/>
        <w:spacing w:line="202" w:lineRule="exact" w:before="338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Non-interest expenses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236"/>
        </w:trPr>
        <w:tc>
          <w:tcPr>
            <w:tcW w:type="dxa" w:w="5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Administrative—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H and K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(581) </w:t>
            </w:r>
          </w:p>
        </w:tc>
        <w:tc>
          <w:tcPr>
            <w:tcW w:type="dxa" w:w="270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4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(551)  (1,732)  (1,632) </w:t>
            </w:r>
          </w:p>
        </w:tc>
      </w:tr>
      <w:tr>
        <w:trPr>
          <w:trHeight w:hRule="exact" w:val="260"/>
        </w:trPr>
        <w:tc>
          <w:tcPr>
            <w:tcW w:type="dxa" w:w="5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Contributions to special programs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1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(17)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(18) </w:t>
            </w:r>
          </w:p>
        </w:tc>
      </w:tr>
      <w:tr>
        <w:trPr>
          <w:trHeight w:hRule="exact" w:val="272"/>
        </w:trPr>
        <w:tc>
          <w:tcPr>
            <w:tcW w:type="dxa" w:w="57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K</w:t>
            </w:r>
          </w:p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38 </w:t>
            </w:r>
          </w:p>
        </w:tc>
        <w:tc>
          <w:tcPr>
            <w:tcW w:type="dxa" w:w="11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 </w:t>
            </w:r>
          </w:p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109 </w:t>
            </w:r>
          </w:p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124 </w:t>
            </w:r>
          </w:p>
        </w:tc>
      </w:tr>
      <w:tr>
        <w:trPr>
          <w:trHeight w:hRule="exact" w:val="256"/>
        </w:trPr>
        <w:tc>
          <w:tcPr>
            <w:tcW w:type="dxa" w:w="57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5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(543) </w:t>
            </w:r>
          </w:p>
        </w:tc>
        <w:tc>
          <w:tcPr>
            <w:tcW w:type="dxa" w:w="2704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4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(513)  (1,640)  (1,526) </w:t>
            </w:r>
          </w:p>
        </w:tc>
      </w:tr>
      <w:tr>
        <w:trPr>
          <w:trHeight w:hRule="exact" w:val="600"/>
        </w:trPr>
        <w:tc>
          <w:tcPr>
            <w:tcW w:type="dxa" w:w="57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Board of Governors-approved and other transfers—Note G</w:t>
            </w:r>
          </w:p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8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14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(815) </w:t>
            </w:r>
          </w:p>
        </w:tc>
        <w:tc>
          <w:tcPr>
            <w:tcW w:type="dxa" w:w="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(371) </w:t>
            </w:r>
          </w:p>
        </w:tc>
      </w:tr>
    </w:tbl>
    <w:p>
      <w:pPr>
        <w:autoSpaceDN w:val="0"/>
        <w:autoSpaceDE w:val="0"/>
        <w:widowControl/>
        <w:spacing w:line="200" w:lineRule="exact" w:before="318" w:after="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Non-functional currency translation adjustment (losses) gains,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68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net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(23)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(60)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16 </w:t>
            </w:r>
          </w:p>
        </w:tc>
      </w:tr>
    </w:tbl>
    <w:p>
      <w:pPr>
        <w:autoSpaceDN w:val="0"/>
        <w:autoSpaceDE w:val="0"/>
        <w:widowControl/>
        <w:spacing w:line="202" w:lineRule="exact" w:before="318" w:after="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Unrealized mark-to-market (losses) gains on Investments-Trading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68"/>
        </w:trPr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portfolio, net—Notes F and J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(24)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56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(67)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82 </w:t>
            </w:r>
          </w:p>
        </w:tc>
      </w:tr>
    </w:tbl>
    <w:p>
      <w:pPr>
        <w:autoSpaceDN w:val="0"/>
        <w:autoSpaceDE w:val="0"/>
        <w:widowControl/>
        <w:spacing w:line="200" w:lineRule="exact" w:before="318" w:after="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Unrealized mark-to-market gains (losses) on non-trading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492"/>
        </w:trPr>
        <w:tc>
          <w:tcPr>
            <w:tcW w:type="dxa" w:w="57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1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portfolios, net—Notes F and J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398 </w:t>
            </w:r>
          </w:p>
        </w:tc>
        <w:tc>
          <w:tcPr>
            <w:tcW w:type="dxa" w:w="4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242 </w:t>
            </w:r>
          </w:p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265 </w:t>
            </w:r>
          </w:p>
        </w:tc>
        <w:tc>
          <w:tcPr>
            <w:tcW w:type="dxa" w:w="9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(111) </w:t>
            </w:r>
          </w:p>
        </w:tc>
      </w:tr>
      <w:tr>
        <w:trPr>
          <w:trHeight w:hRule="exact" w:val="236"/>
        </w:trPr>
        <w:tc>
          <w:tcPr>
            <w:tcW w:type="dxa" w:w="57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 xml:space="preserve">Net income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$ 1,277 </w:t>
            </w:r>
          </w:p>
        </w:tc>
        <w:tc>
          <w:tcPr>
            <w:tcW w:type="dxa" w:w="4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828 </w:t>
            </w:r>
          </w:p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$ 1,236 </w:t>
            </w:r>
          </w:p>
        </w:tc>
        <w:tc>
          <w:tcPr>
            <w:tcW w:type="dxa" w:w="9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$ 1,185 </w:t>
            </w:r>
          </w:p>
        </w:tc>
      </w:tr>
      <w:tr>
        <w:trPr>
          <w:trHeight w:hRule="exact" w:val="50"/>
        </w:trPr>
        <w:tc>
          <w:tcPr>
            <w:tcW w:type="dxa" w:w="57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2" w:lineRule="exact" w:before="1046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the Condensed Quarterly Financial Statements are an integral part of these Statements.</w:t>
      </w:r>
    </w:p>
    <w:p>
      <w:pPr>
        <w:autoSpaceDN w:val="0"/>
        <w:autoSpaceDE w:val="0"/>
        <w:widowControl/>
        <w:spacing w:line="224" w:lineRule="exact" w:before="826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32     IBRD Condensed Quarterly Financial Statements: March 31, 2025 (Unaudited)</w:t>
      </w:r>
    </w:p>
    <w:p>
      <w:pPr>
        <w:sectPr>
          <w:pgSz w:w="12240" w:h="15840"/>
          <w:pgMar w:top="696" w:right="138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CONDENSED STATEMENTS OF COMPREHENSIVE INCOME</w:t>
      </w:r>
    </w:p>
    <w:p>
      <w:pPr>
        <w:autoSpaceDN w:val="0"/>
        <w:autoSpaceDE w:val="0"/>
        <w:widowControl/>
        <w:spacing w:line="224" w:lineRule="exact" w:before="36" w:after="69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rPr>
          <w:trHeight w:hRule="exact" w:val="258"/>
        </w:trPr>
        <w:tc>
          <w:tcPr>
            <w:tcW w:type="dxa" w:w="49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Three Months Ended </w:t>
            </w:r>
          </w:p>
        </w:tc>
        <w:tc>
          <w:tcPr>
            <w:tcW w:type="dxa" w:w="216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 xml:space="preserve">Nine Months Ended </w:t>
            </w:r>
          </w:p>
        </w:tc>
      </w:tr>
      <w:tr>
        <w:trPr>
          <w:trHeight w:hRule="exact" w:val="248"/>
        </w:trPr>
        <w:tc>
          <w:tcPr>
            <w:tcW w:type="dxa" w:w="1046"/>
            <w:vMerge/>
            <w:tcBorders>
              <w:bottom w:sz="8.0" w:val="single" w:color="#000000"/>
            </w:tcBorders>
          </w:tcPr>
          <w:p/>
        </w:tc>
        <w:tc>
          <w:tcPr>
            <w:tcW w:type="dxa" w:w="228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8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March 31, (Unaudited)</w:t>
            </w:r>
          </w:p>
        </w:tc>
        <w:tc>
          <w:tcPr>
            <w:tcW w:type="dxa" w:w="2166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March 31, (Unaudited)</w:t>
            </w:r>
          </w:p>
        </w:tc>
      </w:tr>
      <w:tr>
        <w:trPr>
          <w:trHeight w:hRule="exact" w:val="376"/>
        </w:trPr>
        <w:tc>
          <w:tcPr>
            <w:tcW w:type="dxa" w:w="49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3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5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396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3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5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</w:tr>
      <w:tr>
        <w:trPr>
          <w:trHeight w:hRule="exact" w:val="780"/>
        </w:trPr>
        <w:tc>
          <w:tcPr>
            <w:tcW w:type="dxa" w:w="49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Net income (loss)</w:t>
            </w:r>
          </w:p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8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1,277 </w:t>
            </w:r>
          </w:p>
        </w:tc>
        <w:tc>
          <w:tcPr>
            <w:tcW w:type="dxa" w:w="2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1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828 </w:t>
            </w:r>
          </w:p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8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1,236 </w:t>
            </w:r>
          </w:p>
        </w:tc>
        <w:tc>
          <w:tcPr>
            <w:tcW w:type="dxa" w:w="2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1,185 </w:t>
            </w:r>
          </w:p>
        </w:tc>
      </w:tr>
    </w:tbl>
    <w:p>
      <w:pPr>
        <w:autoSpaceDN w:val="0"/>
        <w:autoSpaceDE w:val="0"/>
        <w:widowControl/>
        <w:spacing w:line="200" w:lineRule="exact" w:before="114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Other comprehensive income (loss) —</w:t>
      </w:r>
      <w:r>
        <w:rPr>
          <w:rFonts w:ascii="Arial" w:hAnsi="Arial" w:eastAsia="Arial"/>
          <w:b/>
          <w:i/>
          <w:color w:val="000000"/>
          <w:sz w:val="18"/>
        </w:rPr>
        <w:t>Note I</w:t>
      </w:r>
    </w:p>
    <w:p>
      <w:pPr>
        <w:autoSpaceDN w:val="0"/>
        <w:autoSpaceDE w:val="0"/>
        <w:widowControl/>
        <w:spacing w:line="200" w:lineRule="exact" w:before="64" w:after="8"/>
        <w:ind w:left="29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Amortization of unrecognized net actuarial gains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pension plans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(16)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(17)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(48)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(51) </w:t>
            </w:r>
          </w:p>
        </w:tc>
      </w:tr>
    </w:tbl>
    <w:p>
      <w:pPr>
        <w:autoSpaceDN w:val="0"/>
        <w:autoSpaceDE w:val="0"/>
        <w:widowControl/>
        <w:spacing w:line="200" w:lineRule="exact" w:before="32" w:after="8"/>
        <w:ind w:left="29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Amortization of unrecognized prior service costs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pension plans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4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 </w:t>
            </w:r>
          </w:p>
        </w:tc>
      </w:tr>
    </w:tbl>
    <w:p>
      <w:pPr>
        <w:autoSpaceDN w:val="0"/>
        <w:autoSpaceDE w:val="0"/>
        <w:widowControl/>
        <w:spacing w:line="200" w:lineRule="exact" w:before="32" w:after="8"/>
        <w:ind w:left="29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Net change in Debit Valuation Adjustment (DVA) on Fair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0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Value Option elected liabilities—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J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(113)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(538)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1,294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290 </w:t>
            </w:r>
          </w:p>
        </w:tc>
      </w:tr>
    </w:tbl>
    <w:p>
      <w:pPr>
        <w:autoSpaceDN w:val="0"/>
        <w:autoSpaceDE w:val="0"/>
        <w:widowControl/>
        <w:spacing w:line="200" w:lineRule="exact" w:before="32" w:after="8"/>
        <w:ind w:left="29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Currency translation adjustments on functional currency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rPr>
          <w:trHeight w:hRule="exact" w:val="238"/>
        </w:trPr>
        <w:tc>
          <w:tcPr>
            <w:tcW w:type="dxa" w:w="49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gains (losses)</w:t>
            </w:r>
          </w:p>
        </w:tc>
        <w:tc>
          <w:tcPr>
            <w:tcW w:type="dxa" w:w="3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513 </w:t>
            </w:r>
          </w:p>
        </w:tc>
        <w:tc>
          <w:tcPr>
            <w:tcW w:type="dxa" w:w="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(324) </w:t>
            </w:r>
          </w:p>
        </w:tc>
        <w:tc>
          <w:tcPr>
            <w:tcW w:type="dxa" w:w="3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1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122 </w:t>
            </w:r>
          </w:p>
        </w:tc>
        <w:tc>
          <w:tcPr>
            <w:tcW w:type="dxa" w:w="3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(62) </w:t>
            </w:r>
          </w:p>
        </w:tc>
      </w:tr>
      <w:tr>
        <w:trPr>
          <w:trHeight w:hRule="exact" w:val="374"/>
        </w:trPr>
        <w:tc>
          <w:tcPr>
            <w:tcW w:type="dxa" w:w="49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 other comprehensive income (loss)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386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0" w:right="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(877) 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1,374 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183 </w:t>
            </w:r>
          </w:p>
        </w:tc>
      </w:tr>
      <w:tr>
        <w:trPr>
          <w:trHeight w:hRule="exact" w:val="356"/>
        </w:trPr>
        <w:tc>
          <w:tcPr>
            <w:tcW w:type="dxa" w:w="49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comprehensive income (loss)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1,663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(49) 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8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2,610 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1,368 </w:t>
            </w:r>
          </w:p>
        </w:tc>
      </w:tr>
      <w:tr>
        <w:trPr>
          <w:trHeight w:hRule="exact" w:val="50"/>
        </w:trPr>
        <w:tc>
          <w:tcPr>
            <w:tcW w:type="dxa" w:w="49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4" w:lineRule="exact" w:before="812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CONDENSED STATEMENTS OF CHANGES IN RETAINED EARNINGS</w:t>
      </w:r>
    </w:p>
    <w:p>
      <w:pPr>
        <w:autoSpaceDN w:val="0"/>
        <w:autoSpaceDE w:val="0"/>
        <w:widowControl/>
        <w:spacing w:line="224" w:lineRule="exact" w:before="36" w:after="0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p>
      <w:pPr>
        <w:autoSpaceDN w:val="0"/>
        <w:autoSpaceDE w:val="0"/>
        <w:widowControl/>
        <w:spacing w:line="216" w:lineRule="exact" w:before="742" w:after="20"/>
        <w:ind w:left="6480" w:right="288" w:firstLine="0"/>
        <w:jc w:val="center"/>
      </w:pPr>
      <w:r>
        <w:rPr>
          <w:rFonts w:ascii="Arial" w:hAnsi="Arial" w:eastAsia="Arial"/>
          <w:b w:val="0"/>
          <w:i/>
          <w:color w:val="000000"/>
          <w:sz w:val="18"/>
        </w:rPr>
        <w:t xml:space="preserve">Nine Months Ended March 31, </w:t>
      </w:r>
      <w:r>
        <w:br/>
      </w:r>
      <w:r>
        <w:rPr>
          <w:rFonts w:ascii="Arial" w:hAnsi="Arial" w:eastAsia="Arial"/>
          <w:b w:val="0"/>
          <w:i/>
          <w:color w:val="000000"/>
          <w:sz w:val="18"/>
        </w:rPr>
        <w:t>(Unaudited)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54"/>
        </w:trPr>
        <w:tc>
          <w:tcPr>
            <w:tcW w:type="dxa" w:w="6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18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1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</w:tr>
      <w:tr>
        <w:trPr>
          <w:trHeight w:hRule="exact" w:val="308"/>
        </w:trPr>
        <w:tc>
          <w:tcPr>
            <w:tcW w:type="dxa" w:w="60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Retained earnings at the beginning of the fiscal year</w:t>
            </w:r>
          </w:p>
        </w:tc>
        <w:tc>
          <w:tcPr>
            <w:tcW w:type="dxa" w:w="3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38,283 </w:t>
            </w:r>
          </w:p>
        </w:tc>
        <w:tc>
          <w:tcPr>
            <w:tcW w:type="dxa" w:w="64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36,141 </w:t>
            </w:r>
          </w:p>
        </w:tc>
      </w:tr>
      <w:tr>
        <w:trPr>
          <w:trHeight w:hRule="exact" w:val="324"/>
        </w:trPr>
        <w:tc>
          <w:tcPr>
            <w:tcW w:type="dxa" w:w="6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income for the period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1,236 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1,185 </w:t>
            </w:r>
          </w:p>
        </w:tc>
      </w:tr>
      <w:tr>
        <w:trPr>
          <w:trHeight w:hRule="exact" w:val="384"/>
        </w:trPr>
        <w:tc>
          <w:tcPr>
            <w:tcW w:type="dxa" w:w="6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Retained earnings at the end of the period</w:t>
            </w:r>
          </w:p>
        </w:tc>
        <w:tc>
          <w:tcPr>
            <w:tcW w:type="dxa" w:w="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39,519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4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37,326 </w:t>
            </w:r>
          </w:p>
        </w:tc>
      </w:tr>
    </w:tbl>
    <w:p>
      <w:pPr>
        <w:autoSpaceDN w:val="0"/>
        <w:autoSpaceDE w:val="0"/>
        <w:widowControl/>
        <w:spacing w:line="202" w:lineRule="exact" w:before="894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the Condensed Quarterly Financial Statements are an integral part of these Statements.</w:t>
      </w:r>
    </w:p>
    <w:p>
      <w:pPr>
        <w:autoSpaceDN w:val="0"/>
        <w:autoSpaceDE w:val="0"/>
        <w:widowControl/>
        <w:spacing w:line="224" w:lineRule="exact" w:before="2562" w:after="0"/>
        <w:ind w:left="190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33</w:t>
      </w:r>
    </w:p>
    <w:p>
      <w:pPr>
        <w:sectPr>
          <w:pgSz w:w="12240" w:h="15840"/>
          <w:pgMar w:top="696" w:right="138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331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CONDENSED STATEMENTS OF CASH FLOWS </w:t>
      </w: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p>
      <w:pPr>
        <w:autoSpaceDN w:val="0"/>
        <w:autoSpaceDE w:val="0"/>
        <w:widowControl/>
        <w:spacing w:line="216" w:lineRule="exact" w:before="70" w:after="20"/>
        <w:ind w:left="6624" w:right="144" w:firstLine="0"/>
        <w:jc w:val="center"/>
      </w:pPr>
      <w:r>
        <w:rPr>
          <w:rFonts w:ascii="Arial" w:hAnsi="Arial" w:eastAsia="Arial"/>
          <w:b w:val="0"/>
          <w:i/>
          <w:color w:val="000000"/>
          <w:sz w:val="18"/>
        </w:rPr>
        <w:t xml:space="preserve">Nine Months Ended March 31, </w:t>
      </w:r>
      <w:r>
        <w:br/>
      </w:r>
      <w:r>
        <w:rPr>
          <w:rFonts w:ascii="Arial" w:hAnsi="Arial" w:eastAsia="Arial"/>
          <w:b w:val="0"/>
          <w:i/>
          <w:color w:val="000000"/>
          <w:sz w:val="18"/>
        </w:rPr>
        <w:t>(Unaudited)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364.0" w:type="dxa"/>
      </w:tblPr>
      <w:tblGrid>
        <w:gridCol w:w="4708"/>
        <w:gridCol w:w="4708"/>
      </w:tblGrid>
      <w:tr>
        <w:trPr>
          <w:trHeight w:hRule="exact" w:val="254"/>
        </w:trPr>
        <w:tc>
          <w:tcPr>
            <w:tcW w:type="dxa" w:w="1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2025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50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200" w:lineRule="exact" w:before="1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investing activities</w:t>
      </w:r>
    </w:p>
    <w:p>
      <w:pPr>
        <w:autoSpaceDN w:val="0"/>
        <w:autoSpaceDE w:val="0"/>
        <w:widowControl/>
        <w:spacing w:line="202" w:lineRule="exact" w:before="54" w:after="26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Loans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2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Disbursements</w:t>
            </w:r>
          </w:p>
        </w:tc>
        <w:tc>
          <w:tcPr>
            <w:tcW w:type="dxa" w:w="4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(21,915) </w:t>
            </w:r>
          </w:p>
        </w:tc>
        <w:tc>
          <w:tcPr>
            <w:tcW w:type="dxa" w:w="4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(25,892)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Principal repayments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10,001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9,541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Principal prepayments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194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47 </w:t>
            </w:r>
          </w:p>
        </w:tc>
      </w:tr>
      <w:tr>
        <w:trPr>
          <w:trHeight w:hRule="exact" w:val="24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 origination fees received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34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derivatives-loans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48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 </w:t>
            </w:r>
          </w:p>
        </w:tc>
      </w:tr>
      <w:tr>
        <w:trPr>
          <w:trHeight w:hRule="exact" w:val="270"/>
        </w:trPr>
        <w:tc>
          <w:tcPr>
            <w:tcW w:type="dxa" w:w="62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investing activities, net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(177)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(121) </w:t>
            </w:r>
          </w:p>
        </w:tc>
      </w:tr>
      <w:tr>
        <w:trPr>
          <w:trHeight w:hRule="exact" w:val="255"/>
        </w:trPr>
        <w:tc>
          <w:tcPr>
            <w:tcW w:type="dxa" w:w="6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4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used in investing activities</w:t>
            </w:r>
          </w:p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(11,825) </w:t>
            </w:r>
          </w:p>
        </w:tc>
        <w:tc>
          <w:tcPr>
            <w:tcW w:type="dxa" w:w="4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(16,350) </w:t>
            </w:r>
          </w:p>
        </w:tc>
      </w:tr>
    </w:tbl>
    <w:p>
      <w:pPr>
        <w:autoSpaceDN w:val="0"/>
        <w:autoSpaceDE w:val="0"/>
        <w:widowControl/>
        <w:spacing w:line="202" w:lineRule="exact" w:before="2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financing activities</w:t>
      </w:r>
    </w:p>
    <w:p>
      <w:pPr>
        <w:autoSpaceDN w:val="0"/>
        <w:autoSpaceDE w:val="0"/>
        <w:widowControl/>
        <w:spacing w:line="200" w:lineRule="exact" w:before="54" w:after="26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Medium and long-term 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3139"/>
        <w:gridCol w:w="3139"/>
        <w:gridCol w:w="3139"/>
      </w:tblGrid>
      <w:tr>
        <w:trPr>
          <w:trHeight w:hRule="exact" w:val="248"/>
        </w:trPr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New issues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4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51,604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38,671 </w:t>
            </w:r>
          </w:p>
        </w:tc>
      </w:tr>
      <w:tr>
        <w:trPr>
          <w:trHeight w:hRule="exact" w:val="262"/>
        </w:trPr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Retirements</w:t>
            </w:r>
          </w:p>
        </w:tc>
        <w:tc>
          <w:tcPr>
            <w:tcW w:type="dxa" w:w="4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4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(27,090)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(26,877) </w:t>
            </w:r>
          </w:p>
        </w:tc>
      </w:tr>
    </w:tbl>
    <w:p>
      <w:pPr>
        <w:autoSpaceDN w:val="0"/>
        <w:autoSpaceDE w:val="0"/>
        <w:widowControl/>
        <w:spacing w:line="202" w:lineRule="exact" w:before="28" w:after="28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Short-term borrowings (original maturities greater than 90 days)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4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New issues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19,162 </w:t>
            </w:r>
          </w:p>
        </w:tc>
        <w:tc>
          <w:tcPr>
            <w:tcW w:type="dxa" w:w="1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15,352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Retirements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(17,304) </w:t>
            </w:r>
          </w:p>
        </w:tc>
        <w:tc>
          <w:tcPr>
            <w:tcW w:type="dxa" w:w="1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(16,581)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short-term borrowings (original maturities less than 90 days)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4,878 </w:t>
            </w:r>
          </w:p>
        </w:tc>
        <w:tc>
          <w:tcPr>
            <w:tcW w:type="dxa" w:w="1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604 </w:t>
            </w:r>
          </w:p>
        </w:tc>
      </w:tr>
      <w:tr>
        <w:trPr>
          <w:trHeight w:hRule="exact" w:val="24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derivatives-borrowings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246 </w:t>
            </w:r>
          </w:p>
        </w:tc>
        <w:tc>
          <w:tcPr>
            <w:tcW w:type="dxa" w:w="1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(50) </w:t>
            </w:r>
          </w:p>
        </w:tc>
      </w:tr>
      <w:tr>
        <w:trPr>
          <w:trHeight w:hRule="exact" w:val="260"/>
        </w:trPr>
        <w:tc>
          <w:tcPr>
            <w:tcW w:type="dxa" w:w="6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Capital subscriptions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334 </w:t>
            </w:r>
          </w:p>
        </w:tc>
        <w:tc>
          <w:tcPr>
            <w:tcW w:type="dxa" w:w="1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630 </w:t>
            </w:r>
          </w:p>
        </w:tc>
      </w:tr>
      <w:tr>
        <w:trPr>
          <w:trHeight w:hRule="exact" w:val="270"/>
        </w:trPr>
        <w:tc>
          <w:tcPr>
            <w:tcW w:type="dxa" w:w="62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financing activities, net</w:t>
            </w:r>
          </w:p>
        </w:tc>
        <w:tc>
          <w:tcPr>
            <w:tcW w:type="dxa" w:w="159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(9) </w:t>
            </w:r>
          </w:p>
        </w:tc>
        <w:tc>
          <w:tcPr>
            <w:tcW w:type="dxa" w:w="14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 </w:t>
            </w:r>
          </w:p>
        </w:tc>
      </w:tr>
      <w:tr>
        <w:trPr>
          <w:trHeight w:hRule="exact" w:val="254"/>
        </w:trPr>
        <w:tc>
          <w:tcPr>
            <w:tcW w:type="dxa" w:w="6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4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provided by financing activities</w:t>
            </w:r>
          </w:p>
        </w:tc>
        <w:tc>
          <w:tcPr>
            <w:tcW w:type="dxa" w:w="159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31,821 </w:t>
            </w:r>
          </w:p>
        </w:tc>
        <w:tc>
          <w:tcPr>
            <w:tcW w:type="dxa" w:w="1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11,767 </w:t>
            </w:r>
          </w:p>
        </w:tc>
      </w:tr>
    </w:tbl>
    <w:p>
      <w:pPr>
        <w:autoSpaceDN w:val="0"/>
        <w:autoSpaceDE w:val="0"/>
        <w:widowControl/>
        <w:spacing w:line="202" w:lineRule="exact" w:before="26" w:after="28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operating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52"/>
        </w:trPr>
        <w:tc>
          <w:tcPr>
            <w:tcW w:type="dxa" w:w="4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income</w:t>
            </w:r>
          </w:p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5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1,236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1,185 </w:t>
            </w:r>
          </w:p>
        </w:tc>
      </w:tr>
    </w:tbl>
    <w:p>
      <w:pPr>
        <w:autoSpaceDN w:val="0"/>
        <w:autoSpaceDE w:val="0"/>
        <w:widowControl/>
        <w:spacing w:line="202" w:lineRule="exact" w:before="28" w:after="28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Adjustments to reconcile net income to net cash used in operating activities: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3139"/>
        <w:gridCol w:w="3139"/>
        <w:gridCol w:w="3139"/>
      </w:tblGrid>
      <w:tr>
        <w:trPr>
          <w:trHeight w:hRule="exact" w:val="25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Unrealized mark-to-market (gains) losses on non-trading portfolios, net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5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(265)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111 </w:t>
            </w:r>
          </w:p>
        </w:tc>
      </w:tr>
      <w:tr>
        <w:trPr>
          <w:trHeight w:hRule="exact" w:val="24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Non-functional currency translation adjustment losses (gains), net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60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(16) </w:t>
            </w:r>
          </w:p>
        </w:tc>
      </w:tr>
      <w:tr>
        <w:trPr>
          <w:trHeight w:hRule="exact" w:val="26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Depreciation, amortization and capitalized interest on loans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326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477 </w:t>
            </w:r>
          </w:p>
        </w:tc>
      </w:tr>
      <w:tr>
        <w:trPr>
          <w:trHeight w:hRule="exact" w:val="27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Provision for losses on loans and other exposures, charge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53 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26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Changes in: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38"/>
        </w:trPr>
        <w:tc>
          <w:tcPr>
            <w:tcW w:type="dxa" w:w="6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 portfolio</w:t>
            </w:r>
          </w:p>
        </w:tc>
        <w:tc>
          <w:tcPr>
            <w:tcW w:type="dxa" w:w="4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(16,435) </w:t>
            </w:r>
          </w:p>
        </w:tc>
        <w:tc>
          <w:tcPr>
            <w:tcW w:type="dxa" w:w="5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3,060 </w:t>
            </w:r>
          </w:p>
        </w:tc>
      </w:tr>
      <w:tr>
        <w:trPr>
          <w:trHeight w:hRule="exact" w:val="276"/>
        </w:trPr>
        <w:tc>
          <w:tcPr>
            <w:tcW w:type="dxa" w:w="63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assets and liabilities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(5,002)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(482) </w:t>
            </w:r>
          </w:p>
        </w:tc>
      </w:tr>
      <w:tr>
        <w:trPr>
          <w:trHeight w:hRule="exact" w:val="254"/>
        </w:trPr>
        <w:tc>
          <w:tcPr>
            <w:tcW w:type="dxa" w:w="63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5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(used in) provided by operating activities</w:t>
            </w:r>
          </w:p>
        </w:tc>
        <w:tc>
          <w:tcPr>
            <w:tcW w:type="dxa" w:w="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(20,068)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4,388 </w:t>
            </w:r>
          </w:p>
        </w:tc>
      </w:tr>
      <w:tr>
        <w:trPr>
          <w:trHeight w:hRule="exact" w:val="256"/>
        </w:trPr>
        <w:tc>
          <w:tcPr>
            <w:tcW w:type="dxa" w:w="63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Effect of exchange rate changes on unrestricted and restricted cash</w:t>
            </w:r>
          </w:p>
        </w:tc>
        <w:tc>
          <w:tcPr>
            <w:tcW w:type="dxa" w:w="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(2)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(9) </w:t>
            </w:r>
          </w:p>
        </w:tc>
      </w:tr>
      <w:tr>
        <w:trPr>
          <w:trHeight w:hRule="exact" w:val="234"/>
        </w:trPr>
        <w:tc>
          <w:tcPr>
            <w:tcW w:type="dxa" w:w="6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Net decrease in unrestricted and restricted cash</w:t>
            </w:r>
          </w:p>
        </w:tc>
        <w:tc>
          <w:tcPr>
            <w:tcW w:type="dxa" w:w="45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(74) </w:t>
            </w:r>
          </w:p>
        </w:tc>
        <w:tc>
          <w:tcPr>
            <w:tcW w:type="dxa" w:w="5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(204) </w:t>
            </w:r>
          </w:p>
        </w:tc>
      </w:tr>
      <w:tr>
        <w:trPr>
          <w:trHeight w:hRule="exact" w:val="276"/>
        </w:trPr>
        <w:tc>
          <w:tcPr>
            <w:tcW w:type="dxa" w:w="63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Unrestricted and restricted cash at the beginning of the fiscal year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490 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547 </w:t>
            </w:r>
          </w:p>
        </w:tc>
      </w:tr>
      <w:tr>
        <w:trPr>
          <w:trHeight w:hRule="exact" w:val="244"/>
        </w:trPr>
        <w:tc>
          <w:tcPr>
            <w:tcW w:type="dxa" w:w="63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Unrestricted and restricted cash at the end of the period</w:t>
            </w:r>
          </w:p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416 </w:t>
            </w:r>
          </w:p>
        </w:tc>
        <w:tc>
          <w:tcPr>
            <w:tcW w:type="dxa" w:w="5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343 </w:t>
            </w:r>
          </w:p>
        </w:tc>
      </w:tr>
    </w:tbl>
    <w:p>
      <w:pPr>
        <w:autoSpaceDN w:val="0"/>
        <w:autoSpaceDE w:val="0"/>
        <w:widowControl/>
        <w:spacing w:line="200" w:lineRule="exact" w:before="3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Supplemental disclosure</w:t>
      </w:r>
    </w:p>
    <w:p>
      <w:pPr>
        <w:autoSpaceDN w:val="0"/>
        <w:tabs>
          <w:tab w:pos="322" w:val="left"/>
        </w:tabs>
        <w:autoSpaceDE w:val="0"/>
        <w:widowControl/>
        <w:spacing w:line="216" w:lineRule="exact" w:before="36" w:after="12"/>
        <w:ind w:left="142" w:right="360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Increase (decrease) in ending balances resulting from exchange rate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8"/>
        </w:rPr>
        <w:t>fluctuations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24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4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 outstanding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2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469 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(277) </w:t>
            </w:r>
          </w:p>
        </w:tc>
      </w:tr>
      <w:tr>
        <w:trPr>
          <w:trHeight w:hRule="exact" w:val="260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4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 portfolio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80 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 </w:t>
            </w:r>
          </w:p>
        </w:tc>
      </w:tr>
      <w:tr>
        <w:trPr>
          <w:trHeight w:hRule="exact" w:val="260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4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Borrowing portfolio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577 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(258) </w:t>
            </w:r>
          </w:p>
        </w:tc>
      </w:tr>
      <w:tr>
        <w:trPr>
          <w:trHeight w:hRule="exact" w:val="240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Capitalized interest and loan origination fees included in total loans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187 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94 </w:t>
            </w:r>
          </w:p>
        </w:tc>
      </w:tr>
      <w:tr>
        <w:trPr>
          <w:trHeight w:hRule="exact" w:val="306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Interest paid on borrowing portfolio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12,950 </w:t>
            </w:r>
          </w:p>
        </w:tc>
        <w:tc>
          <w:tcPr>
            <w:tcW w:type="dxa" w:w="1883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10,952 </w:t>
            </w:r>
          </w:p>
        </w:tc>
      </w:tr>
    </w:tbl>
    <w:p>
      <w:pPr>
        <w:autoSpaceDN w:val="0"/>
        <w:autoSpaceDE w:val="0"/>
        <w:widowControl/>
        <w:spacing w:line="202" w:lineRule="exact" w:before="238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the Condensed Quarterly Financial Statements are an integral part of these Statements.</w:t>
      </w:r>
    </w:p>
    <w:p>
      <w:pPr>
        <w:autoSpaceDN w:val="0"/>
        <w:autoSpaceDE w:val="0"/>
        <w:widowControl/>
        <w:spacing w:line="224" w:lineRule="exact" w:before="53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34     IBRD Condensed Quarterly Financial Statements: March 31, 2025 (Unaudited)</w:t>
      </w:r>
    </w:p>
    <w:p>
      <w:pPr>
        <w:sectPr>
          <w:pgSz w:w="12240" w:h="15840"/>
          <w:pgMar w:top="696" w:right="138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NOTES TO CONDENSED QUARTERLY FINANCIAL STATEMENTS</w:t>
      </w:r>
    </w:p>
    <w:p>
      <w:pPr>
        <w:autoSpaceDN w:val="0"/>
        <w:autoSpaceDE w:val="0"/>
        <w:widowControl/>
        <w:spacing w:line="246" w:lineRule="exact" w:before="15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A—SUMMARY OF SIGNIFICANT ACCOUNTING AND RELATED POLICIES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Basis of Preparation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unaudited condensed quarterly financial statements and notes should be read in conjunction with the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 audited financial statements and notes included therein. The condensed comparative information that has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derived from the June 30, 2024 audited financial statements has not been audited. In the opinion of management,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condensed quarterly financial statements reflect all adjustments necessary for a fair presentation of IBRD’s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 and results of operations in accordance with accounting principles generally accepted in the United States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America (U.S. GAAP).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makes estimates and assumptions that affect the reported amounts of assets and liabilities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disclosure of contingent assets and liabilities at the date of the condensed quarterly financial statements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amounts of income and expenses during the reporting periods. Due to the inherent uncertainty involved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making those estimates, actual results could differ from those estimates. Areas in which significant estimates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been made include, but are not limited to, the provision for losses on loans and other exposures, the valuation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certain instruments carried at fair value, and the valuation of pension and other postretirement plan-related liabilities.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results of operations for the first nine months of the current fiscal year are not necessarily indicative of results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the full year.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Accounting and Reporting Developments</w:t>
      </w:r>
    </w:p>
    <w:p>
      <w:pPr>
        <w:autoSpaceDN w:val="0"/>
        <w:autoSpaceDE w:val="0"/>
        <w:widowControl/>
        <w:spacing w:line="222" w:lineRule="exact" w:before="14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Evaluated Accounting Standards: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June 2022, the Financial Accounting Standards Board (FASB) issued Accounting Standard Update (ASU)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2022-03, Fair Value Measurement (Topic 820)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Fair Value Measurement of Equity Securities Subject to Contractual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Sale Restrictions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which clarifies that a contractual restriction on the sale of an equity security is not considered part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the unit of account of the equity security and should not be factored in when measuring fair value. The ASU also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clarifies that an entity cannot, as a separate unit of account, recognize and measure a contractual sale restriction.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ASU requires certain disclosures for equity securities subject to contractual sale restrictions. For IBRD, the ASU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became effective from the quarter ended September 30, 2024 and the adoption of the ASU did not have a material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impact on IBRD's financial statements.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Accounting Standards Under Evaluation:</w:t>
      </w:r>
    </w:p>
    <w:p>
      <w:pPr>
        <w:autoSpaceDN w:val="0"/>
        <w:autoSpaceDE w:val="0"/>
        <w:widowControl/>
        <w:spacing w:line="224" w:lineRule="exact" w:before="136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November 2024, the FASB issued ASU 2024-03,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Income Statement—Reporting Comprehensive Income—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Expense Disaggregation Disclosures (Subtopic 220-40)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which requires disaggregated disclosure of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 expenses for public business entities. The ASU does not change the expense captions an entity presents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face of the income statement; rather, it requires disaggregation of certain expense captions into specified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categories in disclosures within the notes to the financial statements. In January 2025, the FASB issued ASU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2025-01,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Income Statement—Reporting Comprehensive Income—Expense Disaggregation Disclosures (Subtopic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220-40): Clarifying the Effective Date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which clarifies the effective date of ASU 2024-03. For IBRD, the ASUs will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 effective for the annual period ending June 30, 2028 (annual statements of fiscal year 2028, and interim reporting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periods thereafter). IBRD is currently evaluating the impact of the ASUs on its financial statements.</w:t>
      </w:r>
    </w:p>
    <w:p>
      <w:pPr>
        <w:autoSpaceDN w:val="0"/>
        <w:autoSpaceDE w:val="0"/>
        <w:widowControl/>
        <w:spacing w:line="224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November 2023, the FASB issued ASU 2023-07,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Segment Reporting (Topic 280): Improvements to Reportable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Segment Disclosures,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requires additional segment disclosures for public entities, including those with a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reportable segment (such as IBRD), for example, the significant segment expenses that are regularly provided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chief operating decision maker (CODM), the title and position of the CODM, as well as an explanation of how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CODM uses the reported measure of segment profit or loss. All existing annual disclosures about segment profit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 must be provided on an interim basis in addition to disclosure of significant segment expenses. For IBRD,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ASU will be effective for the annual period ending June 30, 2025 (annual statements of fiscal year 2025, and interim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periods thereafter). IBRD will adopt the ASU on the effective date with additional disclosures in the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statements.</w:t>
      </w:r>
    </w:p>
    <w:p>
      <w:pPr>
        <w:autoSpaceDN w:val="0"/>
        <w:autoSpaceDE w:val="0"/>
        <w:widowControl/>
        <w:spacing w:line="224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2023, the FASB issued ASU 2023-06,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Disclosure Improvements: Codification Amendments in Response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to the SEC’s Disclosure Update and Simplification Initiative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. The new guidance is intended to align U.S. GAAP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requirements with those of the SEC and to facilitate the application of U.S. GAAP. If by June 30, 2027, the SEC has </w:t>
      </w:r>
    </w:p>
    <w:p>
      <w:pPr>
        <w:autoSpaceDN w:val="0"/>
        <w:autoSpaceDE w:val="0"/>
        <w:widowControl/>
        <w:spacing w:line="224" w:lineRule="exact" w:before="586" w:after="0"/>
        <w:ind w:left="190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35</w:t>
      </w:r>
    </w:p>
    <w:p>
      <w:pPr>
        <w:sectPr>
          <w:pgSz w:w="12240" w:h="15840"/>
          <w:pgMar w:top="696" w:right="13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not removed the applicable SEC requirement, the related ASU amendment will not become effective. IBRD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currently evaluating the impact of the ASU on its financial statements.</w:t>
      </w:r>
    </w:p>
    <w:p>
      <w:pPr>
        <w:autoSpaceDN w:val="0"/>
        <w:autoSpaceDE w:val="0"/>
        <w:widowControl/>
        <w:spacing w:line="222" w:lineRule="exact" w:before="12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Accounting for Borrowings at Amortized Cost</w:t>
      </w:r>
    </w:p>
    <w:p>
      <w:pPr>
        <w:autoSpaceDN w:val="0"/>
        <w:autoSpaceDE w:val="0"/>
        <w:widowControl/>
        <w:spacing w:line="230" w:lineRule="exact" w:before="11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2024, IBRD issued hybrid capital in the legal form of debt, that has characteristics of both debt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equity. Hybrid capital is reported at amortized cost and included in Borrowings on the Condensed Balance Sheets.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This financial instrument also contains interest cancellation and principal write down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features.</w:t>
      </w:r>
    </w:p>
    <w:p>
      <w:pPr>
        <w:autoSpaceDN w:val="0"/>
        <w:autoSpaceDE w:val="0"/>
        <w:widowControl/>
        <w:spacing w:line="224" w:lineRule="exact" w:before="14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Currently, hybrid capital is available to IBRD’s shareholders, who may also enter into separate agreements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that allow them to redeem the hybrid capital to satisfy the payment condition for their paid-in portion of any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future capital increase to which the shareholder has subscribed. In addition, agreements that do not assign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 to another party include an option, at the IBRD's discretion, to redeem the instrument at par after an initial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period of 5 years.</w:t>
      </w:r>
    </w:p>
    <w:p>
      <w:pPr>
        <w:autoSpaceDN w:val="0"/>
        <w:autoSpaceDE w:val="0"/>
        <w:widowControl/>
        <w:spacing w:line="224" w:lineRule="exact" w:before="13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Hybrid capital is subordinated to IBRD’s unsubordinated debt issuances, senior to IBRD equity and pari-passu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other subordinated issuances. Hybrid capital carries coupon rates similar to those of IBRD’s senior medium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long-term bonds. Interest on the hybrid capital is cancellable at the sole discretion of IBRD, or mandatorily upon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occurrence of a trigger event (linked to the ratio of non-performing loans over usable equity, and to the ratio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reported equity-to-assets).</w:t>
      </w:r>
    </w:p>
    <w:p>
      <w:pPr>
        <w:autoSpaceDN w:val="0"/>
        <w:autoSpaceDE w:val="0"/>
        <w:widowControl/>
        <w:spacing w:line="22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Hybrid capital principal is automatically cancelled in the event IBRD makes a call to its members for callable capital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the sole purposes of meeting IBRD's liabilities.</w:t>
      </w:r>
    </w:p>
    <w:p>
      <w:pPr>
        <w:autoSpaceDN w:val="0"/>
        <w:autoSpaceDE w:val="0"/>
        <w:widowControl/>
        <w:spacing w:line="246" w:lineRule="exact" w:before="234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B—CAPITAL STOCK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a summary of changes in IBRD’s authorized and subscribed shares: </w:t>
      </w:r>
    </w:p>
    <w:p>
      <w:pPr>
        <w:autoSpaceDN w:val="0"/>
        <w:autoSpaceDE w:val="0"/>
        <w:widowControl/>
        <w:spacing w:line="222" w:lineRule="exact" w:before="136" w:after="5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B1: IBRD's Shares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Authorized shares</w:t>
            </w:r>
          </w:p>
        </w:tc>
        <w:tc>
          <w:tcPr>
            <w:tcW w:type="dxa" w:w="16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Subscribed shares</w:t>
            </w:r>
          </w:p>
        </w:tc>
      </w:tr>
      <w:tr>
        <w:trPr>
          <w:trHeight w:hRule="exact" w:val="226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June 30, 2023</w:t>
            </w:r>
          </w:p>
        </w:tc>
        <w:tc>
          <w:tcPr>
            <w:tcW w:type="dxa" w:w="1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2,783,873 </w:t>
            </w:r>
          </w:p>
        </w:tc>
        <w:tc>
          <w:tcPr>
            <w:tcW w:type="dxa" w:w="16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2,634,728 </w:t>
            </w:r>
          </w:p>
        </w:tc>
      </w:tr>
      <w:tr>
        <w:trPr>
          <w:trHeight w:hRule="exact" w:val="25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General Capital Increase/Selective Capital Increase (GCI/SCI)</w:t>
            </w:r>
          </w:p>
        </w:tc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6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43,370 </w:t>
            </w:r>
          </w:p>
        </w:tc>
      </w:tr>
      <w:tr>
        <w:trPr>
          <w:trHeight w:hRule="exact" w:val="226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June 30, 2024</w:t>
            </w:r>
          </w:p>
        </w:tc>
        <w:tc>
          <w:tcPr>
            <w:tcW w:type="dxa" w:w="1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2,783,873 </w:t>
            </w:r>
          </w:p>
        </w:tc>
        <w:tc>
          <w:tcPr>
            <w:tcW w:type="dxa" w:w="16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2,678,098 </w:t>
            </w:r>
          </w:p>
        </w:tc>
      </w:tr>
      <w:tr>
        <w:trPr>
          <w:trHeight w:hRule="exact" w:val="25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GCI/SCI</w:t>
            </w:r>
          </w:p>
        </w:tc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6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23,358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March 31, 2025</w:t>
            </w:r>
          </w:p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2,783,873 </w:t>
            </w:r>
          </w:p>
        </w:tc>
        <w:tc>
          <w:tcPr>
            <w:tcW w:type="dxa" w:w="16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2,701,456 </w:t>
            </w:r>
          </w:p>
        </w:tc>
      </w:tr>
    </w:tbl>
    <w:p>
      <w:pPr>
        <w:autoSpaceDN w:val="0"/>
        <w:autoSpaceDE w:val="0"/>
        <w:widowControl/>
        <w:spacing w:line="240" w:lineRule="exact" w:before="41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a summary of the changes in subscribed capital, uncalled portion of subscriptions,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paid-in capital: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B2: IBRD's Capital</w:t>
      </w:r>
    </w:p>
    <w:p>
      <w:pPr>
        <w:autoSpaceDN w:val="0"/>
        <w:autoSpaceDE w:val="0"/>
        <w:widowControl/>
        <w:spacing w:line="180" w:lineRule="exact" w:before="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4" w:after="8"/>
        <w:ind w:left="0" w:right="173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Uncalled portion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4"/>
        </w:trPr>
        <w:tc>
          <w:tcPr>
            <w:tcW w:type="dxa" w:w="46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Subscribed capital</w:t>
            </w:r>
          </w:p>
        </w:tc>
        <w:tc>
          <w:tcPr>
            <w:tcW w:type="dxa" w:w="3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subscriptions</w:t>
            </w:r>
          </w:p>
        </w:tc>
        <w:tc>
          <w:tcPr>
            <w:tcW w:type="dxa" w:w="2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Paid-in capital</w:t>
            </w:r>
          </w:p>
        </w:tc>
      </w:tr>
      <w:tr>
        <w:trPr>
          <w:trHeight w:hRule="exact" w:val="240"/>
        </w:trPr>
        <w:tc>
          <w:tcPr>
            <w:tcW w:type="dxa" w:w="46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June 30, 2023</w:t>
            </w:r>
          </w:p>
        </w:tc>
        <w:tc>
          <w:tcPr>
            <w:tcW w:type="dxa" w:w="424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317,840 </w:t>
            </w:r>
          </w:p>
        </w:tc>
        <w:tc>
          <w:tcPr>
            <w:tcW w:type="dxa" w:w="304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(296,021) </w:t>
            </w:r>
          </w:p>
        </w:tc>
        <w:tc>
          <w:tcPr>
            <w:tcW w:type="dxa" w:w="250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10"/>
            <w:tcBorders>
              <w:top w:sz="8.0" w:val="single" w:color="#000000"/>
            </w:tcBorders>
            <w:shd w:fill="cced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21,819 </w:t>
            </w:r>
          </w:p>
        </w:tc>
      </w:tr>
      <w:tr>
        <w:trPr>
          <w:trHeight w:hRule="exact" w:val="240"/>
        </w:trPr>
        <w:tc>
          <w:tcPr>
            <w:tcW w:type="dxa" w:w="46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GCI/SCI</w:t>
            </w:r>
          </w:p>
        </w:tc>
        <w:tc>
          <w:tcPr>
            <w:tcW w:type="dxa" w:w="1520"/>
            <w:gridSpan w:val="2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5,232 </w:t>
            </w:r>
          </w:p>
        </w:tc>
        <w:tc>
          <w:tcPr>
            <w:tcW w:type="dxa" w:w="30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(4,599) </w:t>
            </w:r>
          </w:p>
        </w:tc>
        <w:tc>
          <w:tcPr>
            <w:tcW w:type="dxa" w:w="25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1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633 </w:t>
            </w:r>
          </w:p>
        </w:tc>
      </w:tr>
      <w:tr>
        <w:trPr>
          <w:trHeight w:hRule="exact" w:val="240"/>
        </w:trPr>
        <w:tc>
          <w:tcPr>
            <w:tcW w:type="dxa" w:w="46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June 30, 2024</w:t>
            </w:r>
          </w:p>
        </w:tc>
        <w:tc>
          <w:tcPr>
            <w:tcW w:type="dxa" w:w="1520"/>
            <w:gridSpan w:val="2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520"/>
            </w:tblGrid>
            <w:tr>
              <w:trPr>
                <w:trHeight w:hRule="exact" w:val="220"/>
              </w:trPr>
              <w:tc>
                <w:tcPr>
                  <w:tcW w:type="dxa" w:w="1396"/>
                  <w:tcBorders/>
                  <w:shd w:fill="cced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30" w:after="0"/>
                    <w:ind w:left="0" w:right="10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16"/>
                    </w:rPr>
                    <w:t xml:space="preserve">323,072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04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(300,620) </w:t>
            </w:r>
          </w:p>
        </w:tc>
        <w:tc>
          <w:tcPr>
            <w:tcW w:type="dxa" w:w="250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10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22,452 </w:t>
            </w:r>
          </w:p>
        </w:tc>
      </w:tr>
      <w:tr>
        <w:trPr>
          <w:trHeight w:hRule="exact" w:val="240"/>
        </w:trPr>
        <w:tc>
          <w:tcPr>
            <w:tcW w:type="dxa" w:w="46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GCI/SCI</w:t>
            </w:r>
          </w:p>
        </w:tc>
        <w:tc>
          <w:tcPr>
            <w:tcW w:type="dxa" w:w="1520"/>
            <w:gridSpan w:val="2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2,818 </w:t>
            </w:r>
          </w:p>
        </w:tc>
        <w:tc>
          <w:tcPr>
            <w:tcW w:type="dxa" w:w="30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(2,484) </w:t>
            </w:r>
          </w:p>
        </w:tc>
        <w:tc>
          <w:tcPr>
            <w:tcW w:type="dxa" w:w="25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31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</w:tr>
      <w:tr>
        <w:trPr>
          <w:trHeight w:hRule="exact" w:val="220"/>
        </w:trPr>
        <w:tc>
          <w:tcPr>
            <w:tcW w:type="dxa" w:w="46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 of March 31, 2025</w:t>
            </w:r>
          </w:p>
        </w:tc>
        <w:tc>
          <w:tcPr>
            <w:tcW w:type="dxa" w:w="42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325,890 </w:t>
            </w:r>
          </w:p>
        </w:tc>
        <w:tc>
          <w:tcPr>
            <w:tcW w:type="dxa" w:w="30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(303,104) 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1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22,786 </w:t>
            </w:r>
          </w:p>
        </w:tc>
      </w:tr>
    </w:tbl>
    <w:p>
      <w:pPr>
        <w:autoSpaceDN w:val="0"/>
        <w:autoSpaceDE w:val="0"/>
        <w:widowControl/>
        <w:spacing w:line="240" w:lineRule="exact" w:before="42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uncalled portion of subscriptions is subject to call only when required to meet the obligations incurred by IBRD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a result of borrowings or guaranteeing loans.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October 1, 2018, IBRD’s Board of Governors approved two resolutions that increased IBRD’s authorized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capital. The total increase in authorized capital was $57.5 billion, of which, $27.8 billion and $29.7 billion relate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GCI and SCI, respectively. Under the terms of the 2018 GCI and SCI, paid-in capital could increase by up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$7.5 billion. On May 23, 2023, the Board approved the extension of the subscription period for GCI and SCI from </w:t>
      </w:r>
    </w:p>
    <w:p>
      <w:pPr>
        <w:autoSpaceDN w:val="0"/>
        <w:autoSpaceDE w:val="0"/>
        <w:widowControl/>
        <w:spacing w:line="224" w:lineRule="exact" w:before="964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36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October 1, 2023 to October 1, 2025. As of March 31, 2025, the cumulative subscription payments received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2018 capital increases were $6.3 billion.</w:t>
      </w:r>
    </w:p>
    <w:p>
      <w:pPr>
        <w:autoSpaceDN w:val="0"/>
        <w:autoSpaceDE w:val="0"/>
        <w:widowControl/>
        <w:spacing w:line="246" w:lineRule="exact" w:before="25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C—INVESTMENTS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investments include the liquid asset portfolio and holdings relating to the Post Employment Benefit Plan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(PEBP) and the Post-Retirement Contribution Reserve Fund (PCRF).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Investments held by IBRD are designated as trading and reported at fair value or at face value which approximates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fair value. As of March 31, 2025, Investments were primarily comprised of government, agency and corporate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obligations and time deposits (40% and 54%, respectively), with all of the instruments classified as Level 1 or Level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 within the fair value hierarchy.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 summary of IBRD’s Investments-Trading is as follows: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C1: Investments - Trading composition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36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Government, agency and corporate obligations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40,349 </w:t>
            </w:r>
          </w:p>
        </w:tc>
        <w:tc>
          <w:tcPr>
            <w:tcW w:type="dxa" w:w="2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32,353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54,154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45,991 </w:t>
            </w:r>
          </w:p>
        </w:tc>
      </w:tr>
      <w:tr>
        <w:trPr>
          <w:trHeight w:hRule="exact" w:val="22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Asset-backed Securities (ABS)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3,047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1,880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fund investments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2,643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2,155 </w:t>
            </w:r>
          </w:p>
        </w:tc>
      </w:tr>
      <w:tr>
        <w:trPr>
          <w:trHeight w:hRule="exact" w:val="26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Equity securities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349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100,515 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82,728 </w:t>
            </w:r>
          </w:p>
        </w:tc>
      </w:tr>
    </w:tbl>
    <w:p>
      <w:pPr>
        <w:autoSpaceDN w:val="0"/>
        <w:autoSpaceDE w:val="0"/>
        <w:widowControl/>
        <w:spacing w:line="192" w:lineRule="exact" w:before="278" w:after="0"/>
        <w:ind w:left="242" w:right="78" w:hanging="180"/>
        <w:jc w:val="both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PEBP holdings as investments in hedge funds, private equity funds, commingled funds, credit strategy funds and real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asset funds, at net asset value (NAV) and investments held by the IBRD Surplus-Funded Livable Planet Fund (LPF1) and the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Grant Facility for Project Preparation (GFPP) at fair value. </w:t>
      </w:r>
    </w:p>
    <w:p>
      <w:pPr>
        <w:autoSpaceDN w:val="0"/>
        <w:autoSpaceDE w:val="0"/>
        <w:widowControl/>
        <w:spacing w:line="180" w:lineRule="exact" w:before="1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Relates to PEBP holdings.</w:t>
      </w:r>
    </w:p>
    <w:p>
      <w:pPr>
        <w:autoSpaceDN w:val="0"/>
        <w:autoSpaceDE w:val="0"/>
        <w:widowControl/>
        <w:spacing w:line="240" w:lineRule="exact" w:before="430" w:after="0"/>
        <w:ind w:left="10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manages its investments on a net portfolio basis. As of March 31, 2025, the largest holdings from a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counterparty within the net investment portfolio was the Government of Singapore (8%). The following table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summarizes IBRD’s net investment portfolio position:</w:t>
      </w:r>
    </w:p>
    <w:p>
      <w:pPr>
        <w:autoSpaceDN w:val="0"/>
        <w:autoSpaceDE w:val="0"/>
        <w:widowControl/>
        <w:spacing w:line="224" w:lineRule="exact" w:before="5966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37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C2: Net investment portfolio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Investments-Trading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100,515 </w:t>
            </w:r>
          </w:p>
        </w:tc>
        <w:tc>
          <w:tcPr>
            <w:tcW w:type="dxa" w:w="27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82,728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 </w:t>
            </w:r>
          </w:p>
        </w:tc>
      </w:tr>
      <w:tr>
        <w:trPr>
          <w:trHeight w:hRule="exact" w:val="208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Securities sold under repurchase agreements, securities lent under 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4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(1,097) 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3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(277) </w:t>
            </w:r>
          </w:p>
        </w:tc>
      </w:tr>
      <w:tr>
        <w:trPr>
          <w:trHeight w:hRule="exact" w:val="228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24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securities lending agreements, and payable for cash collateral received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8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0" w:lineRule="exact" w:before="20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Derivative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3147"/>
        <w:gridCol w:w="3147"/>
        <w:gridCol w:w="3147"/>
      </w:tblGrid>
      <w:tr>
        <w:trPr>
          <w:trHeight w:hRule="exact" w:val="224"/>
        </w:trPr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forward contracts</w:t>
            </w:r>
          </w:p>
        </w:tc>
        <w:tc>
          <w:tcPr>
            <w:tcW w:type="dxa" w:w="1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743 </w:t>
            </w:r>
          </w:p>
        </w:tc>
        <w:tc>
          <w:tcPr>
            <w:tcW w:type="dxa" w:w="16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812 </w:t>
            </w:r>
          </w:p>
        </w:tc>
      </w:tr>
      <w:tr>
        <w:trPr>
          <w:trHeight w:hRule="exact" w:val="240"/>
        </w:trPr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 </w:t>
            </w:r>
          </w:p>
        </w:tc>
        <w:tc>
          <w:tcPr>
            <w:tcW w:type="dxa" w:w="16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</w:tr>
      <w:tr>
        <w:trPr>
          <w:trHeight w:hRule="exact" w:val="254"/>
        </w:trPr>
        <w:tc>
          <w:tcPr>
            <w:tcW w:type="dxa" w:w="5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6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</w:tr>
      <w:tr>
        <w:trPr>
          <w:trHeight w:hRule="exact" w:val="240"/>
        </w:trPr>
        <w:tc>
          <w:tcPr>
            <w:tcW w:type="dxa" w:w="5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815 </w:t>
            </w:r>
          </w:p>
        </w:tc>
        <w:tc>
          <w:tcPr>
            <w:tcW w:type="dxa" w:w="16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827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Derivative 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4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forward contracts</w:t>
            </w:r>
          </w:p>
        </w:tc>
        <w:tc>
          <w:tcPr>
            <w:tcW w:type="dxa" w:w="4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(573) </w:t>
            </w:r>
          </w:p>
        </w:tc>
        <w:tc>
          <w:tcPr>
            <w:tcW w:type="dxa" w:w="5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(68)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(20)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(450) </w:t>
            </w:r>
          </w:p>
        </w:tc>
      </w:tr>
      <w:tr>
        <w:trPr>
          <w:trHeight w:hRule="exact" w:val="25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 xml:space="preserve"> b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(593) 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(518) </w:t>
            </w:r>
          </w:p>
        </w:tc>
      </w:tr>
      <w:tr>
        <w:trPr>
          <w:trHeight w:hRule="exact" w:val="226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Cash held in investment portfolio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232 </w:t>
            </w:r>
          </w:p>
        </w:tc>
        <w:tc>
          <w:tcPr>
            <w:tcW w:type="dxa" w:w="55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308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Receivable from investment securities traded and Other assets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3,680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438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Payable for investment securities purchased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(453)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(561) </w:t>
            </w:r>
          </w:p>
        </w:tc>
      </w:tr>
      <w:tr>
        <w:trPr>
          <w:trHeight w:hRule="exact" w:val="25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IFC PCRF payable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e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(461)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(344)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investment portfolio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102,653 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82,680 </w:t>
            </w:r>
          </w:p>
        </w:tc>
      </w:tr>
    </w:tbl>
    <w:p>
      <w:pPr>
        <w:autoSpaceDN w:val="0"/>
        <w:autoSpaceDE w:val="0"/>
        <w:widowControl/>
        <w:spacing w:line="178" w:lineRule="exact" w:before="278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There was no cash collateral received from counterparties under derivative agreements ($21 million—June 30, 2024).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Includes swaptions, options and futures contracts.</w:t>
      </w:r>
    </w:p>
    <w:p>
      <w:pPr>
        <w:autoSpaceDN w:val="0"/>
        <w:autoSpaceDE w:val="0"/>
        <w:widowControl/>
        <w:spacing w:line="178" w:lineRule="exact" w:before="62" w:after="0"/>
        <w:ind w:left="1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 c. This amount is included in Unrestricted cash under Due from banks on the Condensed Balance Sheets.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d. There were no liabilities related to short sales ($59 million—June 30, 2024).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e. Liabilities are included in Other liabilities on the Condensed Balance Sheets.</w:t>
      </w:r>
    </w:p>
    <w:p>
      <w:pPr>
        <w:autoSpaceDN w:val="0"/>
        <w:autoSpaceDE w:val="0"/>
        <w:widowControl/>
        <w:spacing w:line="222" w:lineRule="exact" w:before="9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composition of IBRD’s net investment portfolio is as follows: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C3: Net investment portfolio composition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77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16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Net investment portfolio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Liquid assets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97,895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78,792 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PEBP, PCRF and Other holdings</w:t>
            </w:r>
          </w:p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4,758 </w:t>
            </w:r>
          </w:p>
        </w:tc>
        <w:tc>
          <w:tcPr>
            <w:tcW w:type="dxa" w:w="5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3,888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102,653 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82,680 </w:t>
            </w:r>
          </w:p>
        </w:tc>
      </w:tr>
    </w:tbl>
    <w:p>
      <w:pPr>
        <w:autoSpaceDN w:val="0"/>
        <w:autoSpaceDE w:val="0"/>
        <w:widowControl/>
        <w:spacing w:line="230" w:lineRule="exact" w:before="432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uses derivative instruments to manage the associated currency and interest rate risks in the portfolio.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details of these instruments, see Note F—Derivative Instruments. After considering the effects of these derivatives,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IBRD’s investment portfolio is predominantly denominated in U.S. dollars.</w:t>
      </w:r>
    </w:p>
    <w:p>
      <w:pPr>
        <w:autoSpaceDN w:val="0"/>
        <w:autoSpaceDE w:val="0"/>
        <w:widowControl/>
        <w:spacing w:line="244" w:lineRule="exact" w:before="3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Commercial Credit Risk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 of risk management, IBRD is party to a variety of financial transactions, certain of which involve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elements of credit risk. Credit risk exposure represents the maximum potential loss due to possible non-performance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obligors and counterparties under the terms of the contracts. For all securities, IBRD limits trading to a list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authorized dealers and counterparties. In addition, IBRD may require collateral in connection with resale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swap agreements. The collateral serves to mitigate IBRD’s exposure to credit risk. </w:t>
      </w:r>
    </w:p>
    <w:p>
      <w:pPr>
        <w:autoSpaceDN w:val="0"/>
        <w:autoSpaceDE w:val="0"/>
        <w:widowControl/>
        <w:spacing w:line="224" w:lineRule="exact" w:before="1620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38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Swap Agreements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 risk is mitigated through the application of eligibility criteria and volume limits for transactions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individual counterparties and through the use of mark-to-market collateral arrangements for swap transactions.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may require collateral in the form of cash or other approved liquid securities from individual counterparties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order to mitigate its credit exposure.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has entered into master derivative agreements that contain legally enforceable close-out netting provisions.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agreements may further reduce the gross credit risk exposure related to the swaps. Credit risk with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subject to a master derivatives arrangement is further reduced under these agreements to the extent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and receipts with the counterparty are netted at settlement. The reduction in exposure as a result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netting provisions can vary due to the impact of changes in market conditions on existing and new transactions.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extent of the reduction in exposure may therefore change substantially within a short period of time following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balance sheet date. For more information on netting and offsetting provisions, see Note F—Derivative Instruments.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is a summary of the collateral received by IBRD for swap transactions: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C4: Collateral received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77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16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Collateral received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</w:t>
            </w:r>
          </w:p>
        </w:tc>
        <w:tc>
          <w:tcPr>
            <w:tcW w:type="dxa" w:w="6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0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348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9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collateral received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348 </w:t>
            </w:r>
          </w:p>
        </w:tc>
        <w:tc>
          <w:tcPr>
            <w:tcW w:type="dxa" w:w="6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343 </w:t>
            </w:r>
          </w:p>
        </w:tc>
      </w:tr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Collateral permitted to be repledged</w:t>
            </w:r>
          </w:p>
        </w:tc>
        <w:tc>
          <w:tcPr>
            <w:tcW w:type="dxa" w:w="64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348 </w:t>
            </w:r>
          </w:p>
        </w:tc>
        <w:tc>
          <w:tcPr>
            <w:tcW w:type="dxa" w:w="6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343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 of collateral repledged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</w:tr>
      <w:tr>
        <w:trPr>
          <w:trHeight w:hRule="exact" w:val="480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 of cash collateral invested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</w:tr>
    </w:tbl>
    <w:p>
      <w:pPr>
        <w:autoSpaceDN w:val="0"/>
        <w:autoSpaceDE w:val="0"/>
        <w:widowControl/>
        <w:spacing w:line="222" w:lineRule="exact" w:before="18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Securities Lending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may engage in securities lending and repurchases, against adequate collateral, as well as secured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reverse repurchases (resales) of government and agency obligations, corporate securities, ABS and Mortgage-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backed securities (MBS). These transactions, if any, are conducted under legally enforceable master netting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arrangements, which allow IBRD to reduce its gross credit exposure related to these transactions. IBRD presents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and repurchases, as well as resales, on a gross basis on the Condensed Balance Sheets.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March 31, 2025, there were no amounts that could potentially be offset as a result of legally enforceable master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netting arrangements ($59 million—June 30, 2024).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and repurchase agreements expose IBRD to several risks, including counterparty risk,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reinvestment risk, and risk of a collateral gap (due to increases or decrease in the fair value of collateral pledged).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has procedures in place to ensure that trading activity and balances under these agreements are below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predefined counterparty and maturity limits, and to actively manage net counterparty exposure, after collateral, using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daily market values. Whenever the collateral pledged by IBRD related to its borrowings under repurchase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and securities lending agreements declines in value, the transaction is re-priced as appropriate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returning cash or pledging additional collateral.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Transfers of securities by IBRD to counterparties are not accounted for as sales as the accounting criteria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treatment as a sale have not been met. Counterparties are permitted to repledge these securities until the repurchase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date.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liabilities relating to securities transferred under repurchase or securities lending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$1,097 million ($256 million—June 30, 2024) and there were no unsettled trades relating to repurchase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agreements (Nil —June 30, 2024). There were no replacement trades entered into in anticipation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maturing trades of a similar amount (Nil—June 30, 2024). As of March 31, 2025 an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 June 30, 2024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remaining contractual maturity of these agreements was up to 90 days and less than 30 days, respectively.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transferred were mainly comprised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government and agency obligations, equity securities and sovereign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debt.</w:t>
      </w:r>
    </w:p>
    <w:p>
      <w:pPr>
        <w:autoSpaceDN w:val="0"/>
        <w:autoSpaceDE w:val="0"/>
        <w:widowControl/>
        <w:spacing w:line="224" w:lineRule="exact" w:before="574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39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case of resale agreements, IBRD receives collateral in the form of liquid securities and is permitted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repledge these securities. While these transactions are legally considered to be true purchases and sales,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received are not recorded on IBRD’s Condensed Balance Sheets as the accounting criteria for treatment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sale have not been met. As of March 31, 2025 and June 30, 2024, there were no unsettled trades pertaining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purchased under resale agreements. For resale agreements, IBRD received securities with a fair value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$15 million as of March 31, 2025 ($79 million—June 30, 2024). As of March 31, 2025 and June 30, 2024, none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securities had been transferred under repurchase or security lending agreements.</w:t>
      </w:r>
    </w:p>
    <w:p>
      <w:pPr>
        <w:autoSpaceDN w:val="0"/>
        <w:autoSpaceDE w:val="0"/>
        <w:widowControl/>
        <w:spacing w:line="246" w:lineRule="exact" w:before="2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D—LOANS AND OTHER EXPOSURES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loans and other exposures (collectively, “exposures”) are generally made to, or guaranteed by,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countries of IBRD. In addition, IBRD may also make loans to the International Finance Corporation (I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FC),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affiliated organization, without any guarantee. Other exposures include signed loan commitments including Deferred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Drawdown Options (DDOs) and irrevocable commitments and guarantees. As of March 31, 2025, all of IBRD’s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 were reported at amortized cost.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uses derivatives to manage the currency risk and the interest rate risk between its loans and borrowings.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details regarding derivatives used in the loan portfolio, see Note F—Derivative Instruments.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excludes the interest receivable balance from the amortized cost basis and from the related disclosures.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Accrued interest receivable on loans of $3,729 million as of March 31, 2025 ($3,706 million—June 30, 2024)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included in Other assets on the Condensed Balance Sheets.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0.5% of IBRD’s loans were in nonaccrual status and related to two borrowers (Table D2 -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in nonaccrual status). The total accumulated provision for losses on loans in accrual status and nonaccrual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status accounted for 0.9% of the total loan portfolio. Based on IBRD’s internal credit quality indicators, the majority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loans outstanding are in the Medium-risk and High-risk classes. 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Credit Quality of Sovereign Exposures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an evaluation of IBRD’s exposures, management has determined that IBRD has one portfolio segment –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Sovereign Exposures. IBRD’s loans constitute the majority of the Sovereign Exposures portfolio segment.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country risk ratings are an assessment of its borrowers’ ability and willingness to repay IBRD on time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full. These ratings are internal credit quality indicators. Individual country risk ratings are derived on the basis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both quantitative and qualitative analysis. The components considered in the analysis can be grouped broadly into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eight categories: political risks; external debt and liquidity; fiscal policy and public debt burden; balance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risks; economic structure and growth prospects; monetary and exchange rate policy; financial sector risks;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corporate sector debt and vulnerabilities. The analysis also takes into account Environmental, Social,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Governance (ESG) factors. For the purpose of analyzing the risk characteristics of IBRD’s exposures,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 are grouped into three classes in accordance with assigned borrower risk ratings, which relate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likelihood of loss: Low, Medium and High-risk classes, as well as exposures in nonaccrual status.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borrowers’ country risk ratings are key determinants in the provision for losses. Country risk ratings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grouped into pools of borrowers with similar credit ratings for the calculation of the expected credit losses. Exposure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certain countries in accrual status may be individually assessed on the basis that they do not share common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characteristics with an existing pool of exposures. All exposures for countries in nonaccrual status are individually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assessed. Country risk ratings are determined in review meetings that take place several times a year. All countries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are reviewed at least once a year, or more frequently, if circumstances warrant, to determine the appropriate ratings.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assessment was also performed to determine whether a qualitative adjustment of the loan loss provision was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needed as of March 31, 2025, including consideration of global and macroeconomic events. Management concluded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that a qualitative adjustment beyond the regular application of IBRD’s loan loss provision framework was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warranted.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Overdue Amounts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considers loans to be past due when a borrower fails to make payment on any principal, interest or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charges due to IBRD on the dates provided in the contractual loan agreement.</w:t>
      </w:r>
    </w:p>
    <w:p>
      <w:pPr>
        <w:autoSpaceDN w:val="0"/>
        <w:autoSpaceDE w:val="0"/>
        <w:widowControl/>
        <w:spacing w:line="224" w:lineRule="exact" w:before="602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40     IBRD Condensed Quarterly Financial Statements: March 31, 2025 (Unaudited)</w:t>
      </w:r>
    </w:p>
    <w:p>
      <w:pPr>
        <w:sectPr>
          <w:pgSz w:w="12240" w:h="15840"/>
          <w:pgMar w:top="700" w:right="13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March 31, 2025, $3 million principal and $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2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million interest were overdue by more than three months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 in accrual status.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an aging analysis of the loans outstanding: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D1: Loan portfolio aging structure</w:t>
      </w:r>
    </w:p>
    <w:p>
      <w:pPr>
        <w:autoSpaceDN w:val="0"/>
        <w:autoSpaceDE w:val="0"/>
        <w:widowControl/>
        <w:spacing w:line="178" w:lineRule="exact" w:before="9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293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March 31, 2025</w:t>
      </w:r>
    </w:p>
    <w:p>
      <w:pPr>
        <w:autoSpaceDN w:val="0"/>
        <w:autoSpaceDE w:val="0"/>
        <w:widowControl/>
        <w:spacing w:line="180" w:lineRule="exact" w:before="64" w:after="6"/>
        <w:ind w:left="0" w:right="180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Total Past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14"/>
        </w:trPr>
        <w:tc>
          <w:tcPr>
            <w:tcW w:type="dxa" w:w="18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Days past due</w:t>
            </w:r>
          </w:p>
        </w:tc>
        <w:tc>
          <w:tcPr>
            <w:tcW w:type="dxa" w:w="1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7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Up to 45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46-60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61-90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91-180</w:t>
            </w:r>
          </w:p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 180</w:t>
            </w:r>
          </w:p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Due</w:t>
            </w:r>
          </w:p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Current</w:t>
            </w:r>
          </w:p>
        </w:tc>
        <w:tc>
          <w:tcPr>
            <w:tcW w:type="dxa" w:w="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trHeight w:hRule="exact" w:val="224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3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6,813 $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6,813 </w:t>
            </w:r>
          </w:p>
        </w:tc>
      </w:tr>
      <w:tr>
        <w:trPr>
          <w:trHeight w:hRule="exact" w:val="24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 128,434  128,434 </w:t>
            </w:r>
          </w:p>
        </w:tc>
      </w:tr>
      <w:tr>
        <w:trPr>
          <w:trHeight w:hRule="exact" w:val="254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High </w:t>
            </w:r>
          </w:p>
        </w:tc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13  138,895  138,908 </w:t>
            </w:r>
          </w:p>
        </w:tc>
      </w:tr>
      <w:tr>
        <w:trPr>
          <w:trHeight w:hRule="exact" w:val="226"/>
        </w:trPr>
        <w:tc>
          <w:tcPr>
            <w:tcW w:type="dxa" w:w="2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3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13  274,142  274,155 </w:t>
            </w:r>
          </w:p>
        </w:tc>
      </w:tr>
      <w:tr>
        <w:trPr>
          <w:trHeight w:hRule="exact" w:val="254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94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748 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811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601 </w:t>
            </w:r>
          </w:p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1,412 </w:t>
            </w:r>
          </w:p>
        </w:tc>
      </w:tr>
      <w:tr>
        <w:trPr>
          <w:trHeight w:hRule="exact" w:val="220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32 $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44 $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748 $ </w:t>
            </w:r>
          </w:p>
        </w:tc>
        <w:tc>
          <w:tcPr>
            <w:tcW w:type="dxa" w:w="223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824 $ 274,743 $ 275,567 </w:t>
            </w:r>
          </w:p>
        </w:tc>
      </w:tr>
    </w:tbl>
    <w:p>
      <w:pPr>
        <w:autoSpaceDN w:val="0"/>
        <w:autoSpaceDE w:val="0"/>
        <w:widowControl/>
        <w:spacing w:line="222" w:lineRule="exact" w:before="43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D1.1</w:t>
      </w:r>
    </w:p>
    <w:p>
      <w:pPr>
        <w:autoSpaceDN w:val="0"/>
        <w:autoSpaceDE w:val="0"/>
        <w:widowControl/>
        <w:spacing w:line="180" w:lineRule="exact" w:before="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0"/>
        <w:ind w:left="0" w:right="298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p>
      <w:pPr>
        <w:autoSpaceDN w:val="0"/>
        <w:autoSpaceDE w:val="0"/>
        <w:widowControl/>
        <w:spacing w:line="178" w:lineRule="exact" w:before="64" w:after="8"/>
        <w:ind w:left="0" w:right="180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Total Past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14"/>
        </w:trPr>
        <w:tc>
          <w:tcPr>
            <w:tcW w:type="dxa" w:w="18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Days past due</w:t>
            </w:r>
          </w:p>
        </w:tc>
        <w:tc>
          <w:tcPr>
            <w:tcW w:type="dxa" w:w="1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7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Up to 45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46-60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61-90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91-180</w:t>
            </w:r>
          </w:p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 180</w:t>
            </w:r>
          </w:p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Due</w:t>
            </w:r>
          </w:p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Current</w:t>
            </w:r>
          </w:p>
        </w:tc>
        <w:tc>
          <w:tcPr>
            <w:tcW w:type="dxa" w:w="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trHeight w:hRule="exact" w:val="228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6,935 $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6,935 </w:t>
            </w:r>
          </w:p>
        </w:tc>
      </w:tr>
      <w:tr>
        <w:trPr>
          <w:trHeight w:hRule="exact" w:val="24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3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 124,106  124,106 </w:t>
            </w:r>
          </w:p>
        </w:tc>
      </w:tr>
      <w:tr>
        <w:trPr>
          <w:trHeight w:hRule="exact" w:val="250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High </w:t>
            </w:r>
          </w:p>
        </w:tc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16  130,723  130,739 </w:t>
            </w:r>
          </w:p>
        </w:tc>
      </w:tr>
      <w:tr>
        <w:trPr>
          <w:trHeight w:hRule="exact" w:val="230"/>
        </w:trPr>
        <w:tc>
          <w:tcPr>
            <w:tcW w:type="dxa" w:w="2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4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23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16  261,764  261,780 </w:t>
            </w:r>
          </w:p>
        </w:tc>
      </w:tr>
      <w:tr>
        <w:trPr>
          <w:trHeight w:hRule="exact" w:val="250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94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661 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726 </w:t>
            </w:r>
          </w:p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684 </w:t>
            </w:r>
          </w:p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1,410 </w:t>
            </w:r>
          </w:p>
        </w:tc>
      </w:tr>
      <w:tr>
        <w:trPr>
          <w:trHeight w:hRule="exact" w:val="220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5 $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10 $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42 $ 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24 $ 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661 $ </w:t>
            </w:r>
          </w:p>
        </w:tc>
        <w:tc>
          <w:tcPr>
            <w:tcW w:type="dxa" w:w="223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742 $ 262,448 $ 263,190 </w:t>
            </w:r>
          </w:p>
        </w:tc>
      </w:tr>
    </w:tbl>
    <w:p>
      <w:pPr>
        <w:autoSpaceDN w:val="0"/>
        <w:autoSpaceDE w:val="0"/>
        <w:widowControl/>
        <w:spacing w:line="222" w:lineRule="exact" w:before="4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a summary of selected financial information related to loans in nonaccrual status: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D2: Loans in nonaccrual status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rHeight w:hRule="exact" w:val="256"/>
        </w:trPr>
        <w:tc>
          <w:tcPr>
            <w:tcW w:type="dxa" w:w="12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2" w:after="0"/>
              <w:ind w:left="0" w:right="20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Borrower</w:t>
            </w:r>
          </w:p>
        </w:tc>
        <w:tc>
          <w:tcPr>
            <w:tcW w:type="dxa" w:w="1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gridSpan w:val="2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0" w:after="0"/>
              <w:ind w:left="0" w:right="25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Recorded </w:t>
            </w:r>
          </w:p>
        </w:tc>
        <w:tc>
          <w:tcPr>
            <w:tcW w:type="dxa" w:w="132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2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Accumulated </w:t>
            </w:r>
          </w:p>
        </w:tc>
        <w:tc>
          <w:tcPr>
            <w:tcW w:type="dxa" w:w="13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Average </w:t>
            </w:r>
          </w:p>
        </w:tc>
        <w:tc>
          <w:tcPr>
            <w:tcW w:type="dxa" w:w="2600"/>
            <w:gridSpan w:val="5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Overdue amounts</w:t>
            </w:r>
          </w:p>
        </w:tc>
      </w:tr>
      <w:tr>
        <w:trPr>
          <w:trHeight w:hRule="exact" w:val="19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6" w:after="0"/>
              <w:ind w:left="2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Nonaccrual since</w:t>
            </w:r>
          </w:p>
        </w:tc>
        <w:tc>
          <w:tcPr>
            <w:tcW w:type="dxa" w:w="1452"/>
            <w:gridSpan w:val="2"/>
            <w:vMerge/>
            <w:tcBorders>
              <w:top w:sz="8.0" w:val="single" w:color="#000000"/>
            </w:tcBorders>
          </w:tcPr>
          <w:p/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23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Provision for </w:t>
            </w:r>
          </w:p>
        </w:tc>
        <w:tc>
          <w:tcPr>
            <w:tcW w:type="dxa" w:w="136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recorded </w:t>
            </w:r>
          </w:p>
        </w:tc>
        <w:tc>
          <w:tcPr>
            <w:tcW w:type="dxa" w:w="260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and </w:t>
            </w:r>
          </w:p>
        </w:tc>
      </w:tr>
      <w:tr>
        <w:trPr>
          <w:trHeight w:hRule="exact" w:val="213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investment</w:t>
            </w:r>
          </w:p>
        </w:tc>
        <w:tc>
          <w:tcPr>
            <w:tcW w:type="dxa" w:w="1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 losses</w:t>
            </w:r>
          </w:p>
        </w:tc>
        <w:tc>
          <w:tcPr>
            <w:tcW w:type="dxa" w:w="13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investment</w:t>
            </w:r>
          </w:p>
        </w:tc>
        <w:tc>
          <w:tcPr>
            <w:tcW w:type="dxa" w:w="123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Principal</w:t>
            </w:r>
          </w:p>
        </w:tc>
        <w:tc>
          <w:tcPr>
            <w:tcW w:type="dxa" w:w="137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3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Charges</w:t>
            </w:r>
          </w:p>
        </w:tc>
      </w:tr>
      <w:tr>
        <w:trPr>
          <w:trHeight w:hRule="exact" w:val="230"/>
        </w:trPr>
        <w:tc>
          <w:tcPr>
            <w:tcW w:type="dxa" w:w="12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Belarus</w:t>
            </w:r>
          </w:p>
        </w:tc>
        <w:tc>
          <w:tcPr>
            <w:tcW w:type="dxa" w:w="1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October 2022</w:t>
            </w:r>
          </w:p>
        </w:tc>
        <w:tc>
          <w:tcPr>
            <w:tcW w:type="dxa" w:w="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987 </w:t>
            </w:r>
          </w:p>
        </w:tc>
        <w:tc>
          <w:tcPr>
            <w:tcW w:type="dxa" w:w="7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984 </w:t>
            </w:r>
          </w:p>
        </w:tc>
        <w:tc>
          <w:tcPr>
            <w:tcW w:type="dxa" w:w="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386 </w:t>
            </w:r>
          </w:p>
        </w:tc>
        <w:tc>
          <w:tcPr>
            <w:tcW w:type="dxa" w:w="768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119 </w:t>
            </w:r>
          </w:p>
        </w:tc>
      </w:tr>
      <w:tr>
        <w:trPr>
          <w:trHeight w:hRule="exact" w:val="250"/>
        </w:trPr>
        <w:tc>
          <w:tcPr>
            <w:tcW w:type="dxa" w:w="12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Zimbabwe</w:t>
            </w:r>
          </w:p>
        </w:tc>
        <w:tc>
          <w:tcPr>
            <w:tcW w:type="dxa" w:w="1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October 2000</w:t>
            </w:r>
          </w:p>
        </w:tc>
        <w:tc>
          <w:tcPr>
            <w:tcW w:type="dxa" w:w="1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425 </w:t>
            </w:r>
          </w:p>
        </w:tc>
        <w:tc>
          <w:tcPr>
            <w:tcW w:type="dxa" w:w="1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  <w:tc>
          <w:tcPr>
            <w:tcW w:type="dxa" w:w="13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426 </w:t>
            </w:r>
          </w:p>
        </w:tc>
        <w:tc>
          <w:tcPr>
            <w:tcW w:type="dxa" w:w="123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425 </w:t>
            </w:r>
          </w:p>
        </w:tc>
        <w:tc>
          <w:tcPr>
            <w:tcW w:type="dxa" w:w="137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710 </w:t>
            </w:r>
          </w:p>
        </w:tc>
      </w:tr>
      <w:tr>
        <w:trPr>
          <w:trHeight w:hRule="exact" w:val="220"/>
        </w:trPr>
        <w:tc>
          <w:tcPr>
            <w:tcW w:type="dxa" w:w="278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- March 31, 2025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1,412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315 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1,410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811 </w:t>
            </w:r>
          </w:p>
        </w:tc>
        <w:tc>
          <w:tcPr>
            <w:tcW w:type="dxa" w:w="76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829 </w:t>
            </w:r>
          </w:p>
        </w:tc>
      </w:tr>
      <w:tr>
        <w:trPr>
          <w:trHeight w:hRule="exact" w:val="240"/>
        </w:trPr>
        <w:tc>
          <w:tcPr>
            <w:tcW w:type="dxa" w:w="278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- June 30, 2024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1,410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324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1,418 </w:t>
            </w:r>
          </w:p>
        </w:tc>
        <w:tc>
          <w:tcPr>
            <w:tcW w:type="dxa" w:w="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726</w:t>
            </w:r>
          </w:p>
        </w:tc>
        <w:tc>
          <w:tcPr>
            <w:tcW w:type="dxa" w:w="70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66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767</w:t>
            </w:r>
          </w:p>
        </w:tc>
      </w:tr>
    </w:tbl>
    <w:p>
      <w:pPr>
        <w:autoSpaceDN w:val="0"/>
        <w:autoSpaceDE w:val="0"/>
        <w:widowControl/>
        <w:spacing w:line="240" w:lineRule="exact" w:before="41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three and nine months ended March 31, 2025, no new loans were placed in nonaccrual status or restored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accrual status.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three and nine months ended March 31, 2025, interest and other revenue not recognized as a result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being in nonaccrual status was $18 million and $59 million, respectively ($21 million and $60 million– three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nine months ended March 31, 2024).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during the three and nine months ended March 31, 2025, no interest income was recognized on loans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nonaccrual status (nil and $2 million —three and nine months ended March 31, 2024). Loan income from countries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nonaccrual status is recognized upon receipt of payment.</w:t>
      </w:r>
    </w:p>
    <w:p>
      <w:pPr>
        <w:autoSpaceDN w:val="0"/>
        <w:autoSpaceDE w:val="0"/>
        <w:widowControl/>
        <w:spacing w:line="224" w:lineRule="exact" w:before="884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41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three and nine months ended March 31, 2025, there were no Catastrophe Deferred Drawdown Options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(CAT DDOs) converted to term loans (Nil and $500 million—three and nine months ended March 31, 2024)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considers the signature date of a loan agreement as the best indicator of the decision point in the origination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process, rather than the disbursement date. The tables below disclose the outstanding balances of IBRD’s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portfolio, classified by the year the loan agreement was signed.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D3: Loan portfolio vintage disclosure</w:t>
      </w:r>
    </w:p>
    <w:p>
      <w:pPr>
        <w:autoSpaceDN w:val="0"/>
        <w:autoSpaceDE w:val="0"/>
        <w:widowControl/>
        <w:spacing w:line="178" w:lineRule="exact" w:before="9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316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March 31, 2025</w:t>
      </w:r>
    </w:p>
    <w:p>
      <w:pPr>
        <w:autoSpaceDN w:val="0"/>
        <w:autoSpaceDE w:val="0"/>
        <w:widowControl/>
        <w:spacing w:line="178" w:lineRule="exact" w:before="62" w:after="20"/>
        <w:ind w:left="0" w:right="422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of Origination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86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00"/>
        </w:trPr>
        <w:tc>
          <w:tcPr>
            <w:tcW w:type="dxa" w:w="69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7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7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7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  <w:tc>
          <w:tcPr>
            <w:tcW w:type="dxa" w:w="7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2021</w:t>
            </w:r>
          </w:p>
        </w:tc>
        <w:tc>
          <w:tcPr>
            <w:tcW w:type="dxa" w:w="8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90" w:after="0"/>
              <w:ind w:left="0" w:right="1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Prior </w:t>
            </w:r>
          </w:p>
        </w:tc>
        <w:tc>
          <w:tcPr>
            <w:tcW w:type="dxa" w:w="8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2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9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10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2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20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</w:p>
        </w:tc>
      </w:tr>
      <w:tr>
        <w:trPr>
          <w:trHeight w:hRule="exact" w:val="18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Disbursed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Converted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as of </w:t>
            </w:r>
          </w:p>
        </w:tc>
      </w:tr>
      <w:tr>
        <w:trPr>
          <w:trHeight w:hRule="exact" w:val="20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4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and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 Term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March 31, </w:t>
            </w:r>
          </w:p>
        </w:tc>
      </w:tr>
      <w:tr>
        <w:trPr>
          <w:trHeight w:hRule="exact" w:val="226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Years</w:t>
            </w:r>
          </w:p>
        </w:tc>
        <w:tc>
          <w:tcPr>
            <w:tcW w:type="dxa" w:w="8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Revolving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</w:t>
            </w:r>
          </w:p>
        </w:tc>
        <w:tc>
          <w:tcPr>
            <w:tcW w:type="dxa" w:w="10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</w:tr>
    </w:tbl>
    <w:p>
      <w:pPr>
        <w:autoSpaceDN w:val="0"/>
        <w:autoSpaceDE w:val="0"/>
        <w:widowControl/>
        <w:spacing w:line="180" w:lineRule="exact" w:before="2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</w:tblGrid>
      <w:tr>
        <w:trPr>
          <w:trHeight w:hRule="exact" w:val="234"/>
        </w:trPr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 </w:t>
            </w:r>
          </w:p>
        </w:tc>
        <w:tc>
          <w:tcPr>
            <w:tcW w:type="dxa" w:w="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250 </w:t>
            </w:r>
          </w:p>
        </w:tc>
        <w:tc>
          <w:tcPr>
            <w:tcW w:type="dxa" w:w="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$ 6,262 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3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3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6,813 </w:t>
            </w:r>
          </w:p>
        </w:tc>
      </w:tr>
      <w:tr>
        <w:trPr>
          <w:trHeight w:hRule="exact" w:val="240"/>
        </w:trPr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7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6,155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8,262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8,785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7,266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10,449 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84,578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623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2,316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128,434 </w:t>
            </w:r>
          </w:p>
        </w:tc>
      </w:tr>
      <w:tr>
        <w:trPr>
          <w:trHeight w:hRule="exact" w:val="246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High</w:t>
            </w:r>
          </w:p>
        </w:tc>
        <w:tc>
          <w:tcPr>
            <w:tcW w:type="dxa" w:w="72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6,511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14,041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8,020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12,469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10,694 </w:t>
            </w:r>
          </w:p>
        </w:tc>
        <w:tc>
          <w:tcPr>
            <w:tcW w:type="dxa" w:w="8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86,281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891 </w:t>
            </w:r>
          </w:p>
        </w:tc>
        <w:tc>
          <w:tcPr>
            <w:tcW w:type="dxa" w:w="10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138,908 </w:t>
            </w:r>
          </w:p>
        </w:tc>
      </w:tr>
      <w:tr>
        <w:trPr>
          <w:trHeight w:hRule="exact" w:val="234"/>
        </w:trPr>
        <w:tc>
          <w:tcPr>
            <w:tcW w:type="dxa" w:w="20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72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12,680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22,590 </w:t>
            </w:r>
          </w:p>
        </w:tc>
        <w:tc>
          <w:tcPr>
            <w:tcW w:type="dxa" w:w="72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16,805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19,985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21,143 </w:t>
            </w:r>
          </w:p>
        </w:tc>
        <w:tc>
          <w:tcPr>
            <w:tcW w:type="dxa" w:w="8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177,121 </w:t>
            </w:r>
          </w:p>
        </w:tc>
        <w:tc>
          <w:tcPr>
            <w:tcW w:type="dxa" w:w="3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624 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3,207 </w:t>
            </w:r>
          </w:p>
        </w:tc>
        <w:tc>
          <w:tcPr>
            <w:tcW w:type="dxa" w:w="100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274,155 </w:t>
            </w:r>
          </w:p>
        </w:tc>
      </w:tr>
      <w:tr>
        <w:trPr>
          <w:trHeight w:hRule="exact" w:val="246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72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1,412 </w:t>
            </w:r>
          </w:p>
        </w:tc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0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1,412 </w:t>
            </w:r>
          </w:p>
        </w:tc>
      </w:tr>
      <w:tr>
        <w:trPr>
          <w:trHeight w:hRule="exact" w:val="220"/>
        </w:trPr>
        <w:tc>
          <w:tcPr>
            <w:tcW w:type="dxa" w:w="2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474"/>
            <w:gridSpan w:val="11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$ 12,680 $ 22,590 $ 16,805 $ 19,985 $ 21,143 $ 178,533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624 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3,207 </w:t>
            </w:r>
          </w:p>
        </w:tc>
        <w:tc>
          <w:tcPr>
            <w:tcW w:type="dxa" w:w="100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$ 275,567 </w:t>
            </w:r>
          </w:p>
        </w:tc>
      </w:tr>
    </w:tbl>
    <w:p>
      <w:pPr>
        <w:autoSpaceDN w:val="0"/>
        <w:autoSpaceDE w:val="0"/>
        <w:widowControl/>
        <w:spacing w:line="222" w:lineRule="exact" w:before="4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D3.1</w:t>
      </w:r>
    </w:p>
    <w:p>
      <w:pPr>
        <w:autoSpaceDN w:val="0"/>
        <w:autoSpaceDE w:val="0"/>
        <w:widowControl/>
        <w:spacing w:line="180" w:lineRule="exact" w:before="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0"/>
        <w:ind w:left="0" w:right="320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p>
      <w:pPr>
        <w:autoSpaceDN w:val="0"/>
        <w:autoSpaceDE w:val="0"/>
        <w:widowControl/>
        <w:spacing w:line="180" w:lineRule="exact" w:before="60" w:after="20"/>
        <w:ind w:left="0" w:right="422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of Origination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86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94"/>
        </w:trPr>
        <w:tc>
          <w:tcPr>
            <w:tcW w:type="dxa" w:w="7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69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7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  <w:tc>
          <w:tcPr>
            <w:tcW w:type="dxa" w:w="7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2021</w:t>
            </w:r>
          </w:p>
        </w:tc>
        <w:tc>
          <w:tcPr>
            <w:tcW w:type="dxa" w:w="7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2020</w:t>
            </w:r>
          </w:p>
        </w:tc>
        <w:tc>
          <w:tcPr>
            <w:tcW w:type="dxa" w:w="8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6" w:after="0"/>
              <w:ind w:left="0" w:right="1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Prior </w:t>
            </w:r>
          </w:p>
        </w:tc>
        <w:tc>
          <w:tcPr>
            <w:tcW w:type="dxa" w:w="8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22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9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2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10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22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20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</w:p>
        </w:tc>
      </w:tr>
      <w:tr>
        <w:trPr>
          <w:trHeight w:hRule="exact" w:val="20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Disbursed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Converted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as of </w:t>
            </w:r>
          </w:p>
        </w:tc>
      </w:tr>
      <w:tr>
        <w:trPr>
          <w:trHeight w:hRule="exact" w:val="18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24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and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 Term </w:t>
            </w:r>
          </w:p>
        </w:tc>
        <w:tc>
          <w:tcPr>
            <w:tcW w:type="dxa" w:w="10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21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June 30, </w:t>
            </w:r>
          </w:p>
        </w:tc>
      </w:tr>
      <w:tr>
        <w:trPr>
          <w:trHeight w:hRule="exact" w:val="23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Years</w:t>
            </w:r>
          </w:p>
        </w:tc>
        <w:tc>
          <w:tcPr>
            <w:tcW w:type="dxa" w:w="8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Revolving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</w:t>
            </w:r>
          </w:p>
        </w:tc>
        <w:tc>
          <w:tcPr>
            <w:tcW w:type="dxa" w:w="10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</w:tblGrid>
      <w:tr>
        <w:trPr>
          <w:trHeight w:hRule="exact" w:val="228"/>
        </w:trPr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150 </w:t>
            </w:r>
          </w:p>
        </w:tc>
        <w:tc>
          <w:tcPr>
            <w:tcW w:type="dxa" w:w="3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250 </w:t>
            </w:r>
          </w:p>
        </w:tc>
        <w:tc>
          <w:tcPr>
            <w:tcW w:type="dxa" w:w="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$ 6,535 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3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3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6,935 </w:t>
            </w:r>
          </w:p>
        </w:tc>
      </w:tr>
      <w:tr>
        <w:trPr>
          <w:trHeight w:hRule="exact" w:val="240"/>
        </w:trPr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7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7,885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8,445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6,893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10,126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8,421 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79,700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302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2,334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124,106 </w:t>
            </w:r>
          </w:p>
        </w:tc>
      </w:tr>
      <w:tr>
        <w:trPr>
          <w:trHeight w:hRule="exact" w:val="250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High</w:t>
            </w:r>
          </w:p>
        </w:tc>
        <w:tc>
          <w:tcPr>
            <w:tcW w:type="dxa" w:w="72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11,645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7,402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11,897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9,951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8,486 </w:t>
            </w:r>
          </w:p>
        </w:tc>
        <w:tc>
          <w:tcPr>
            <w:tcW w:type="dxa" w:w="8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80,454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52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903 </w:t>
            </w:r>
          </w:p>
        </w:tc>
        <w:tc>
          <w:tcPr>
            <w:tcW w:type="dxa" w:w="10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130,739 </w:t>
            </w:r>
          </w:p>
        </w:tc>
      </w:tr>
      <w:tr>
        <w:trPr>
          <w:trHeight w:hRule="exact" w:val="230"/>
        </w:trPr>
        <w:tc>
          <w:tcPr>
            <w:tcW w:type="dxa" w:w="20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72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19,680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15,847 </w:t>
            </w:r>
          </w:p>
        </w:tc>
        <w:tc>
          <w:tcPr>
            <w:tcW w:type="dxa" w:w="72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19,040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20,077 </w:t>
            </w:r>
          </w:p>
        </w:tc>
        <w:tc>
          <w:tcPr>
            <w:tcW w:type="dxa" w:w="7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16,907 </w:t>
            </w:r>
          </w:p>
        </w:tc>
        <w:tc>
          <w:tcPr>
            <w:tcW w:type="dxa" w:w="8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166,689 </w:t>
            </w:r>
          </w:p>
        </w:tc>
        <w:tc>
          <w:tcPr>
            <w:tcW w:type="dxa" w:w="3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303 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3,237 </w:t>
            </w:r>
          </w:p>
        </w:tc>
        <w:tc>
          <w:tcPr>
            <w:tcW w:type="dxa" w:w="100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261,780 </w:t>
            </w:r>
          </w:p>
        </w:tc>
      </w:tr>
      <w:tr>
        <w:trPr>
          <w:trHeight w:hRule="exact" w:val="250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72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115 </w:t>
            </w:r>
          </w:p>
        </w:tc>
        <w:tc>
          <w:tcPr>
            <w:tcW w:type="dxa" w:w="8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1,295 </w:t>
            </w:r>
          </w:p>
        </w:tc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00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1,410 </w:t>
            </w:r>
          </w:p>
        </w:tc>
      </w:tr>
      <w:tr>
        <w:trPr>
          <w:trHeight w:hRule="exact" w:val="220"/>
        </w:trPr>
        <w:tc>
          <w:tcPr>
            <w:tcW w:type="dxa" w:w="2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474"/>
            <w:gridSpan w:val="11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$ 19,680 $ 15,847 $ 19,040 $ 20,077 $ 17,022 $ 167,984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303 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3,237 </w:t>
            </w:r>
          </w:p>
        </w:tc>
        <w:tc>
          <w:tcPr>
            <w:tcW w:type="dxa" w:w="100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$ 263,190 </w:t>
            </w:r>
          </w:p>
        </w:tc>
      </w:tr>
    </w:tbl>
    <w:p>
      <w:pPr>
        <w:autoSpaceDN w:val="0"/>
        <w:autoSpaceDE w:val="0"/>
        <w:widowControl/>
        <w:spacing w:line="244" w:lineRule="exact" w:before="4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Accumulated Provision for Losses on Loans and Other Exposures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determines the appropriate level of accumulated provision for losses, which reflects the expected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losses inherent in IBRD’s exposures.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Delays in receiving loan payments result in economic losses to IBRD since it does not charge additional interest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any overdue interest or loan charges. These economic losses are estimated as the difference between the present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value of payments of interest and charges made according to the related loan's contractual terms and the present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value of its expected future cash flows. It is IBRD’s practice not to write off its loans. Historically, all contractual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obligations associated with exposures in nonaccrual status were eventually cleared, thereby allowing borrowers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emerge from nonaccrual status. To date, no loans have been written off by IBRD.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reassesses the adequacy of the accumulated provision on a quarterly basis and adjustments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accumulated provision are recorded as a charge to or release of provision in the Condensed Statements of Income.</w:t>
      </w:r>
    </w:p>
    <w:p>
      <w:pPr>
        <w:autoSpaceDN w:val="0"/>
        <w:autoSpaceDE w:val="0"/>
        <w:widowControl/>
        <w:spacing w:line="224" w:lineRule="exact" w:before="840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42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Changes to the accumulated provision for losses on loans and other exposures are summarized below:</w:t>
      </w:r>
    </w:p>
    <w:p>
      <w:pPr>
        <w:autoSpaceDN w:val="0"/>
        <w:autoSpaceDE w:val="0"/>
        <w:widowControl/>
        <w:spacing w:line="220" w:lineRule="exact" w:before="7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D4: Accumulated provision</w:t>
      </w:r>
    </w:p>
    <w:p>
      <w:pPr>
        <w:autoSpaceDN w:val="0"/>
        <w:autoSpaceDE w:val="0"/>
        <w:widowControl/>
        <w:spacing w:line="178" w:lineRule="exact" w:before="9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228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March 31,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203"/>
        <w:gridCol w:w="1203"/>
        <w:gridCol w:w="1203"/>
        <w:gridCol w:w="1203"/>
        <w:gridCol w:w="1203"/>
        <w:gridCol w:w="1203"/>
        <w:gridCol w:w="1203"/>
        <w:gridCol w:w="1203"/>
      </w:tblGrid>
      <w:tr>
        <w:trPr>
          <w:trHeight w:hRule="exact" w:val="24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 outstanding</w:t>
            </w:r>
          </w:p>
        </w:tc>
        <w:tc>
          <w:tcPr>
            <w:tcW w:type="dxa" w:w="15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 commitments</w:t>
            </w:r>
          </w:p>
        </w:tc>
        <w:tc>
          <w:tcPr>
            <w:tcW w:type="dxa" w:w="8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12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beginning of the fiscal year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2,360 </w:t>
            </w:r>
          </w:p>
        </w:tc>
        <w:tc>
          <w:tcPr>
            <w:tcW w:type="dxa" w:w="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514 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  <w:tc>
          <w:tcPr>
            <w:tcW w:type="dxa" w:w="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$ 2,966 </w:t>
            </w:r>
          </w:p>
        </w:tc>
      </w:tr>
      <w:tr>
        <w:trPr>
          <w:trHeight w:hRule="exact" w:val="240"/>
        </w:trPr>
        <w:tc>
          <w:tcPr>
            <w:tcW w:type="dxa" w:w="4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Provision, net - charge (release) </w:t>
            </w:r>
          </w:p>
        </w:tc>
        <w:tc>
          <w:tcPr>
            <w:tcW w:type="dxa" w:w="14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14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5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8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</w:tr>
      <w:tr>
        <w:trPr>
          <w:trHeight w:hRule="exact" w:val="22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end of the period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2,385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514 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$ 2,992 </w:t>
            </w:r>
          </w:p>
        </w:tc>
      </w:tr>
    </w:tbl>
    <w:p>
      <w:pPr>
        <w:autoSpaceDN w:val="0"/>
        <w:autoSpaceDE w:val="0"/>
        <w:widowControl/>
        <w:spacing w:line="178" w:lineRule="exact" w:before="4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Composed of accumulated provision for 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3209"/>
        <w:gridCol w:w="3209"/>
        <w:gridCol w:w="3209"/>
      </w:tblGrid>
      <w:tr>
        <w:trPr>
          <w:trHeight w:hRule="exact" w:val="238"/>
        </w:trPr>
        <w:tc>
          <w:tcPr>
            <w:tcW w:type="dxa" w:w="4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2,070 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3209"/>
            <w:vMerge/>
            <w:tcBorders>
              <w:bottom w:sz="8.0" w:val="single" w:color="#000000"/>
            </w:tcBorders>
          </w:tcPr>
          <w:p/>
        </w:tc>
        <w:tc>
          <w:tcPr>
            <w:tcW w:type="dxa" w:w="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315 </w:t>
            </w:r>
          </w:p>
        </w:tc>
      </w:tr>
      <w:tr>
        <w:trPr>
          <w:trHeight w:hRule="exact" w:val="22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2,385 </w:t>
            </w:r>
          </w:p>
        </w:tc>
      </w:tr>
    </w:tbl>
    <w:p>
      <w:pPr>
        <w:autoSpaceDN w:val="0"/>
        <w:autoSpaceDE w:val="0"/>
        <w:widowControl/>
        <w:spacing w:line="178" w:lineRule="exact" w:before="5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Loans, end of the period: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09"/>
        <w:gridCol w:w="3209"/>
        <w:gridCol w:w="3209"/>
      </w:tblGrid>
      <w:tr>
        <w:trPr>
          <w:trHeight w:hRule="exact" w:val="238"/>
        </w:trPr>
        <w:tc>
          <w:tcPr>
            <w:tcW w:type="dxa" w:w="43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274,155 </w:t>
            </w:r>
          </w:p>
        </w:tc>
      </w:tr>
      <w:tr>
        <w:trPr>
          <w:trHeight w:hRule="exact" w:val="240"/>
        </w:trPr>
        <w:tc>
          <w:tcPr>
            <w:tcW w:type="dxa" w:w="43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3209"/>
            <w:vMerge/>
            <w:tcBorders>
              <w:bottom w:sz="8.0" w:val="single" w:color="#000000"/>
            </w:tcBorders>
          </w:tcPr>
          <w:p/>
        </w:tc>
        <w:tc>
          <w:tcPr>
            <w:tcW w:type="dxa" w:w="1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1,412 </w:t>
            </w:r>
          </w:p>
        </w:tc>
      </w:tr>
      <w:tr>
        <w:trPr>
          <w:trHeight w:hRule="exact" w:val="220"/>
        </w:trPr>
        <w:tc>
          <w:tcPr>
            <w:tcW w:type="dxa" w:w="4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loans outstanding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275,567 </w:t>
            </w:r>
          </w:p>
        </w:tc>
      </w:tr>
    </w:tbl>
    <w:p>
      <w:pPr>
        <w:autoSpaceDN w:val="0"/>
        <w:autoSpaceDE w:val="0"/>
        <w:widowControl/>
        <w:spacing w:line="220" w:lineRule="exact" w:before="43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D4.1:</w:t>
      </w:r>
    </w:p>
    <w:p>
      <w:pPr>
        <w:autoSpaceDN w:val="0"/>
        <w:autoSpaceDE w:val="0"/>
        <w:widowControl/>
        <w:spacing w:line="178" w:lineRule="exact" w:before="9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233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203"/>
        <w:gridCol w:w="1203"/>
        <w:gridCol w:w="1203"/>
        <w:gridCol w:w="1203"/>
        <w:gridCol w:w="1203"/>
        <w:gridCol w:w="1203"/>
        <w:gridCol w:w="1203"/>
        <w:gridCol w:w="1203"/>
      </w:tblGrid>
      <w:tr>
        <w:trPr>
          <w:trHeight w:hRule="exact" w:val="24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 outstanding</w:t>
            </w:r>
          </w:p>
        </w:tc>
        <w:tc>
          <w:tcPr>
            <w:tcW w:type="dxa" w:w="15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 commitments</w:t>
            </w:r>
          </w:p>
        </w:tc>
        <w:tc>
          <w:tcPr>
            <w:tcW w:type="dxa" w:w="8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12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beginning of the fiscal year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2,336 </w:t>
            </w:r>
          </w:p>
        </w:tc>
        <w:tc>
          <w:tcPr>
            <w:tcW w:type="dxa" w:w="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452 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  <w:tc>
          <w:tcPr>
            <w:tcW w:type="dxa" w:w="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$ 2,878 </w:t>
            </w:r>
          </w:p>
        </w:tc>
      </w:tr>
      <w:tr>
        <w:trPr>
          <w:trHeight w:hRule="exact" w:val="240"/>
        </w:trPr>
        <w:tc>
          <w:tcPr>
            <w:tcW w:type="dxa" w:w="4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Provision, net - charge</w:t>
            </w:r>
          </w:p>
        </w:tc>
        <w:tc>
          <w:tcPr>
            <w:tcW w:type="dxa" w:w="14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94 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14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  <w:tc>
          <w:tcPr>
            <w:tcW w:type="dxa" w:w="15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8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</w:tr>
      <w:tr>
        <w:trPr>
          <w:trHeight w:hRule="exact" w:val="22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end of the fiscal year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2,360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514 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  <w:tc>
          <w:tcPr>
            <w:tcW w:type="dxa" w:w="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$ 2,966 </w:t>
            </w:r>
          </w:p>
        </w:tc>
      </w:tr>
    </w:tbl>
    <w:p>
      <w:pPr>
        <w:autoSpaceDN w:val="0"/>
        <w:autoSpaceDE w:val="0"/>
        <w:widowControl/>
        <w:spacing w:line="178" w:lineRule="exact" w:before="4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Composed of accumulated provision for 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3209"/>
        <w:gridCol w:w="3209"/>
        <w:gridCol w:w="3209"/>
      </w:tblGrid>
      <w:tr>
        <w:trPr>
          <w:trHeight w:hRule="exact" w:val="238"/>
        </w:trPr>
        <w:tc>
          <w:tcPr>
            <w:tcW w:type="dxa" w:w="4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2,036 </w:t>
            </w:r>
          </w:p>
        </w:tc>
      </w:tr>
      <w:tr>
        <w:trPr>
          <w:trHeight w:hRule="exact" w:val="240"/>
        </w:trPr>
        <w:tc>
          <w:tcPr>
            <w:tcW w:type="dxa" w:w="4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3209"/>
            <w:vMerge/>
            <w:tcBorders>
              <w:bottom w:sz="8.0" w:val="single" w:color="#000000"/>
            </w:tcBorders>
          </w:tcPr>
          <w:p/>
        </w:tc>
        <w:tc>
          <w:tcPr>
            <w:tcW w:type="dxa" w:w="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324 </w:t>
            </w:r>
          </w:p>
        </w:tc>
      </w:tr>
      <w:tr>
        <w:trPr>
          <w:trHeight w:hRule="exact" w:val="220"/>
        </w:trPr>
        <w:tc>
          <w:tcPr>
            <w:tcW w:type="dxa" w:w="43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2,360 </w:t>
            </w:r>
          </w:p>
        </w:tc>
      </w:tr>
    </w:tbl>
    <w:p>
      <w:pPr>
        <w:autoSpaceDN w:val="0"/>
        <w:autoSpaceDE w:val="0"/>
        <w:widowControl/>
        <w:spacing w:line="178" w:lineRule="exact" w:before="5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Loans, end of the fiscal year: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09"/>
        <w:gridCol w:w="3209"/>
        <w:gridCol w:w="3209"/>
      </w:tblGrid>
      <w:tr>
        <w:trPr>
          <w:trHeight w:hRule="exact" w:val="238"/>
        </w:trPr>
        <w:tc>
          <w:tcPr>
            <w:tcW w:type="dxa" w:w="43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261,780 </w:t>
            </w:r>
          </w:p>
        </w:tc>
      </w:tr>
      <w:tr>
        <w:trPr>
          <w:trHeight w:hRule="exact" w:val="240"/>
        </w:trPr>
        <w:tc>
          <w:tcPr>
            <w:tcW w:type="dxa" w:w="43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3209"/>
            <w:vMerge/>
            <w:tcBorders>
              <w:bottom w:sz="8.0" w:val="single" w:color="#000000"/>
            </w:tcBorders>
          </w:tcPr>
          <w:p/>
        </w:tc>
        <w:tc>
          <w:tcPr>
            <w:tcW w:type="dxa" w:w="1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1,410 </w:t>
            </w:r>
          </w:p>
        </w:tc>
      </w:tr>
      <w:tr>
        <w:trPr>
          <w:trHeight w:hRule="exact" w:val="220"/>
        </w:trPr>
        <w:tc>
          <w:tcPr>
            <w:tcW w:type="dxa" w:w="4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loans outstanding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263,190 </w:t>
            </w:r>
          </w:p>
        </w:tc>
      </w:tr>
    </w:tbl>
    <w:p>
      <w:pPr>
        <w:autoSpaceDN w:val="0"/>
        <w:autoSpaceDE w:val="0"/>
        <w:widowControl/>
        <w:spacing w:line="192" w:lineRule="exact" w:before="300" w:after="0"/>
        <w:ind w:left="242" w:right="576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Primarily relates to guarantees and does not include recoverable assets relating to certain guarantees received (including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guarantees received under the Exposure Exchange Agreements) or the benefit of credit enhancements that are derivatives. </w:t>
      </w:r>
      <w:r>
        <w:rPr>
          <w:rFonts w:ascii="Arial" w:hAnsi="Arial" w:eastAsia="Arial"/>
          <w:b w:val="0"/>
          <w:i/>
          <w:color w:val="000000"/>
          <w:sz w:val="16"/>
        </w:rPr>
        <w:t>For more details, see Guarantees section.</w:t>
      </w:r>
    </w:p>
    <w:p>
      <w:pPr>
        <w:autoSpaceDN w:val="0"/>
        <w:autoSpaceDE w:val="0"/>
        <w:widowControl/>
        <w:spacing w:line="180" w:lineRule="exact" w:before="280" w:after="20"/>
        <w:ind w:left="0" w:right="2842" w:firstLine="0"/>
        <w:jc w:val="right"/>
      </w:pPr>
      <w:r>
        <w:rPr>
          <w:rFonts w:ascii="Arial" w:hAnsi="Arial" w:eastAsia="Arial"/>
          <w:b/>
          <w:i/>
          <w:color w:val="000000"/>
          <w:sz w:val="16"/>
        </w:rPr>
        <w:t>Reported 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986.0" w:type="dxa"/>
      </w:tblPr>
      <w:tblGrid>
        <w:gridCol w:w="4813"/>
        <w:gridCol w:w="4813"/>
      </w:tblGrid>
      <w:tr>
        <w:trPr>
          <w:trHeight w:hRule="exact" w:val="240"/>
        </w:trPr>
        <w:tc>
          <w:tcPr>
            <w:tcW w:type="dxa" w:w="29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64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6"/>
              </w:rPr>
              <w:t>Condensed Balance Sheets</w:t>
            </w:r>
          </w:p>
        </w:tc>
        <w:tc>
          <w:tcPr>
            <w:tcW w:type="dxa" w:w="36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510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6"/>
              </w:rPr>
              <w:t>Condensed Statements of Income</w:t>
            </w:r>
          </w:p>
        </w:tc>
      </w:tr>
    </w:tbl>
    <w:p>
      <w:pPr>
        <w:autoSpaceDN w:val="0"/>
        <w:autoSpaceDE w:val="0"/>
        <w:widowControl/>
        <w:spacing w:line="178" w:lineRule="exact" w:before="14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Accumulated Provision for 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3209"/>
        <w:gridCol w:w="3209"/>
        <w:gridCol w:w="3209"/>
      </w:tblGrid>
      <w:tr>
        <w:trPr>
          <w:trHeight w:hRule="exact" w:val="220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outstanding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Accumulated provision for loan losses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 for losses on loans and other exposures</w:t>
            </w:r>
          </w:p>
        </w:tc>
      </w:tr>
      <w:tr>
        <w:trPr>
          <w:trHeight w:hRule="exact" w:val="236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commitments and other 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3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liabilities</w:t>
            </w:r>
          </w:p>
        </w:tc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 for losses on loans and other exposures</w:t>
            </w:r>
          </w:p>
        </w:tc>
      </w:tr>
    </w:tbl>
    <w:p>
      <w:pPr>
        <w:autoSpaceDN w:val="0"/>
        <w:autoSpaceDE w:val="0"/>
        <w:widowControl/>
        <w:spacing w:line="178" w:lineRule="exact" w:before="6" w:after="0"/>
        <w:ind w:left="1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exposures</w:t>
      </w:r>
    </w:p>
    <w:p>
      <w:pPr>
        <w:autoSpaceDN w:val="0"/>
        <w:autoSpaceDE w:val="0"/>
        <w:widowControl/>
        <w:spacing w:line="240" w:lineRule="exact" w:before="442" w:after="0"/>
        <w:ind w:left="10" w:right="206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accumulated provision for losses on loan and other exposures as of March 31, 2025 was $2,992 million,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compared to $2,966 million as of June 30, 2024. The increase of $26 million in the accumulated provision for losses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loan and other exposures is primarily driven by the increase in exposure and foreign currency translation losses,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partially offset by a decrease in severity. </w:t>
      </w:r>
    </w:p>
    <w:p>
      <w:pPr>
        <w:autoSpaceDN w:val="0"/>
        <w:autoSpaceDE w:val="0"/>
        <w:widowControl/>
        <w:spacing w:line="224" w:lineRule="exact" w:before="1154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43</w:t>
      </w:r>
    </w:p>
    <w:p>
      <w:pPr>
        <w:sectPr>
          <w:pgSz w:w="12240" w:h="15840"/>
          <w:pgMar w:top="700" w:right="1184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Guarantees</w:t>
      </w:r>
    </w:p>
    <w:p>
      <w:pPr>
        <w:autoSpaceDN w:val="0"/>
        <w:autoSpaceDE w:val="0"/>
        <w:widowControl/>
        <w:spacing w:line="222" w:lineRule="exact" w:before="14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Guarantees provided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Guarantees of $7,402 million were outstanding as of March 31, 2025 ($7,168 million—June 30, 2024),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guarantees provided under the Exposure Exchange Agreements (EEA). These amounts represent the maximum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potential amount of undiscounted future payments that IBRD could be required to make under these guarantees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not included in the Condensed Balance Sheets. These guarantees have original maturities ranging between 10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23 years and expire in decreasing amounts through 2047.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liabilities related to IBRD's obligations under guarantees included the obligation to stand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ready of $291 million ($296 million—June 30, 2024), and the accumulated provision for guarantee losses of $70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($71 million—June 30, 2024). These amounts are included in Other liabilities on the Condensed Balance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Sheets.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During the nine months ended March 31, 2025 and March 31, 2024, no guarantees provided by IBRD were called.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participates in EEAs, which are recognized as financial guarantees in the financial statements. Information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location and amounts associated with the EEAs executed with the African Development Bank and Inter-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American Development Bank included in the Condensed Balance Sheets and Condensed Statements of Income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presented in the following table: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D5: Amounts associated with EEAs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5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9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4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8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</w:tbl>
    <w:p>
      <w:pPr>
        <w:autoSpaceDN w:val="0"/>
        <w:autoSpaceDE w:val="0"/>
        <w:widowControl/>
        <w:spacing w:line="192" w:lineRule="exact" w:before="6" w:after="6"/>
        <w:ind w:left="8352" w:right="144" w:firstLine="0"/>
        <w:jc w:val="center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Location on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</w:tblGrid>
      <w:tr>
        <w:trPr>
          <w:trHeight w:hRule="exact" w:val="190"/>
        </w:trPr>
        <w:tc>
          <w:tcPr>
            <w:tcW w:type="dxa" w:w="190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1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Notional </w:t>
            </w:r>
          </w:p>
        </w:tc>
        <w:tc>
          <w:tcPr>
            <w:tcW w:type="dxa" w:w="10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(Stand ready </w:t>
            </w:r>
          </w:p>
        </w:tc>
        <w:tc>
          <w:tcPr>
            <w:tcW w:type="dxa" w:w="21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7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(Provision) </w:t>
            </w:r>
          </w:p>
        </w:tc>
        <w:tc>
          <w:tcPr>
            <w:tcW w:type="dxa" w:w="1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(Stand ready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7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(Provision) </w:t>
            </w:r>
          </w:p>
        </w:tc>
        <w:tc>
          <w:tcPr>
            <w:tcW w:type="dxa" w:w="1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Condensed </w:t>
            </w:r>
          </w:p>
        </w:tc>
      </w:tr>
      <w:tr>
        <w:trPr>
          <w:trHeight w:hRule="exact" w:val="180"/>
        </w:trPr>
        <w:tc>
          <w:tcPr>
            <w:tcW w:type="dxa" w:w="472"/>
            <w:vMerge/>
            <w:tcBorders>
              <w:bottom w:sz="8.0" w:val="single" w:color="#000000"/>
            </w:tcBorders>
          </w:tcPr>
          <w:p/>
        </w:tc>
        <w:tc>
          <w:tcPr>
            <w:tcW w:type="dxa" w:w="944"/>
            <w:gridSpan w:val="2"/>
            <w:vMerge/>
            <w:tcBorders/>
          </w:tcPr>
          <w:p/>
        </w:tc>
        <w:tc>
          <w:tcPr>
            <w:tcW w:type="dxa" w:w="10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20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obligation) </w:t>
            </w:r>
          </w:p>
        </w:tc>
        <w:tc>
          <w:tcPr>
            <w:tcW w:type="dxa" w:w="12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2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Recoverable </w:t>
            </w:r>
          </w:p>
        </w:tc>
        <w:tc>
          <w:tcPr>
            <w:tcW w:type="dxa" w:w="8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Notional </w:t>
            </w:r>
          </w:p>
        </w:tc>
        <w:tc>
          <w:tcPr>
            <w:tcW w:type="dxa" w:w="1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obligation)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2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Recoverable </w:t>
            </w:r>
          </w:p>
        </w:tc>
        <w:tc>
          <w:tcPr>
            <w:tcW w:type="dxa" w:w="12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 </w:t>
            </w:r>
          </w:p>
        </w:tc>
      </w:tr>
      <w:tr>
        <w:trPr>
          <w:trHeight w:hRule="exact" w:val="230"/>
        </w:trPr>
        <w:tc>
          <w:tcPr>
            <w:tcW w:type="dxa" w:w="472"/>
            <w:vMerge/>
            <w:tcBorders>
              <w:bottom w:sz="8.0" w:val="single" w:color="#000000"/>
            </w:tcBorders>
          </w:tcPr>
          <w:p/>
        </w:tc>
        <w:tc>
          <w:tcPr>
            <w:tcW w:type="dxa" w:w="8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amount</w:t>
            </w:r>
          </w:p>
        </w:tc>
        <w:tc>
          <w:tcPr>
            <w:tcW w:type="dxa" w:w="105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8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</w:t>
            </w:r>
          </w:p>
        </w:tc>
        <w:tc>
          <w:tcPr>
            <w:tcW w:type="dxa" w:w="104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</w:t>
            </w:r>
          </w:p>
        </w:tc>
        <w:tc>
          <w:tcPr>
            <w:tcW w:type="dxa" w:w="1100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amount</w:t>
            </w:r>
          </w:p>
        </w:tc>
        <w:tc>
          <w:tcPr>
            <w:tcW w:type="dxa" w:w="100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</w:t>
            </w:r>
          </w:p>
        </w:tc>
        <w:tc>
          <w:tcPr>
            <w:tcW w:type="dxa" w:w="126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</w:t>
            </w:r>
          </w:p>
        </w:tc>
        <w:tc>
          <w:tcPr>
            <w:tcW w:type="dxa" w:w="12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Sheets</w:t>
            </w:r>
          </w:p>
        </w:tc>
      </w:tr>
      <w:tr>
        <w:trPr>
          <w:trHeight w:hRule="exact" w:val="230"/>
        </w:trPr>
        <w:tc>
          <w:tcPr>
            <w:tcW w:type="dxa" w:w="19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Guarantees provided</w:t>
            </w:r>
          </w:p>
        </w:tc>
        <w:tc>
          <w:tcPr>
            <w:tcW w:type="dxa" w:w="2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3,609 </w:t>
            </w:r>
          </w:p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(114) $ </w:t>
            </w:r>
          </w:p>
        </w:tc>
        <w:tc>
          <w:tcPr>
            <w:tcW w:type="dxa" w:w="938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$ </w:t>
            </w:r>
          </w:p>
        </w:tc>
        <w:tc>
          <w:tcPr>
            <w:tcW w:type="dxa" w:w="60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3,609 </w:t>
            </w:r>
          </w:p>
        </w:tc>
        <w:tc>
          <w:tcPr>
            <w:tcW w:type="dxa" w:w="4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84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(129) $ </w:t>
            </w:r>
          </w:p>
        </w:tc>
        <w:tc>
          <w:tcPr>
            <w:tcW w:type="dxa" w:w="1874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(25) Other liabilities</w:t>
            </w:r>
          </w:p>
        </w:tc>
      </w:tr>
      <w:tr>
        <w:trPr>
          <w:trHeight w:hRule="exact" w:val="250"/>
        </w:trPr>
        <w:tc>
          <w:tcPr>
            <w:tcW w:type="dxa" w:w="19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Guarantees received</w:t>
            </w:r>
          </w:p>
        </w:tc>
        <w:tc>
          <w:tcPr>
            <w:tcW w:type="dxa" w:w="8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(3,609) </w:t>
            </w:r>
          </w:p>
        </w:tc>
        <w:tc>
          <w:tcPr>
            <w:tcW w:type="dxa" w:w="105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114 </w:t>
            </w:r>
          </w:p>
        </w:tc>
        <w:tc>
          <w:tcPr>
            <w:tcW w:type="dxa" w:w="1376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76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1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(3,611) </w:t>
            </w:r>
          </w:p>
        </w:tc>
        <w:tc>
          <w:tcPr>
            <w:tcW w:type="dxa" w:w="100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129 </w:t>
            </w:r>
          </w:p>
        </w:tc>
        <w:tc>
          <w:tcPr>
            <w:tcW w:type="dxa" w:w="126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 </w:t>
            </w:r>
          </w:p>
        </w:tc>
        <w:tc>
          <w:tcPr>
            <w:tcW w:type="dxa" w:w="12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assets</w:t>
            </w:r>
          </w:p>
        </w:tc>
      </w:tr>
      <w:tr>
        <w:trPr>
          <w:trHeight w:hRule="exact" w:val="220"/>
        </w:trPr>
        <w:tc>
          <w:tcPr>
            <w:tcW w:type="dxa" w:w="19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644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gridSpan w:val="5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$ </w:t>
            </w:r>
          </w:p>
        </w:tc>
        <w:tc>
          <w:tcPr>
            <w:tcW w:type="dxa" w:w="1002"/>
            <w:gridSpan w:val="3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$ </w:t>
            </w:r>
          </w:p>
        </w:tc>
        <w:tc>
          <w:tcPr>
            <w:tcW w:type="dxa" w:w="47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640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830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</w:tr>
      <w:tr>
        <w:trPr>
          <w:trHeight w:hRule="exact" w:val="260"/>
        </w:trPr>
        <w:tc>
          <w:tcPr>
            <w:tcW w:type="dxa" w:w="19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7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360"/>
            <w:gridSpan w:val="5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16"/>
            <w:gridSpan w:val="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7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2" w:lineRule="exact" w:before="18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Guarantees received</w:t>
      </w:r>
    </w:p>
    <w:p>
      <w:pPr>
        <w:autoSpaceDN w:val="0"/>
        <w:autoSpaceDE w:val="0"/>
        <w:widowControl/>
        <w:spacing w:line="240" w:lineRule="exact" w:before="11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 had received third-party financial guarantees, including guarantees received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EEA. The outstanding amount of loans subject to guarantees received was $14,665 million ($12,461 million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2024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). In addition,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nine months ended March 31, 2025,</w:t>
      </w:r>
      <w:r>
        <w:rPr>
          <w:rFonts w:ascii="TimesNewRoman" w:hAnsi="TimesNewRoman" w:eastAsia="TimesNewRoman"/>
          <w:b w:val="0"/>
          <w:i w:val="0"/>
          <w:color w:val="000000"/>
          <w:sz w:val="20"/>
          <w:u w:val="single"/>
        </w:rPr>
        <w:t xml:space="preserve">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received a notional value of $1.1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 of portfolio guarantees under its new Portfolio Guarantee Platform (PGP). Financial guarantees received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protect IBRD against the risk of loss related to loans in IBRD's portfolio and increase IBRD's lending capacity.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Waivers of Loan Charges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Executive Directors have approved waivers of certain charges on eligible loans. These include a portion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on loans, a portion of the commitment charge on undisbursed balances, and a portion of the front-end fee.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addition, in October 2024, as part of the adjustments to IBRD's loan pricing, the Executive Directors approved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waiver of future prepayment premiums on existing loans, as applicable. The forgone income resulting from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waivers was $2 million and $5 million for three and nine months ended March 31, 2025, respectively ($2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$7 million—three and nine months ended March 31, 2024). 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Concentration risk</w:t>
      </w:r>
    </w:p>
    <w:p>
      <w:pPr>
        <w:autoSpaceDN w:val="0"/>
        <w:autoSpaceDE w:val="0"/>
        <w:widowControl/>
        <w:spacing w:line="240" w:lineRule="exact" w:before="128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revenue comprises interest, commitment fees, loan origination fees and prepayment premiums, net of waivers.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nine months ended March 31, 2025, loan revenue of $1,099 million from India, contributed more than 10%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 the total loan revenue.</w:t>
      </w:r>
    </w:p>
    <w:p>
      <w:pPr>
        <w:autoSpaceDN w:val="0"/>
        <w:autoSpaceDE w:val="0"/>
        <w:widowControl/>
        <w:spacing w:line="224" w:lineRule="exact" w:before="1298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44     IBRD Condensed Quarterly Financial Statements: March 31, 2025 (Unaudited)</w:t>
      </w:r>
    </w:p>
    <w:p>
      <w:pPr>
        <w:sectPr>
          <w:pgSz w:w="12240" w:h="15840"/>
          <w:pgMar w:top="696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loan revenue and associated loans outstanding by geographic region is presented in the following table: </w:t>
      </w:r>
    </w:p>
    <w:p>
      <w:pPr>
        <w:autoSpaceDN w:val="0"/>
        <w:autoSpaceDE w:val="0"/>
        <w:widowControl/>
        <w:spacing w:line="220" w:lineRule="exact" w:before="136" w:after="46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D6: Loan revenue and associated outstanding loan balances by geographic region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rHeight w:hRule="exact" w:val="256"/>
        </w:trPr>
        <w:tc>
          <w:tcPr>
            <w:tcW w:type="dxa" w:w="3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</w:tc>
        <w:tc>
          <w:tcPr>
            <w:tcW w:type="dxa" w:w="5780"/>
            <w:gridSpan w:val="1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For the nine months ended and as of</w:t>
            </w:r>
          </w:p>
        </w:tc>
      </w:tr>
      <w:tr>
        <w:trPr>
          <w:trHeight w:hRule="exact" w:val="240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10"/>
            <w:gridSpan w:val="5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970"/>
            <w:gridSpan w:val="7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88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</w:tr>
      <w:tr>
        <w:trPr>
          <w:trHeight w:hRule="exact" w:val="200"/>
        </w:trPr>
        <w:tc>
          <w:tcPr>
            <w:tcW w:type="dxa" w:w="36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Region</w:t>
            </w:r>
          </w:p>
        </w:tc>
        <w:tc>
          <w:tcPr>
            <w:tcW w:type="dxa" w:w="281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3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2970"/>
            <w:gridSpan w:val="7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44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234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3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Revenue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1604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Revenue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36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</w:tr>
      <w:tr>
        <w:trPr>
          <w:trHeight w:hRule="exact" w:val="226"/>
        </w:trPr>
        <w:tc>
          <w:tcPr>
            <w:tcW w:type="dxa" w:w="36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Latin America and the Caribbean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East Asia and Pacific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Europe and Central Asia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Middle East and North Africa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South Asia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Eastern and Southern Africa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4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0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3,403 </w:t>
            </w:r>
          </w:p>
        </w:tc>
        <w:tc>
          <w:tcPr>
            <w:tcW w:type="dxa" w:w="2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8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83,601 </w:t>
            </w:r>
          </w:p>
        </w:tc>
        <w:tc>
          <w:tcPr>
            <w:tcW w:type="dxa" w:w="51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3,471 </w:t>
            </w:r>
          </w:p>
        </w:tc>
        <w:tc>
          <w:tcPr>
            <w:tcW w:type="dxa" w:w="62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79,886 </w:t>
            </w:r>
          </w:p>
        </w:tc>
      </w:tr>
      <w:tr>
        <w:trPr>
          <w:trHeight w:hRule="exact" w:val="24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2,253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53,309 </w:t>
            </w:r>
          </w:p>
        </w:tc>
        <w:tc>
          <w:tcPr>
            <w:tcW w:type="dxa" w:w="2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2,351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53,167 </w:t>
            </w:r>
          </w:p>
        </w:tc>
      </w:tr>
      <w:tr>
        <w:trPr>
          <w:trHeight w:hRule="exact" w:val="24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2,123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59,772 </w:t>
            </w:r>
          </w:p>
        </w:tc>
        <w:tc>
          <w:tcPr>
            <w:tcW w:type="dxa" w:w="2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2,018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54,729 </w:t>
            </w:r>
          </w:p>
        </w:tc>
      </w:tr>
      <w:tr>
        <w:trPr>
          <w:trHeight w:hRule="exact" w:val="24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1,380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36,216 </w:t>
            </w:r>
          </w:p>
        </w:tc>
        <w:tc>
          <w:tcPr>
            <w:tcW w:type="dxa" w:w="2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1,383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34,351 </w:t>
            </w:r>
          </w:p>
        </w:tc>
      </w:tr>
      <w:tr>
        <w:trPr>
          <w:trHeight w:hRule="exact" w:val="24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1,268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28,169 </w:t>
            </w:r>
          </w:p>
        </w:tc>
        <w:tc>
          <w:tcPr>
            <w:tcW w:type="dxa" w:w="2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1,213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26,047 </w:t>
            </w:r>
          </w:p>
        </w:tc>
      </w:tr>
      <w:tr>
        <w:trPr>
          <w:trHeight w:hRule="exact" w:val="240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469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11,633 </w:t>
            </w:r>
          </w:p>
        </w:tc>
        <w:tc>
          <w:tcPr>
            <w:tcW w:type="dxa" w:w="2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377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9,761 </w:t>
            </w:r>
          </w:p>
        </w:tc>
      </w:tr>
      <w:tr>
        <w:trPr>
          <w:trHeight w:hRule="exact" w:val="254"/>
        </w:trPr>
        <w:tc>
          <w:tcPr>
            <w:tcW w:type="dxa" w:w="726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9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77 </w:t>
            </w:r>
          </w:p>
        </w:tc>
        <w:tc>
          <w:tcPr>
            <w:tcW w:type="dxa" w:w="1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2,867 </w:t>
            </w:r>
          </w:p>
        </w:tc>
        <w:tc>
          <w:tcPr>
            <w:tcW w:type="dxa" w:w="2080"/>
            <w:gridSpan w:val="6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 </w:t>
            </w:r>
          </w:p>
        </w:tc>
        <w:tc>
          <w:tcPr>
            <w:tcW w:type="dxa" w:w="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2,043 </w:t>
            </w:r>
          </w:p>
        </w:tc>
      </w:tr>
      <w:tr>
        <w:trPr>
          <w:trHeight w:hRule="exact" w:val="220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10,973 </w:t>
            </w:r>
          </w:p>
        </w:tc>
        <w:tc>
          <w:tcPr>
            <w:tcW w:type="dxa" w:w="33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275,567 </w:t>
            </w:r>
          </w:p>
        </w:tc>
        <w:tc>
          <w:tcPr>
            <w:tcW w:type="dxa" w:w="53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10,869 </w:t>
            </w:r>
          </w:p>
        </w:tc>
        <w:tc>
          <w:tcPr>
            <w:tcW w:type="dxa" w:w="62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259,984 </w:t>
            </w:r>
          </w:p>
        </w:tc>
      </w:tr>
    </w:tbl>
    <w:p>
      <w:pPr>
        <w:autoSpaceDN w:val="0"/>
        <w:autoSpaceDE w:val="0"/>
        <w:widowControl/>
        <w:spacing w:line="192" w:lineRule="exact" w:before="300" w:after="0"/>
        <w:ind w:left="242" w:right="144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Excludes $821 million interest income from loan related derivatives for the nine months ended March 31, 2025 ($932 million—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nine months ended March 31, 2024). Includes commitment charges of $116 million for the nine months ended March 31, 2025 </w:t>
      </w:r>
      <w:r>
        <w:rPr>
          <w:rFonts w:ascii="Arial" w:hAnsi="Arial" w:eastAsia="Arial"/>
          <w:b w:val="0"/>
          <w:i/>
          <w:color w:val="000000"/>
          <w:sz w:val="16"/>
        </w:rPr>
        <w:t>($111 million—nine months ended March 31, 2024).</w:t>
      </w:r>
    </w:p>
    <w:p>
      <w:pPr>
        <w:autoSpaceDN w:val="0"/>
        <w:autoSpaceDE w:val="0"/>
        <w:widowControl/>
        <w:spacing w:line="240" w:lineRule="exact" w:before="19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nine months ended March 31, 2025, Interest revenue—Loans, net in the Condensed Statements of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$11,678 million ($11,690 million—nine months ended March 31, 2024). This includes $821 million of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income, net related to loan related derivatives associated with the Loan portfolio (interest income, net of $932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million—nine months ended March 31, 2024).</w:t>
      </w:r>
    </w:p>
    <w:p>
      <w:pPr>
        <w:autoSpaceDN w:val="0"/>
        <w:autoSpaceDE w:val="0"/>
        <w:widowControl/>
        <w:spacing w:line="246" w:lineRule="exact" w:before="25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E—BORROWINGS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issues unsubordinated and unsecured fixed and variable rate debt in a variety of currencies in capital markets.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borrowings are reported at fair value. IBRD has issued hybrid capital to shareholders that is subordinated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borrowings at fair value, and is reported at amortized cost. Variable rates are primarily based on exchange rates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market interest rates.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98% of the instruments at fair value were classified as Level 2 within the fair value hierarchy.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addition, most of these instruments were denominated in U.S. dollars and euro (64% and 15%, respectively).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uses derivatives, reported at fair value, to manage the currency risk and the interest rate risk between its loans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borrowings. For details regarding the derivatives used, see Note F—Derivative Instruments.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 summary of IBRD’s borrowings at fair value, is as follows (for details on principal due upon maturity, see Note J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—Fair Value Disclosures):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E1: Borrowings and borrowing-related derivatives, at fair value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36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Borrowings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295,851 </w:t>
            </w:r>
          </w:p>
        </w:tc>
        <w:tc>
          <w:tcPr>
            <w:tcW w:type="dxa" w:w="2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swaps, net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6,899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7,427 </w:t>
            </w:r>
          </w:p>
        </w:tc>
      </w:tr>
      <w:tr>
        <w:trPr>
          <w:trHeight w:hRule="exact" w:val="244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swaps, net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13,159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17,900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315,909 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287,117 </w:t>
            </w:r>
          </w:p>
        </w:tc>
      </w:tr>
    </w:tbl>
    <w:p>
      <w:pPr>
        <w:autoSpaceDN w:val="0"/>
        <w:autoSpaceDE w:val="0"/>
        <w:widowControl/>
        <w:spacing w:line="240" w:lineRule="exact" w:before="412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borrowings reported at amortized cost were $476 million related to IBRD's issuances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hybrid capital which represents the outstanding principal of these instruments. The majority of holders of hybrid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capital as of March 31, 2025</w:t>
      </w:r>
      <w:r>
        <w:rPr>
          <w:rFonts w:ascii="TimesNewRoman" w:hAnsi="TimesNewRoman" w:eastAsia="TimesNewRoman"/>
          <w:b w:val="0"/>
          <w:i w:val="0"/>
          <w:color w:val="000000"/>
          <w:sz w:val="20"/>
          <w:u w:val="single"/>
        </w:rPr>
        <w:t>,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entered into separate agreements with IBRD that allow them to redeem the hybrid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capital to satisfy the payment condition for their paid-in portion of any future capital increase.</w:t>
      </w:r>
    </w:p>
    <w:p>
      <w:pPr>
        <w:autoSpaceDN w:val="0"/>
        <w:autoSpaceDE w:val="0"/>
        <w:widowControl/>
        <w:spacing w:line="224" w:lineRule="exact" w:before="1410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45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nine months ended March 31, 2025, Borrowing expenses, net in the Condensed Statements of Income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$11,337 million ($11,252 million—nine months ended March 31, 2024). This includes $5,193 million of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expense, net related to derivatives associated with the Borrowing portfolio (interest expense, net of $5,702 million—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nine months ended March 31, 2024).</w:t>
      </w:r>
    </w:p>
    <w:p>
      <w:pPr>
        <w:autoSpaceDN w:val="0"/>
        <w:autoSpaceDE w:val="0"/>
        <w:widowControl/>
        <w:spacing w:line="246" w:lineRule="exact" w:before="25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F—DERIVATIVE INSTRUMENTS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uses derivative instruments in its investment, loan and borrowing portfolios, and for asset/liability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purposes. It also offers derivative intermediation services to clients and, concurrently, enters into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offsetting transactions with market counterparties. </w:t>
      </w:r>
    </w:p>
    <w:p>
      <w:pPr>
        <w:autoSpaceDN w:val="0"/>
        <w:autoSpaceDE w:val="0"/>
        <w:widowControl/>
        <w:spacing w:line="222" w:lineRule="exact" w:before="138" w:after="168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summarizes IBRD’s use of derivatives in its various financial portfolios: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0"/>
        </w:trPr>
        <w:tc>
          <w:tcPr>
            <w:tcW w:type="dxa" w:w="22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Portfolio</w:t>
            </w:r>
          </w:p>
        </w:tc>
        <w:tc>
          <w:tcPr>
            <w:tcW w:type="dxa" w:w="33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/>
                <w:color w:val="000000"/>
                <w:sz w:val="16"/>
              </w:rPr>
              <w:t>Derivative instruments used</w:t>
            </w:r>
          </w:p>
        </w:tc>
        <w:tc>
          <w:tcPr>
            <w:tcW w:type="dxa" w:w="37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/>
                <w:color w:val="000000"/>
                <w:sz w:val="16"/>
              </w:rPr>
              <w:t>Purpose / Risk being managed</w:t>
            </w:r>
          </w:p>
        </w:tc>
      </w:tr>
    </w:tbl>
    <w:p>
      <w:pPr>
        <w:autoSpaceDN w:val="0"/>
        <w:autoSpaceDE w:val="0"/>
        <w:widowControl/>
        <w:spacing w:line="178" w:lineRule="exact" w:before="18" w:after="24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management purposes: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10"/>
        </w:trPr>
        <w:tc>
          <w:tcPr>
            <w:tcW w:type="dxa" w:w="22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</w:t>
            </w:r>
          </w:p>
        </w:tc>
        <w:tc>
          <w:tcPr>
            <w:tcW w:type="dxa" w:w="3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swaps, forward contracts, interest </w:t>
            </w:r>
          </w:p>
        </w:tc>
        <w:tc>
          <w:tcPr>
            <w:tcW w:type="dxa" w:w="3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 currency and interest rate risk</w:t>
            </w:r>
          </w:p>
        </w:tc>
      </w:tr>
    </w:tbl>
    <w:p>
      <w:pPr>
        <w:autoSpaceDN w:val="0"/>
        <w:autoSpaceDE w:val="0"/>
        <w:widowControl/>
        <w:spacing w:line="184" w:lineRule="exact" w:before="0" w:after="50"/>
        <w:ind w:left="2304" w:right="3888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rate swaps, options, swaptions and futures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contracts, to-be-announced (TBA) securities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10"/>
        </w:trPr>
        <w:tc>
          <w:tcPr>
            <w:tcW w:type="dxa" w:w="14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</w:t>
            </w:r>
          </w:p>
        </w:tc>
        <w:tc>
          <w:tcPr>
            <w:tcW w:type="dxa" w:w="40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8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interest rate swaps</w:t>
            </w:r>
          </w:p>
        </w:tc>
        <w:tc>
          <w:tcPr>
            <w:tcW w:type="dxa" w:w="3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Manage currency risk and interest rate risk </w:t>
            </w:r>
          </w:p>
        </w:tc>
      </w:tr>
    </w:tbl>
    <w:p>
      <w:pPr>
        <w:autoSpaceDN w:val="0"/>
        <w:autoSpaceDE w:val="0"/>
        <w:widowControl/>
        <w:spacing w:line="178" w:lineRule="exact" w:before="0" w:after="30"/>
        <w:ind w:left="0" w:right="1286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between loans and borrowings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08"/>
        </w:trPr>
        <w:tc>
          <w:tcPr>
            <w:tcW w:type="dxa" w:w="1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3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7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interest rate swaps</w:t>
            </w:r>
          </w:p>
        </w:tc>
        <w:tc>
          <w:tcPr>
            <w:tcW w:type="dxa" w:w="3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Manage currency risk and interest rate risk </w:t>
            </w:r>
          </w:p>
        </w:tc>
      </w:tr>
    </w:tbl>
    <w:p>
      <w:pPr>
        <w:autoSpaceDN w:val="0"/>
        <w:autoSpaceDE w:val="0"/>
        <w:widowControl/>
        <w:spacing w:line="178" w:lineRule="exact" w:before="0" w:after="32"/>
        <w:ind w:left="0" w:right="1286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between loans and borrowings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00"/>
        </w:trPr>
        <w:tc>
          <w:tcPr>
            <w:tcW w:type="dxa" w:w="21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asset/liability </w:t>
            </w:r>
          </w:p>
        </w:tc>
        <w:tc>
          <w:tcPr>
            <w:tcW w:type="dxa" w:w="334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interest rate swaps</w:t>
            </w:r>
          </w:p>
        </w:tc>
        <w:tc>
          <w:tcPr>
            <w:tcW w:type="dxa" w:w="3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Manage currency risk and the duration of IBRD’s </w:t>
            </w:r>
          </w:p>
        </w:tc>
      </w:tr>
      <w:tr>
        <w:trPr>
          <w:trHeight w:hRule="exact" w:val="234"/>
        </w:trPr>
        <w:tc>
          <w:tcPr>
            <w:tcW w:type="dxa" w:w="21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management derivatives</w:t>
            </w:r>
          </w:p>
        </w:tc>
        <w:tc>
          <w:tcPr>
            <w:tcW w:type="dxa" w:w="314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4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equity </w:t>
            </w:r>
          </w:p>
        </w:tc>
      </w:tr>
    </w:tbl>
    <w:p>
      <w:pPr>
        <w:autoSpaceDN w:val="0"/>
        <w:autoSpaceDE w:val="0"/>
        <w:widowControl/>
        <w:spacing w:line="178" w:lineRule="exact" w:before="14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Other purposes: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3147"/>
        <w:gridCol w:w="3147"/>
        <w:gridCol w:w="3147"/>
      </w:tblGrid>
      <w:tr>
        <w:trPr>
          <w:trHeight w:hRule="exact" w:val="214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Client operations</w:t>
            </w:r>
          </w:p>
        </w:tc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5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swaps, currency forward contracts, 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Assist clients in managing risks</w:t>
            </w:r>
          </w:p>
        </w:tc>
      </w:tr>
    </w:tbl>
    <w:p>
      <w:pPr>
        <w:autoSpaceDN w:val="0"/>
        <w:autoSpaceDE w:val="0"/>
        <w:widowControl/>
        <w:spacing w:line="178" w:lineRule="exact" w:before="8" w:after="0"/>
        <w:ind w:left="0" w:right="540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and interest rate swaps</w:t>
      </w:r>
    </w:p>
    <w:p>
      <w:pPr>
        <w:autoSpaceDN w:val="0"/>
        <w:autoSpaceDE w:val="0"/>
        <w:widowControl/>
        <w:spacing w:line="240" w:lineRule="exact" w:before="20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derivatives in the related tables of Note F are presented on a net basis by instrument. A reconciliation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presentation in the Condensed Balance Sheets is shown in table F1.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Offsetting assets and liabilities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enters into International Swaps and Derivatives Association, Inc. (ISDA) master netting agreements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substantially all of its derivative counterparties. These legally enforceable master netting agreements give IBRD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right to liquidate securities held as collateral and to offset receivables and payables with the same counterparty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event of default by the counterparty.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summarize the gross and net derivative positions by instrument type. Instruments that are in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asset position are included in the Derivative Assets columns and instruments that are in a net liability position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included in the Derivative Liabilities columns. The effects of the ISDA master netting agreements are applied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aggregate basis to the total derivative asset and liability positions and are presented net of any cash collateral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received on the Condensed Balance Sheets. The net derivative asset positions in the tables below have been further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reduced by any securities received as collateral to show IBRD’s net exposure on its derivative asset positions. </w:t>
      </w:r>
    </w:p>
    <w:p>
      <w:pPr>
        <w:autoSpaceDN w:val="0"/>
        <w:autoSpaceDE w:val="0"/>
        <w:widowControl/>
        <w:spacing w:line="224" w:lineRule="exact" w:before="3902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46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F1: Derivative assets and liabilities before and after netting adjustments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0"/>
        </w:trPr>
        <w:tc>
          <w:tcPr>
            <w:tcW w:type="dxa" w:w="4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20"/>
        </w:trPr>
        <w:tc>
          <w:tcPr>
            <w:tcW w:type="dxa" w:w="45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13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12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5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</w:tr>
      <w:tr>
        <w:trPr>
          <w:trHeight w:hRule="exact" w:val="214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Assets</w:t>
            </w:r>
          </w:p>
        </w:tc>
        <w:tc>
          <w:tcPr>
            <w:tcW w:type="dxa" w:w="113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Liabilities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Assets</w:t>
            </w:r>
          </w:p>
        </w:tc>
        <w:tc>
          <w:tcPr>
            <w:tcW w:type="dxa" w:w="11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8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Liabilities</w:t>
            </w:r>
          </w:p>
        </w:tc>
      </w:tr>
      <w:tr>
        <w:trPr>
          <w:trHeight w:hRule="exact" w:val="206"/>
        </w:trPr>
        <w:tc>
          <w:tcPr>
            <w:tcW w:type="dxa" w:w="4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7,206 </w:t>
            </w:r>
          </w:p>
        </w:tc>
        <w:tc>
          <w:tcPr>
            <w:tcW w:type="dxa" w:w="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18,463 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7,977 </w:t>
            </w:r>
          </w:p>
        </w:tc>
        <w:tc>
          <w:tcPr>
            <w:tcW w:type="dxa" w:w="39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24,759 </w:t>
            </w:r>
          </w:p>
        </w:tc>
      </w:tr>
      <w:tr>
        <w:trPr>
          <w:trHeight w:hRule="exact" w:val="22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4,056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9,875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4,057 </w:t>
            </w:r>
          </w:p>
        </w:tc>
        <w:tc>
          <w:tcPr>
            <w:tcW w:type="dxa" w:w="11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9,907 </w:t>
            </w:r>
          </w:p>
        </w:tc>
      </w:tr>
      <w:tr>
        <w:trPr>
          <w:trHeight w:hRule="exact" w:val="250"/>
        </w:trPr>
        <w:tc>
          <w:tcPr>
            <w:tcW w:type="dxa" w:w="4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13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1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</w:tr>
      <w:tr>
        <w:trPr>
          <w:trHeight w:hRule="exact" w:val="220"/>
        </w:trPr>
        <w:tc>
          <w:tcPr>
            <w:tcW w:type="dxa" w:w="4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Gross Total</w:t>
            </w:r>
          </w:p>
        </w:tc>
        <w:tc>
          <w:tcPr>
            <w:tcW w:type="dxa" w:w="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11,265 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28,338 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12,035 </w:t>
            </w:r>
          </w:p>
        </w:tc>
        <w:tc>
          <w:tcPr>
            <w:tcW w:type="dxa" w:w="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34,666 </w:t>
            </w:r>
          </w:p>
        </w:tc>
      </w:tr>
    </w:tbl>
    <w:p>
      <w:pPr>
        <w:autoSpaceDN w:val="0"/>
        <w:autoSpaceDE w:val="0"/>
        <w:widowControl/>
        <w:spacing w:line="178" w:lineRule="exact" w:before="34" w:after="5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rHeight w:hRule="exact" w:val="238"/>
        </w:trPr>
        <w:tc>
          <w:tcPr>
            <w:tcW w:type="dxa" w:w="4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</w:t>
            </w:r>
          </w:p>
        </w:tc>
        <w:tc>
          <w:tcPr>
            <w:tcW w:type="dxa" w:w="3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10,810 </w:t>
            </w:r>
          </w:p>
        </w:tc>
        <w:tc>
          <w:tcPr>
            <w:tcW w:type="dxa" w:w="14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222" w:after="0"/>
              <w:ind w:left="0" w:right="0" w:firstLine="0"/>
              <w:jc w:val="center"/>
            </w:pP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2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11,165 </w:t>
            </w:r>
          </w:p>
        </w:tc>
        <w:tc>
          <w:tcPr>
            <w:tcW w:type="dxa" w:w="1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222" w:after="0"/>
              <w:ind w:left="0" w:right="0" w:firstLine="0"/>
              <w:jc w:val="center"/>
            </w:pP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e</w:t>
            </w:r>
          </w:p>
        </w:tc>
        <w:tc>
          <w:tcPr>
            <w:tcW w:type="dxa" w:w="3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11,558 </w:t>
            </w:r>
          </w:p>
        </w:tc>
        <w:tc>
          <w:tcPr>
            <w:tcW w:type="dxa" w:w="1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222" w:after="0"/>
              <w:ind w:left="0" w:right="0" w:firstLine="0"/>
              <w:jc w:val="center"/>
            </w:pP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2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11,938 </w:t>
            </w:r>
          </w:p>
        </w:tc>
        <w:tc>
          <w:tcPr>
            <w:tcW w:type="dxa" w:w="1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222" w:after="0"/>
              <w:ind w:left="0" w:right="0" w:firstLine="0"/>
              <w:jc w:val="center"/>
            </w:pP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e</w:t>
            </w:r>
          </w:p>
        </w:tc>
      </w:tr>
      <w:tr>
        <w:trPr>
          <w:trHeight w:hRule="exact" w:val="200"/>
        </w:trPr>
        <w:tc>
          <w:tcPr>
            <w:tcW w:type="dxa" w:w="4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agreements</w:t>
            </w:r>
          </w:p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/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/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4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Cash collateral 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  <w:tc>
          <w:tcPr>
            <w:tcW w:type="dxa" w:w="726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8"/>
        </w:trPr>
        <w:tc>
          <w:tcPr>
            <w:tcW w:type="dxa" w:w="4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derivative position on the Condensed Balance Sheet</w:t>
            </w:r>
          </w:p>
        </w:tc>
        <w:tc>
          <w:tcPr>
            <w:tcW w:type="dxa" w:w="3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 </w:t>
            </w:r>
          </w:p>
        </w:tc>
        <w:tc>
          <w:tcPr>
            <w:tcW w:type="dxa" w:w="1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17,173 </w:t>
            </w:r>
          </w:p>
        </w:tc>
        <w:tc>
          <w:tcPr>
            <w:tcW w:type="dxa" w:w="1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456 </w:t>
            </w:r>
          </w:p>
        </w:tc>
        <w:tc>
          <w:tcPr>
            <w:tcW w:type="dxa" w:w="1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22,728 </w:t>
            </w:r>
          </w:p>
        </w:tc>
        <w:tc>
          <w:tcPr>
            <w:tcW w:type="dxa" w:w="1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36" w:after="14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4"/>
        </w:trPr>
        <w:tc>
          <w:tcPr>
            <w:tcW w:type="dxa" w:w="4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collateral 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315 </w:t>
            </w:r>
          </w:p>
        </w:tc>
        <w:tc>
          <w:tcPr>
            <w:tcW w:type="dxa" w:w="17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298 </w:t>
            </w:r>
          </w:p>
        </w:tc>
      </w:tr>
      <w:tr>
        <w:trPr>
          <w:trHeight w:hRule="exact" w:val="220"/>
        </w:trPr>
        <w:tc>
          <w:tcPr>
            <w:tcW w:type="dxa" w:w="4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derivative exposure after collateral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140 </w:t>
            </w:r>
          </w:p>
        </w:tc>
        <w:tc>
          <w:tcPr>
            <w:tcW w:type="dxa" w:w="1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158 </w:t>
            </w:r>
          </w:p>
        </w:tc>
      </w:tr>
    </w:tbl>
    <w:p>
      <w:pPr>
        <w:autoSpaceDN w:val="0"/>
        <w:autoSpaceDE w:val="0"/>
        <w:widowControl/>
        <w:spacing w:line="178" w:lineRule="exact" w:before="270" w:after="0"/>
        <w:ind w:left="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forward contracts.</w:t>
      </w:r>
    </w:p>
    <w:p>
      <w:pPr>
        <w:autoSpaceDN w:val="0"/>
        <w:autoSpaceDE w:val="0"/>
        <w:widowControl/>
        <w:spacing w:line="178" w:lineRule="exact" w:before="46" w:after="0"/>
        <w:ind w:left="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Relate to swaptions, options and futures contracts.</w:t>
      </w:r>
    </w:p>
    <w:p>
      <w:pPr>
        <w:autoSpaceDN w:val="0"/>
        <w:autoSpaceDE w:val="0"/>
        <w:widowControl/>
        <w:spacing w:line="180" w:lineRule="exact" w:before="54" w:after="0"/>
        <w:ind w:left="6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Does not include excess collateral received.</w:t>
      </w:r>
    </w:p>
    <w:p>
      <w:pPr>
        <w:autoSpaceDN w:val="0"/>
        <w:autoSpaceDE w:val="0"/>
        <w:widowControl/>
        <w:spacing w:line="224" w:lineRule="exact" w:before="8" w:after="0"/>
        <w:ind w:left="62" w:right="302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d. Includes $33 million Credit Valuation Adjustment (CVA) ($29 million—June 30, 2024). </w:t>
      </w:r>
      <w:r>
        <w:rPr>
          <w:rFonts w:ascii="Arial" w:hAnsi="Arial" w:eastAsia="Arial"/>
          <w:b w:val="0"/>
          <w:i/>
          <w:color w:val="000000"/>
          <w:sz w:val="16"/>
        </w:rPr>
        <w:t>e. Includes $388 million Debit Valuation Adjustment (DVA) ($409 million—June 30, 2024).</w:t>
      </w:r>
    </w:p>
    <w:p>
      <w:pPr>
        <w:autoSpaceDN w:val="0"/>
        <w:autoSpaceDE w:val="0"/>
        <w:widowControl/>
        <w:spacing w:line="240" w:lineRule="exact" w:before="18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provide information about the credit risk exposures at fair value of IBRD’s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instruments by portfolio, before the effects of master netting arrangements and collateral:</w:t>
      </w:r>
    </w:p>
    <w:p>
      <w:pPr>
        <w:autoSpaceDN w:val="0"/>
        <w:autoSpaceDE w:val="0"/>
        <w:widowControl/>
        <w:spacing w:line="248" w:lineRule="exact" w:before="11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F2: Credit risk exposure of the derivative instruments </w:t>
      </w:r>
      <w:r>
        <w:rPr>
          <w:rFonts w:ascii="TimesNewRoman" w:hAnsi="TimesNewRoman" w:eastAsia="TimesNewRoman"/>
          <w:b/>
          <w:i w:val="0"/>
          <w:color w:val="000000"/>
          <w:sz w:val="13"/>
        </w:rPr>
        <w:t>a</w:t>
      </w:r>
    </w:p>
    <w:p>
      <w:pPr>
        <w:autoSpaceDN w:val="0"/>
        <w:tabs>
          <w:tab w:pos="5380" w:val="left"/>
          <w:tab w:pos="5868" w:val="left"/>
        </w:tabs>
        <w:autoSpaceDE w:val="0"/>
        <w:widowControl/>
        <w:spacing w:line="240" w:lineRule="exact" w:before="32" w:after="8"/>
        <w:ind w:left="62" w:right="201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March 31, 2025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Currency swaps (including</w:t>
      </w:r>
      <w:r>
        <w:rPr>
          <w:rFonts w:ascii="Arial" w:hAnsi="Arial" w:eastAsia="Arial"/>
          <w:b w:val="0"/>
          <w:i/>
          <w:strike/>
          <w:color w:val="000000"/>
          <w:sz w:val="16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4"/>
        </w:trPr>
        <w:tc>
          <w:tcPr>
            <w:tcW w:type="dxa" w:w="34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Portfolio</w:t>
            </w:r>
          </w:p>
        </w:tc>
        <w:tc>
          <w:tcPr>
            <w:tcW w:type="dxa" w:w="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Interest rate swaps</w:t>
            </w:r>
          </w:p>
        </w:tc>
        <w:tc>
          <w:tcPr>
            <w:tcW w:type="dxa" w:w="3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8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forward contracts)</w:t>
            </w:r>
          </w:p>
        </w:tc>
        <w:tc>
          <w:tcPr>
            <w:tcW w:type="dxa" w:w="4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8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10"/>
        </w:trPr>
        <w:tc>
          <w:tcPr>
            <w:tcW w:type="dxa" w:w="34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</w:t>
            </w:r>
          </w:p>
        </w:tc>
        <w:tc>
          <w:tcPr>
            <w:tcW w:type="dxa" w:w="2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743 </w:t>
            </w:r>
          </w:p>
        </w:tc>
        <w:tc>
          <w:tcPr>
            <w:tcW w:type="dxa" w:w="4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812 </w:t>
            </w:r>
          </w:p>
        </w:tc>
      </w:tr>
      <w:tr>
        <w:trPr>
          <w:trHeight w:hRule="exact" w:val="24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5,110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1,285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3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6,395 </w:t>
            </w:r>
          </w:p>
        </w:tc>
      </w:tr>
      <w:tr>
        <w:trPr>
          <w:trHeight w:hRule="exact" w:val="22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Client operations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114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371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485 </w:t>
            </w:r>
          </w:p>
        </w:tc>
      </w:tr>
      <w:tr>
        <w:trPr>
          <w:trHeight w:hRule="exact" w:val="22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1,626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1,657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3,283 </w:t>
            </w:r>
          </w:p>
        </w:tc>
      </w:tr>
      <w:tr>
        <w:trPr>
          <w:trHeight w:hRule="exact" w:val="234"/>
        </w:trPr>
        <w:tc>
          <w:tcPr>
            <w:tcW w:type="dxa" w:w="34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asset/liability management derivatives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 </w:t>
            </w:r>
          </w:p>
        </w:tc>
      </w:tr>
      <w:tr>
        <w:trPr>
          <w:trHeight w:hRule="exact" w:val="206"/>
        </w:trPr>
        <w:tc>
          <w:tcPr>
            <w:tcW w:type="dxa" w:w="34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Exposure</w:t>
            </w:r>
          </w:p>
        </w:tc>
        <w:tc>
          <w:tcPr>
            <w:tcW w:type="dxa" w:w="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7,206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4,056 </w:t>
            </w:r>
          </w:p>
        </w:tc>
        <w:tc>
          <w:tcPr>
            <w:tcW w:type="dxa" w:w="4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11,262 </w:t>
            </w:r>
          </w:p>
        </w:tc>
      </w:tr>
    </w:tbl>
    <w:p>
      <w:pPr>
        <w:autoSpaceDN w:val="0"/>
        <w:tabs>
          <w:tab w:pos="5380" w:val="left"/>
          <w:tab w:pos="5916" w:val="left"/>
        </w:tabs>
        <w:autoSpaceDE w:val="0"/>
        <w:widowControl/>
        <w:spacing w:line="236" w:lineRule="exact" w:before="430" w:after="6"/>
        <w:ind w:left="62" w:right="2016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F2.1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June 30, 2024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Currency swaps (including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4"/>
        </w:trPr>
        <w:tc>
          <w:tcPr>
            <w:tcW w:type="dxa" w:w="34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Portfolio</w:t>
            </w:r>
          </w:p>
        </w:tc>
        <w:tc>
          <w:tcPr>
            <w:tcW w:type="dxa" w:w="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Interest rate swaps</w:t>
            </w:r>
          </w:p>
        </w:tc>
        <w:tc>
          <w:tcPr>
            <w:tcW w:type="dxa" w:w="3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8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forward contracts)</w:t>
            </w:r>
          </w:p>
        </w:tc>
        <w:tc>
          <w:tcPr>
            <w:tcW w:type="dxa" w:w="4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8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6"/>
        </w:trPr>
        <w:tc>
          <w:tcPr>
            <w:tcW w:type="dxa" w:w="34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</w:t>
            </w:r>
          </w:p>
        </w:tc>
        <w:tc>
          <w:tcPr>
            <w:tcW w:type="dxa" w:w="2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812 </w:t>
            </w:r>
          </w:p>
        </w:tc>
        <w:tc>
          <w:tcPr>
            <w:tcW w:type="dxa" w:w="4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826 </w:t>
            </w:r>
          </w:p>
        </w:tc>
      </w:tr>
      <w:tr>
        <w:trPr>
          <w:trHeight w:hRule="exact" w:val="22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5,893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1,314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3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7,207 </w:t>
            </w:r>
          </w:p>
        </w:tc>
      </w:tr>
      <w:tr>
        <w:trPr>
          <w:trHeight w:hRule="exact" w:val="22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Client operations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274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424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698 </w:t>
            </w:r>
          </w:p>
        </w:tc>
      </w:tr>
      <w:tr>
        <w:trPr>
          <w:trHeight w:hRule="exact" w:val="220"/>
        </w:trPr>
        <w:tc>
          <w:tcPr>
            <w:tcW w:type="dxa" w:w="3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1,555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1,507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3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3,062 </w:t>
            </w:r>
          </w:p>
        </w:tc>
      </w:tr>
      <w:tr>
        <w:trPr>
          <w:trHeight w:hRule="exact" w:val="240"/>
        </w:trPr>
        <w:tc>
          <w:tcPr>
            <w:tcW w:type="dxa" w:w="34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asset/liability management derivatives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241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241 </w:t>
            </w:r>
          </w:p>
        </w:tc>
      </w:tr>
      <w:tr>
        <w:trPr>
          <w:trHeight w:hRule="exact" w:val="206"/>
        </w:trPr>
        <w:tc>
          <w:tcPr>
            <w:tcW w:type="dxa" w:w="34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Exposure</w:t>
            </w:r>
          </w:p>
        </w:tc>
        <w:tc>
          <w:tcPr>
            <w:tcW w:type="dxa" w:w="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3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7,977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8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4,057 </w:t>
            </w:r>
          </w:p>
        </w:tc>
        <w:tc>
          <w:tcPr>
            <w:tcW w:type="dxa" w:w="4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12,034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20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Excludes exchange traded instruments as they are generally subject to daily margin requirements and are deemed to have no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material credit risk.</w:t>
      </w:r>
    </w:p>
    <w:p>
      <w:pPr>
        <w:autoSpaceDN w:val="0"/>
        <w:autoSpaceDE w:val="0"/>
        <w:widowControl/>
        <w:spacing w:line="240" w:lineRule="exact" w:before="7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volume of derivative contracts is measured using the U.S. dollar equivalent notional balance. The notional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balance represents the face value or reference value on which the calculations of payments on the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 are determined. As of March 31, 2025, the notional amounts of IBRD’s derivative contracts outstanding </w:t>
      </w:r>
    </w:p>
    <w:p>
      <w:pPr>
        <w:autoSpaceDN w:val="0"/>
        <w:autoSpaceDE w:val="0"/>
        <w:widowControl/>
        <w:spacing w:line="224" w:lineRule="exact" w:before="534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47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10" w:right="7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were as follows: interest rate swaps $438,359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 ($436,783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million—June 30, 2024), currency swaps $136,197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 ($120,483 million—June 30, 2024), long positions of other derivatives $342 million ($280 million—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2024), and short positions of other derivatives $165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($201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million—June 30, 2024).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is not required to post collateral under its derivative agreements as long as it maintains a triple-A credit rating.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aggregate fair value of all derivative instruments with credit-risk related contingent features that were in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liability position as of March 31, 2025 was $17,447 million ($22,858 million—June 30, 2024). IBRD has not posted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any collateral with these counterparties due to its triple-A credit rating.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If the credit risk related contingent features underlying these agreements were triggered to the extent that IBRD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would be required to post collateral as of March 31, 2025, the amount of collateral that would need to be posted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would be $13,249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 ($18,593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million—June 30, 2024). Subsequent triggers of contingent features would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require posting of additional collateral, up to a maximum of $17,447 million ($22,858 million—June 30, 2024).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 received collateral totaling $348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 as of March 31, 2025 ($343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million—June 30, 2024), in relation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swap transactions (Note C—Investments).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information on the unrealized mark-to-market gains and losses on the non-trading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derivatives and their location on the Condensed Statements of Income: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F3: Unrealized mark-to-market gains or losses on non-trading derivatives</w:t>
      </w:r>
    </w:p>
    <w:p>
      <w:pPr>
        <w:autoSpaceDN w:val="0"/>
        <w:autoSpaceDE w:val="0"/>
        <w:widowControl/>
        <w:spacing w:line="178" w:lineRule="exact" w:before="86" w:after="14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84"/>
        </w:trPr>
        <w:tc>
          <w:tcPr>
            <w:tcW w:type="dxa" w:w="26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4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Type of instrument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32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Reported as:</w:t>
            </w:r>
          </w:p>
        </w:tc>
        <w:tc>
          <w:tcPr>
            <w:tcW w:type="dxa" w:w="1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Three Months Ended </w:t>
            </w:r>
          </w:p>
        </w:tc>
        <w:tc>
          <w:tcPr>
            <w:tcW w:type="dxa" w:w="167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30"/>
        </w:trPr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95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  <w:tc>
          <w:tcPr>
            <w:tcW w:type="dxa" w:w="149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8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</w:tr>
      <w:tr>
        <w:trPr>
          <w:trHeight w:hRule="exact" w:val="224"/>
        </w:trPr>
        <w:tc>
          <w:tcPr>
            <w:tcW w:type="dxa" w:w="2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1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5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85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  <w:tr>
        <w:trPr>
          <w:trHeight w:hRule="exact" w:val="206"/>
        </w:trPr>
        <w:tc>
          <w:tcPr>
            <w:tcW w:type="dxa" w:w="2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329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70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(losses) gains </w:t>
            </w:r>
          </w:p>
        </w:tc>
        <w:tc>
          <w:tcPr>
            <w:tcW w:type="dxa" w:w="2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1,453 </w:t>
            </w:r>
          </w:p>
        </w:tc>
        <w:tc>
          <w:tcPr>
            <w:tcW w:type="dxa" w:w="110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(1,130) $ </w:t>
            </w:r>
          </w:p>
        </w:tc>
        <w:tc>
          <w:tcPr>
            <w:tcW w:type="dxa" w:w="6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4,644 </w:t>
            </w:r>
          </w:p>
        </w:tc>
        <w:tc>
          <w:tcPr>
            <w:tcW w:type="dxa" w:w="29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3,381 </w:t>
            </w:r>
          </w:p>
        </w:tc>
      </w:tr>
      <w:tr>
        <w:trPr>
          <w:trHeight w:hRule="exact" w:val="160"/>
        </w:trPr>
        <w:tc>
          <w:tcPr>
            <w:tcW w:type="dxa" w:w="265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(including forward </w:t>
            </w:r>
          </w:p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85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336 </w:t>
            </w:r>
          </w:p>
        </w:tc>
        <w:tc>
          <w:tcPr>
            <w:tcW w:type="dxa" w:w="110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0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(532) </w:t>
            </w:r>
          </w:p>
        </w:tc>
        <w:tc>
          <w:tcPr>
            <w:tcW w:type="dxa" w:w="6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0" w:after="0"/>
              <w:ind w:left="1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1,138 </w:t>
            </w:r>
          </w:p>
        </w:tc>
        <w:tc>
          <w:tcPr>
            <w:tcW w:type="dxa" w:w="85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1,266 </w:t>
            </w:r>
          </w:p>
        </w:tc>
      </w:tr>
      <w:tr>
        <w:trPr>
          <w:trHeight w:hRule="exact" w:val="80"/>
        </w:trPr>
        <w:tc>
          <w:tcPr>
            <w:tcW w:type="dxa" w:w="1049"/>
            <w:vMerge/>
            <w:tcBorders/>
          </w:tcPr>
          <w:p/>
        </w:tc>
        <w:tc>
          <w:tcPr>
            <w:tcW w:type="dxa" w:w="32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on non-trading portfolios, net</w:t>
            </w:r>
          </w:p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90"/>
        </w:trPr>
        <w:tc>
          <w:tcPr>
            <w:tcW w:type="dxa" w:w="26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contracts and structured swaps)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04"/>
        </w:trPr>
        <w:tc>
          <w:tcPr>
            <w:tcW w:type="dxa" w:w="2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2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1,789 </w:t>
            </w:r>
          </w:p>
        </w:tc>
        <w:tc>
          <w:tcPr>
            <w:tcW w:type="dxa" w:w="11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(1,662) 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5,782 </w:t>
            </w:r>
          </w:p>
        </w:tc>
        <w:tc>
          <w:tcPr>
            <w:tcW w:type="dxa" w:w="2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4,647 </w:t>
            </w:r>
          </w:p>
        </w:tc>
      </w:tr>
    </w:tbl>
    <w:p>
      <w:pPr>
        <w:autoSpaceDN w:val="0"/>
        <w:autoSpaceDE w:val="0"/>
        <w:widowControl/>
        <w:spacing w:line="180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For disclosures related to derivatives in trading portfolio, see Table F4. </w:t>
      </w:r>
    </w:p>
    <w:p>
      <w:pPr>
        <w:autoSpaceDN w:val="0"/>
        <w:autoSpaceDE w:val="0"/>
        <w:widowControl/>
        <w:spacing w:line="240" w:lineRule="exact" w:before="19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of the instruments in IBRD’s investment portfolio are held for trading purposes. Within the investment portfolio,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holds highly rated fixed income securities, equity securities and derivatives. The trading portfolio is primarily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held to ensure the availability of funds to meet future cash flow requirements and for liquidity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purposes.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information on the amount of unrealized mark-to-market gains and losses on the net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Investment–Trading portfolio and their location on the Condensed Statements of Income: 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F4: Unrealized mark-to-market gains or losses on net investment-trading portfolio</w:t>
      </w:r>
    </w:p>
    <w:p>
      <w:pPr>
        <w:autoSpaceDN w:val="0"/>
        <w:autoSpaceDE w:val="0"/>
        <w:widowControl/>
        <w:spacing w:line="180" w:lineRule="exact" w:before="92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06"/>
        </w:trPr>
        <w:tc>
          <w:tcPr>
            <w:tcW w:type="dxa" w:w="59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8" w:after="0"/>
              <w:ind w:left="0" w:right="117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Reported as:</w:t>
            </w:r>
          </w:p>
        </w:tc>
        <w:tc>
          <w:tcPr>
            <w:tcW w:type="dxa" w:w="171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Three Months Ended </w:t>
            </w:r>
          </w:p>
        </w:tc>
        <w:tc>
          <w:tcPr>
            <w:tcW w:type="dxa" w:w="171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7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30"/>
        </w:trPr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  <w:tc>
          <w:tcPr>
            <w:tcW w:type="dxa" w:w="17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</w:tr>
      <w:tr>
        <w:trPr>
          <w:trHeight w:hRule="exact" w:val="240"/>
        </w:trPr>
        <w:tc>
          <w:tcPr>
            <w:tcW w:type="dxa" w:w="5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8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200" w:lineRule="exact" w:before="0" w:after="2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Type of instrument </w:t>
      </w:r>
      <w:r>
        <w:rPr>
          <w:w w:val="103.99999618530273"/>
          <w:rFonts w:ascii="ArialMT" w:hAnsi="ArialMT" w:eastAsia="ArialMT"/>
          <w:b w:val="0"/>
          <w:i w:val="0"/>
          <w:color w:val="000000"/>
          <w:sz w:val="10"/>
        </w:rPr>
        <w:t>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192"/>
        </w:trPr>
        <w:tc>
          <w:tcPr>
            <w:tcW w:type="dxa" w:w="2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Fixed income </w:t>
            </w:r>
          </w:p>
        </w:tc>
        <w:tc>
          <w:tcPr>
            <w:tcW w:type="dxa" w:w="367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52" w:after="0"/>
              <w:ind w:left="5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(losses) gains </w:t>
            </w:r>
          </w:p>
        </w:tc>
        <w:tc>
          <w:tcPr>
            <w:tcW w:type="dxa" w:w="3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(18) $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3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(88) $ </w:t>
            </w:r>
          </w:p>
        </w:tc>
        <w:tc>
          <w:tcPr>
            <w:tcW w:type="dxa" w:w="4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</w:tr>
      <w:tr>
        <w:trPr>
          <w:trHeight w:hRule="exact" w:val="144"/>
        </w:trPr>
        <w:tc>
          <w:tcPr>
            <w:tcW w:type="dxa" w:w="23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Equity and other fund </w:t>
            </w:r>
          </w:p>
        </w:tc>
        <w:tc>
          <w:tcPr>
            <w:tcW w:type="dxa" w:w="1180"/>
            <w:vMerge/>
            <w:tcBorders/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76" w:after="0"/>
              <w:ind w:left="0" w:right="3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  <w:tc>
          <w:tcPr>
            <w:tcW w:type="dxa" w:w="4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7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76" w:after="0"/>
              <w:ind w:left="2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7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 </w:t>
            </w:r>
          </w:p>
        </w:tc>
      </w:tr>
      <w:tr>
        <w:trPr>
          <w:trHeight w:hRule="exact" w:val="116"/>
        </w:trPr>
        <w:tc>
          <w:tcPr>
            <w:tcW w:type="dxa" w:w="1180"/>
            <w:vMerge/>
            <w:tcBorders/>
          </w:tcPr>
          <w:p/>
        </w:tc>
        <w:tc>
          <w:tcPr>
            <w:tcW w:type="dxa" w:w="36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7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on Investments-Trading portfolio, net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6"/>
        </w:trPr>
        <w:tc>
          <w:tcPr>
            <w:tcW w:type="dxa" w:w="2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3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investments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0"/>
        </w:trPr>
        <w:tc>
          <w:tcPr>
            <w:tcW w:type="dxa" w:w="2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(24) $ </w:t>
            </w:r>
          </w:p>
        </w:tc>
        <w:tc>
          <w:tcPr>
            <w:tcW w:type="dxa" w:w="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 </w:t>
            </w:r>
          </w:p>
        </w:tc>
        <w:tc>
          <w:tcPr>
            <w:tcW w:type="dxa" w:w="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(67) $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80" w:after="0"/>
        <w:ind w:left="62" w:right="57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Amounts associated with each type of instrument include gains and losses on both derivative instruments and investment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securities. 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Related to PEBP holdings and investments related to LPF1 and GFPP.</w:t>
      </w:r>
    </w:p>
    <w:p>
      <w:pPr>
        <w:autoSpaceDN w:val="0"/>
        <w:autoSpaceDE w:val="0"/>
        <w:widowControl/>
        <w:spacing w:line="224" w:lineRule="exact" w:before="174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48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46" w:lineRule="exact" w:before="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G—RETAINED EARNINGS, ALLOCATIONS AND TRANSFERS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makes net income allocation decisions on the basis of reported net income, adjusted to exclude unrealized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mark-to-market gains and losses on the non-trading portfolios, net; restricted income; Board of Governors-approved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other transfers; non-functional currency translation adjustments; and the allocation to the pension reserve.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August 6, 2024, IBRD’s Executive Directors approved the following allocations relating to the net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earned in the fiscal year ended June 30, 2024: an increase in the General Reserve of $834 million and an increase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Pension Reserve by $306 million.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September 9, 2024, IBRD’s Board of Governors approved contributions from Surplus of $100 million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Trust Fund for Gaza and the West Bank. This amount was paid on September 16, 2024. On September 18, 2024,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IBRD's Board of Governors approved an additional transfer of $200 million from Surplus to the Trust Fund for Gaza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the West Bank. This amount was paid on September 30, 2024. Contributions to the Trust Fund for Gaza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West Bank are recorded in Board of Governors-approved and other transfers on the Condensed Statements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Income.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September 18, 2024, IBRD’s Board of Governors approved a transfer of $515 million to the International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Association (IDA) and a transfer of $500 million to Surplus out of the net income earned in the fiscal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year ended June 30, 2024. The transfer to IDA was made on September 30, 2024, and is recorded in Board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Governors-approved and other transfers on the Condensed Statements of Income.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September 18, 2024, IBRD's Board of Governors approved a transfer within retained earnings of $200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from Surplus to the IBRD Surplus-Funded Livable Planet Fund (LPF1). On January 17, 2025, IBRD's Board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Governors approved a transfer within retained earnings from Surplus of $100 million to the Grant Facility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Project Preparation (GFPP).</w:t>
      </w:r>
    </w:p>
    <w:p>
      <w:pPr>
        <w:autoSpaceDN w:val="0"/>
        <w:autoSpaceDE w:val="0"/>
        <w:widowControl/>
        <w:spacing w:line="224" w:lineRule="exact" w:before="136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portion of LPF1 and the GFPP contributions, not expensed yet, are included in Retained Earnings 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Condensed Balance Sheet ($419 million —March 31, 2025 and $101 million —June 30, 2024). For the nine months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ended March 31, 2025, no contribution expenses were recognized on the Condensed Statements of Income. </w:t>
      </w:r>
    </w:p>
    <w:p>
      <w:pPr>
        <w:autoSpaceDN w:val="0"/>
        <w:autoSpaceDE w:val="0"/>
        <w:widowControl/>
        <w:spacing w:line="222" w:lineRule="exact" w:before="19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Retained earnings is comprised of the following components:</w:t>
      </w:r>
    </w:p>
    <w:p>
      <w:pPr>
        <w:autoSpaceDN w:val="0"/>
        <w:autoSpaceDE w:val="0"/>
        <w:widowControl/>
        <w:spacing w:line="222" w:lineRule="exact" w:before="15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G1: Retained earnings composition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32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Special reserve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293 </w:t>
            </w:r>
          </w:p>
        </w:tc>
        <w:tc>
          <w:tcPr>
            <w:tcW w:type="dxa" w:w="2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293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General reserve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34,058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33,224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Pension reserve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987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681 </w:t>
            </w:r>
          </w:p>
        </w:tc>
      </w:tr>
      <w:tr>
        <w:trPr>
          <w:trHeight w:hRule="exact" w:val="22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Surplus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</w:tr>
      <w:tr>
        <w:trPr>
          <w:trHeight w:hRule="exact" w:val="26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Cumulative fair value adjustments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1,390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1,103 </w:t>
            </w:r>
          </w:p>
        </w:tc>
      </w:tr>
      <w:tr>
        <w:trPr>
          <w:trHeight w:hRule="exact" w:val="24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Unallocated net income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2,051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2,513 </w:t>
            </w:r>
          </w:p>
        </w:tc>
      </w:tr>
      <w:tr>
        <w:trPr>
          <w:trHeight w:hRule="exact" w:val="220"/>
        </w:trPr>
        <w:tc>
          <w:tcPr>
            <w:tcW w:type="dxa" w:w="6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Restricted retained earnings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</w:tr>
      <w:tr>
        <w:trPr>
          <w:trHeight w:hRule="exact" w:val="268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reserves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729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358 </w:t>
            </w:r>
          </w:p>
        </w:tc>
      </w:tr>
      <w:tr>
        <w:trPr>
          <w:trHeight w:hRule="exact" w:val="220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39,519 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38,283 </w:t>
            </w:r>
          </w:p>
        </w:tc>
      </w:tr>
    </w:tbl>
    <w:p>
      <w:pPr>
        <w:autoSpaceDN w:val="0"/>
        <w:autoSpaceDE w:val="0"/>
        <w:widowControl/>
        <w:spacing w:line="178" w:lineRule="exact" w:before="28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Unrealized mark-to-market gains (losses), net related to non-trading portfolios reported at fair value.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4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Comprised of non-functional currency translation gains/losses, the portion of the cumulative transfers to the LPF1 and the GFPP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not expensed yet, and revenue from prior years which is set aside for a dedicated purpose.</w:t>
      </w:r>
    </w:p>
    <w:p>
      <w:pPr>
        <w:autoSpaceDN w:val="0"/>
        <w:autoSpaceDE w:val="0"/>
        <w:widowControl/>
        <w:spacing w:line="244" w:lineRule="exact" w:before="31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H—TRANSACTIONS WITH AFFILIATED ORGANIZATIONS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transacts with affiliated organizations by providing loans, administrative, derivative and investment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intermediation services, and through its pension and other postretirement benefit plans.</w:t>
      </w:r>
    </w:p>
    <w:p>
      <w:pPr>
        <w:autoSpaceDN w:val="0"/>
        <w:autoSpaceDE w:val="0"/>
        <w:widowControl/>
        <w:spacing w:line="240" w:lineRule="exact" w:before="120" w:after="0"/>
        <w:ind w:left="10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IBRD provides transfers to IDA out of its net income, upon approval by the Board of Governors (see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Note G—Retained Earnings, Allocations and Transfers).</w:t>
      </w:r>
    </w:p>
    <w:p>
      <w:pPr>
        <w:autoSpaceDN w:val="0"/>
        <w:autoSpaceDE w:val="0"/>
        <w:widowControl/>
        <w:spacing w:line="224" w:lineRule="exact" w:before="918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49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 had the following receivables from (payables to) its affiliated organizations</w:t>
      </w:r>
      <w:r>
        <w:rPr>
          <w:rFonts w:ascii="ArialMT" w:hAnsi="ArialMT" w:eastAsia="ArialMT"/>
          <w:b w:val="0"/>
          <w:i w:val="0"/>
          <w:color w:val="000000"/>
          <w:sz w:val="16"/>
        </w:rPr>
        <w:t>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H1: IBRD’s receivables and payables with affiliated organizations</w:t>
      </w:r>
    </w:p>
    <w:p>
      <w:pPr>
        <w:autoSpaceDN w:val="0"/>
        <w:autoSpaceDE w:val="0"/>
        <w:widowControl/>
        <w:spacing w:line="178" w:lineRule="exact" w:before="86" w:after="14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</w:tblGrid>
      <w:tr>
        <w:trPr>
          <w:trHeight w:hRule="exact" w:val="224"/>
        </w:trPr>
        <w:tc>
          <w:tcPr>
            <w:tcW w:type="dxa" w:w="2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7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4"/>
        </w:trPr>
        <w:tc>
          <w:tcPr>
            <w:tcW w:type="dxa" w:w="2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IDA</w:t>
            </w:r>
          </w:p>
        </w:tc>
        <w:tc>
          <w:tcPr>
            <w:tcW w:type="dxa" w:w="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IFC</w:t>
            </w:r>
          </w:p>
        </w:tc>
        <w:tc>
          <w:tcPr>
            <w:tcW w:type="dxa" w:w="6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MIGA</w:t>
            </w:r>
          </w:p>
        </w:tc>
        <w:tc>
          <w:tcPr>
            <w:tcW w:type="dxa" w:w="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IDA</w:t>
            </w:r>
          </w:p>
        </w:tc>
        <w:tc>
          <w:tcPr>
            <w:tcW w:type="dxa" w:w="2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IFC</w:t>
            </w:r>
          </w:p>
        </w:tc>
        <w:tc>
          <w:tcPr>
            <w:tcW w:type="dxa" w:w="76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MIGA</w:t>
            </w:r>
          </w:p>
        </w:tc>
        <w:tc>
          <w:tcPr>
            <w:tcW w:type="dxa" w:w="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6"/>
        </w:trPr>
        <w:tc>
          <w:tcPr>
            <w:tcW w:type="dxa" w:w="2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Administrative services</w:t>
            </w:r>
          </w:p>
        </w:tc>
        <w:tc>
          <w:tcPr>
            <w:tcW w:type="dxa" w:w="21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563 </w:t>
            </w:r>
          </w:p>
        </w:tc>
        <w:tc>
          <w:tcPr>
            <w:tcW w:type="dxa" w:w="24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(11) $ </w:t>
            </w:r>
          </w:p>
        </w:tc>
        <w:tc>
          <w:tcPr>
            <w:tcW w:type="dxa" w:w="6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23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565 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279 </w:t>
            </w:r>
          </w:p>
        </w:tc>
        <w:tc>
          <w:tcPr>
            <w:tcW w:type="dxa" w:w="26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34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2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23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296 </w:t>
            </w:r>
          </w:p>
        </w:tc>
      </w:tr>
      <w:tr>
        <w:trPr>
          <w:trHeight w:hRule="exact" w:val="258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PCRF investments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(664) 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(461)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(1,125) 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(489) 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(344) </w:t>
            </w:r>
          </w:p>
        </w:tc>
        <w:tc>
          <w:tcPr>
            <w:tcW w:type="dxa" w:w="7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90"/>
            <w:vMerge/>
            <w:tcBorders>
              <w:top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(833)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Pension and other postretirement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14"/>
        </w:trPr>
        <w:tc>
          <w:tcPr>
            <w:tcW w:type="dxa" w:w="2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benefits</w:t>
            </w:r>
          </w:p>
        </w:tc>
        <w:tc>
          <w:tcPr>
            <w:tcW w:type="dxa" w:w="7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(1,002) </w:t>
            </w:r>
          </w:p>
        </w:tc>
        <w:tc>
          <w:tcPr>
            <w:tcW w:type="dxa" w:w="11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(805) </w:t>
            </w:r>
          </w:p>
        </w:tc>
        <w:tc>
          <w:tcPr>
            <w:tcW w:type="dxa" w:w="4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(32) </w:t>
            </w:r>
          </w:p>
        </w:tc>
        <w:tc>
          <w:tcPr>
            <w:tcW w:type="dxa" w:w="8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(1,839) </w:t>
            </w:r>
          </w:p>
        </w:tc>
        <w:tc>
          <w:tcPr>
            <w:tcW w:type="dxa" w:w="8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(906) </w:t>
            </w:r>
          </w:p>
        </w:tc>
        <w:tc>
          <w:tcPr>
            <w:tcW w:type="dxa" w:w="11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(774) </w:t>
            </w:r>
          </w:p>
        </w:tc>
        <w:tc>
          <w:tcPr>
            <w:tcW w:type="dxa" w:w="4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(30) </w:t>
            </w:r>
          </w:p>
        </w:tc>
        <w:tc>
          <w:tcPr>
            <w:tcW w:type="dxa" w:w="8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(1,710) </w:t>
            </w:r>
          </w:p>
        </w:tc>
      </w:tr>
      <w:tr>
        <w:trPr>
          <w:trHeight w:hRule="exact" w:val="204"/>
        </w:trPr>
        <w:tc>
          <w:tcPr>
            <w:tcW w:type="dxa" w:w="2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970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(1,103)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  <w:u w:val="single"/>
              </w:rPr>
              <w:t xml:space="preserve">$ (1,277)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300"/>
            <w:gridSpan w:val="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(19)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  <w:u w:val="single"/>
              </w:rPr>
              <w:t xml:space="preserve">$ (2,399)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  <w:u w:val="single"/>
              </w:rPr>
              <w:t xml:space="preserve">$ (1,116)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  <w:u w:val="single"/>
              </w:rPr>
              <w:t xml:space="preserve">$ (1,117)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90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  <w:u w:val="single"/>
              </w:rPr>
              <w:t xml:space="preserve">$ (2,247) </w:t>
            </w:r>
          </w:p>
        </w:tc>
      </w:tr>
      <w:tr>
        <w:trPr>
          <w:trHeight w:hRule="exact" w:val="246"/>
        </w:trPr>
        <w:tc>
          <w:tcPr>
            <w:tcW w:type="dxa" w:w="2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196"/>
            <w:gridSpan w:val="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exact" w:before="162" w:after="168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receivables from (payables to) these affiliated organizations are reported on the Condensed Balance Sheets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follows: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900"/>
        </w:trPr>
        <w:tc>
          <w:tcPr>
            <w:tcW w:type="dxa" w:w="3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0" w:after="0"/>
              <w:ind w:left="10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Receivables / Payables related to: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Administrative services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PCRF investments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Pension and other postretirement benefits</w:t>
            </w:r>
          </w:p>
        </w:tc>
        <w:tc>
          <w:tcPr>
            <w:tcW w:type="dxa" w:w="5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0" w:after="0"/>
              <w:ind w:left="860" w:right="360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Reported as: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assets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liabilities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liabilities</w:t>
            </w:r>
          </w:p>
        </w:tc>
      </w:tr>
    </w:tbl>
    <w:p>
      <w:pPr>
        <w:autoSpaceDN w:val="0"/>
        <w:autoSpaceDE w:val="0"/>
        <w:widowControl/>
        <w:spacing w:line="244" w:lineRule="exact" w:before="16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Loans and Other Exposures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has a Local Currency Loan Facility Agreement with IFC, which is capped at $300 million. As of March 31,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2025 and June 30, 2024, there were no loans outstanding under this facility. 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Administrative Services</w:t>
      </w:r>
    </w:p>
    <w:p>
      <w:pPr>
        <w:autoSpaceDN w:val="0"/>
        <w:autoSpaceDE w:val="0"/>
        <w:widowControl/>
        <w:spacing w:line="222" w:lineRule="exact" w:before="14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Expenses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Expenses jointly incurred by IBRD and IDA are allocated based on an agreed cost-sharing methodology,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amounts are settled quarterly. For the three and nine months ended March 31, 2025, IBRD’s administrative expenses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exclude the share of expenses allocated to IDA of $465 million and $1,420 million, respectively ($420 million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$1,291 million—three and nine months ended March 31, 2024).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Revenue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jointly earned by IBRD and IDA is allocated based on an agreed revenue-sharing methodology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amounts are settled quarterly. For the three and nine months ended March 31, 2025, IBRD’s other revenue excludes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allocated to IDA of $74 million and $230 million ($86 million and $237 million—three and nine months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ended March 31, 2024), and is included in Revenue from externally funded activities in the Condensed Statements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Income. This revenue also includes revenue from contracts with clients that are not affiliated with IBRD and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follows: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H2: Revenue from contracts with clients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0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 March 31,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 March 31,</w:t>
            </w:r>
          </w:p>
        </w:tc>
      </w:tr>
      <w:tr>
        <w:trPr>
          <w:trHeight w:hRule="exact" w:val="240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0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6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7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9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59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  <w:tr>
        <w:trPr>
          <w:trHeight w:hRule="exact" w:val="232"/>
        </w:trPr>
        <w:tc>
          <w:tcPr>
            <w:tcW w:type="dxa" w:w="3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Trust fund fees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  <w:tc>
          <w:tcPr>
            <w:tcW w:type="dxa" w:w="68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 </w:t>
            </w:r>
          </w:p>
        </w:tc>
        <w:tc>
          <w:tcPr>
            <w:tcW w:type="dxa" w:w="2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123 </w:t>
            </w:r>
          </w:p>
        </w:tc>
        <w:tc>
          <w:tcPr>
            <w:tcW w:type="dxa" w:w="65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146 </w:t>
            </w:r>
          </w:p>
        </w:tc>
      </w:tr>
      <w:tr>
        <w:trPr>
          <w:trHeight w:hRule="exact" w:val="240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Reimbursable advisory services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 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</w:tr>
      <w:tr>
        <w:trPr>
          <w:trHeight w:hRule="exact" w:val="248"/>
        </w:trPr>
        <w:tc>
          <w:tcPr>
            <w:tcW w:type="dxa" w:w="3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 management services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16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 </w:t>
            </w:r>
          </w:p>
        </w:tc>
        <w:tc>
          <w:tcPr>
            <w:tcW w:type="dxa" w:w="159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</w:t>
            </w:r>
          </w:p>
        </w:tc>
      </w:tr>
      <w:tr>
        <w:trPr>
          <w:trHeight w:hRule="exact" w:val="240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 </w:t>
            </w:r>
          </w:p>
        </w:tc>
        <w:tc>
          <w:tcPr>
            <w:tcW w:type="dxa" w:w="68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 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206 </w:t>
            </w:r>
          </w:p>
        </w:tc>
        <w:tc>
          <w:tcPr>
            <w:tcW w:type="dxa" w:w="6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231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2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96"/>
        </w:trPr>
        <w:tc>
          <w:tcPr>
            <w:tcW w:type="dxa" w:w="2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IBRD’s share</w:t>
            </w:r>
          </w:p>
        </w:tc>
        <w:tc>
          <w:tcPr>
            <w:tcW w:type="dxa" w:w="16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</w:t>
            </w:r>
          </w:p>
        </w:tc>
        <w:tc>
          <w:tcPr>
            <w:tcW w:type="dxa" w:w="6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 </w:t>
            </w:r>
          </w:p>
        </w:tc>
        <w:tc>
          <w:tcPr>
            <w:tcW w:type="dxa" w:w="5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6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116 </w:t>
            </w:r>
          </w:p>
        </w:tc>
      </w:tr>
      <w:tr>
        <w:trPr>
          <w:trHeight w:hRule="exact" w:val="528"/>
        </w:trPr>
        <w:tc>
          <w:tcPr>
            <w:tcW w:type="dxa" w:w="2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IDA’s share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" w:after="0"/>
              <w:ind w:left="0" w:right="2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104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9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115 </w:t>
            </w:r>
          </w:p>
        </w:tc>
      </w:tr>
    </w:tbl>
    <w:p>
      <w:pPr>
        <w:autoSpaceDN w:val="0"/>
        <w:autoSpaceDE w:val="0"/>
        <w:widowControl/>
        <w:spacing w:line="222" w:lineRule="exact" w:before="18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Each revenue stream represents compensation for services provided and the related revenue is recognized over time.</w:t>
      </w:r>
    </w:p>
    <w:p>
      <w:pPr>
        <w:autoSpaceDN w:val="0"/>
        <w:autoSpaceDE w:val="0"/>
        <w:widowControl/>
        <w:spacing w:line="224" w:lineRule="exact" w:before="86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50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When IBRD performs services, its rights to consideration are deemed unconditional and are classified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receivables. IBRD also has an obligation to provide certain services for which it has received consideration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advance. Such consideration is presented as contract liability and is subsequently recognized as revenue when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related performance obligation is satisfied.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shows IBRD’s receivables and contract liabilities related to revenue from contracts with clients: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H3: Receivables and contract liabilities related to revenue from contracts with clients</w:t>
      </w:r>
    </w:p>
    <w:p>
      <w:pPr>
        <w:autoSpaceDN w:val="0"/>
        <w:autoSpaceDE w:val="0"/>
        <w:widowControl/>
        <w:spacing w:line="178" w:lineRule="exact" w:before="86" w:after="14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4"/>
        </w:trPr>
        <w:tc>
          <w:tcPr>
            <w:tcW w:type="dxa" w:w="60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10"/>
        </w:trPr>
        <w:tc>
          <w:tcPr>
            <w:tcW w:type="dxa" w:w="60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Receivables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  <w:tc>
          <w:tcPr>
            <w:tcW w:type="dxa" w:w="2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</w:tr>
      <w:tr>
        <w:trPr>
          <w:trHeight w:hRule="exact" w:val="466"/>
        </w:trPr>
        <w:tc>
          <w:tcPr>
            <w:tcW w:type="dxa" w:w="60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Contract liabilities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169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 </w:t>
            </w:r>
          </w:p>
        </w:tc>
      </w:tr>
    </w:tbl>
    <w:p>
      <w:pPr>
        <w:autoSpaceDN w:val="0"/>
        <w:autoSpaceDE w:val="0"/>
        <w:widowControl/>
        <w:spacing w:line="240" w:lineRule="exact" w:before="15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amount of fee revenue associated with services provided to affiliated organizations that is included in Revenue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from externally funded activities in the Condensed Statements of Income, is as follows:</w:t>
      </w:r>
    </w:p>
    <w:p>
      <w:pPr>
        <w:autoSpaceDN w:val="0"/>
        <w:autoSpaceDE w:val="0"/>
        <w:widowControl/>
        <w:spacing w:line="220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H4: Fee revenue from affiliated organizations</w:t>
      </w:r>
    </w:p>
    <w:p>
      <w:pPr>
        <w:autoSpaceDN w:val="0"/>
        <w:autoSpaceDE w:val="0"/>
        <w:widowControl/>
        <w:spacing w:line="178" w:lineRule="exact" w:before="84" w:after="12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24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 March 31,</w:t>
            </w:r>
          </w:p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 March 31,</w:t>
            </w:r>
          </w:p>
        </w:tc>
      </w:tr>
      <w:tr>
        <w:trPr>
          <w:trHeight w:hRule="exact" w:val="226"/>
        </w:trPr>
        <w:tc>
          <w:tcPr>
            <w:tcW w:type="dxa" w:w="3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8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2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6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5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  <w:tr>
        <w:trPr>
          <w:trHeight w:hRule="exact" w:val="220"/>
        </w:trPr>
        <w:tc>
          <w:tcPr>
            <w:tcW w:type="dxa" w:w="3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Fees charged to IFC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1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3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 </w:t>
            </w:r>
          </w:p>
        </w:tc>
        <w:tc>
          <w:tcPr>
            <w:tcW w:type="dxa" w:w="65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</w:tr>
      <w:tr>
        <w:trPr>
          <w:trHeight w:hRule="exact" w:val="454"/>
        </w:trPr>
        <w:tc>
          <w:tcPr>
            <w:tcW w:type="dxa" w:w="3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Fees charged to MIGA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3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16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</w:tr>
    </w:tbl>
    <w:p>
      <w:pPr>
        <w:autoSpaceDN w:val="0"/>
        <w:autoSpaceDE w:val="0"/>
        <w:widowControl/>
        <w:spacing w:line="244" w:lineRule="exact" w:before="16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Investments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relate to investments that IBRD has made on behalf of IFC, associated with the PCRF, and are included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Investments-Trading in IBRD’s Condensed Balance Sheets. The corresponding payable to IFC is included in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liabilities in IBRD’s Condensed Balance Sheets. As a result, there is no impact on IBRD’s net asset value from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transactions.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Pension and Other Postretirement Benefits</w:t>
      </w:r>
    </w:p>
    <w:p>
      <w:pPr>
        <w:autoSpaceDN w:val="0"/>
        <w:autoSpaceDE w:val="0"/>
        <w:widowControl/>
        <w:spacing w:line="240" w:lineRule="exact" w:before="12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payable to IDA represents IDA’s net share of prepaid costs for pension and other postretirement benefit plans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PEBP assets. These will be realized over the life of the pension plan participants. The payables to IFC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MIGA represent their respective share of PEBP assets.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PEBP assets are managed by IBRD and are part of the investment portfolio. For Pension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Postretirement Benefits related disclosures, see Note K—Pension and Other Postretirement Benefits.</w:t>
      </w:r>
    </w:p>
    <w:p>
      <w:pPr>
        <w:autoSpaceDN w:val="0"/>
        <w:autoSpaceDE w:val="0"/>
        <w:widowControl/>
        <w:spacing w:line="246" w:lineRule="exact" w:before="26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I—ACCUMULATED OTHER COMPREHENSIVE INCOME</w:t>
      </w:r>
    </w:p>
    <w:p>
      <w:pPr>
        <w:autoSpaceDN w:val="0"/>
        <w:autoSpaceDE w:val="0"/>
        <w:widowControl/>
        <w:spacing w:line="240" w:lineRule="exact" w:before="11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Comprehensive income or loss consists of net income and other gains and losses affecting equity that, under U.S.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GAAP, are excluded from net income. Other comprehensive income (loss) comprises currency translation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adjustments on assets and liabilities denominated in euro, DVA on Fair Value Option elected liabilities, and pension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related items. These items are presented in the Condensed Statements of Comprehensive Income. </w:t>
      </w:r>
    </w:p>
    <w:p>
      <w:pPr>
        <w:autoSpaceDN w:val="0"/>
        <w:autoSpaceDE w:val="0"/>
        <w:widowControl/>
        <w:spacing w:line="224" w:lineRule="exact" w:before="3352" w:after="0"/>
        <w:ind w:left="191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Condensed Quarterly Financial Statements: March 31, 2025 (Unaudited)     51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present the changes in Accumulated Other Comprehensive Income (AOCI) and Accumulated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Other Comprehensive Loss (AOCL):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I1: AOCI/AOCL changes</w:t>
      </w:r>
    </w:p>
    <w:p>
      <w:pPr>
        <w:autoSpaceDN w:val="0"/>
        <w:autoSpaceDE w:val="0"/>
        <w:widowControl/>
        <w:spacing w:line="178" w:lineRule="exact" w:before="9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164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Nine Months Ended March 31, 2025</w:t>
      </w:r>
    </w:p>
    <w:p>
      <w:pPr>
        <w:autoSpaceDN w:val="0"/>
        <w:autoSpaceDE w:val="0"/>
        <w:widowControl/>
        <w:spacing w:line="180" w:lineRule="exact" w:before="70" w:after="6"/>
        <w:ind w:left="0" w:right="256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Amounts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trHeight w:hRule="exact" w:val="174"/>
        </w:trPr>
        <w:tc>
          <w:tcPr>
            <w:tcW w:type="dxa" w:w="36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2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</w:t>
            </w:r>
          </w:p>
        </w:tc>
        <w:tc>
          <w:tcPr>
            <w:tcW w:type="dxa" w:w="9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4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Changes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reclassified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Net Changes </w:t>
            </w:r>
          </w:p>
        </w:tc>
        <w:tc>
          <w:tcPr>
            <w:tcW w:type="dxa" w:w="115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4" w:after="0"/>
              <w:ind w:left="1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end </w:t>
            </w:r>
          </w:p>
        </w:tc>
      </w:tr>
      <w:tr>
        <w:trPr>
          <w:trHeight w:hRule="exact" w:val="200"/>
        </w:trPr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beginning of </w:t>
            </w:r>
          </w:p>
        </w:tc>
        <w:tc>
          <w:tcPr>
            <w:tcW w:type="dxa" w:w="944"/>
            <w:vMerge/>
            <w:tcBorders/>
          </w:tcPr>
          <w:p/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5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into net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during the </w:t>
            </w:r>
          </w:p>
        </w:tc>
        <w:tc>
          <w:tcPr>
            <w:tcW w:type="dxa" w:w="1888"/>
            <w:gridSpan w:val="2"/>
            <w:vMerge/>
            <w:tcBorders/>
          </w:tcPr>
          <w:p/>
        </w:tc>
      </w:tr>
      <w:tr>
        <w:trPr>
          <w:trHeight w:hRule="exact" w:val="226"/>
        </w:trPr>
        <w:tc>
          <w:tcPr>
            <w:tcW w:type="dxa" w:w="944"/>
            <w:vMerge/>
            <w:tcBorders>
              <w:bottom w:sz="8.0" w:val="single" w:color="#000000"/>
            </w:tcBorders>
          </w:tcPr>
          <w:p/>
        </w:tc>
        <w:tc>
          <w:tcPr>
            <w:tcW w:type="dxa" w:w="13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the fiscal year</w:t>
            </w:r>
          </w:p>
        </w:tc>
        <w:tc>
          <w:tcPr>
            <w:tcW w:type="dxa" w:w="9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AOCI</w:t>
            </w:r>
          </w:p>
        </w:tc>
        <w:tc>
          <w:tcPr>
            <w:tcW w:type="dxa" w:w="11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income</w:t>
            </w:r>
          </w:p>
        </w:tc>
        <w:tc>
          <w:tcPr>
            <w:tcW w:type="dxa" w:w="11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period</w:t>
            </w:r>
          </w:p>
        </w:tc>
        <w:tc>
          <w:tcPr>
            <w:tcW w:type="dxa" w:w="115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of the period</w:t>
            </w:r>
          </w:p>
        </w:tc>
      </w:tr>
      <w:tr>
        <w:trPr>
          <w:trHeight w:hRule="exact" w:val="554"/>
        </w:trPr>
        <w:tc>
          <w:tcPr>
            <w:tcW w:type="dxa" w:w="36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Cumulative Translation Adjustments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(445) $ </w:t>
            </w:r>
          </w:p>
        </w:tc>
        <w:tc>
          <w:tcPr>
            <w:tcW w:type="dxa" w:w="9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4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(323) </w:t>
            </w:r>
          </w:p>
        </w:tc>
      </w:tr>
      <w:tr>
        <w:trPr>
          <w:trHeight w:hRule="exact" w:val="242"/>
        </w:trPr>
        <w:tc>
          <w:tcPr>
            <w:tcW w:type="dxa" w:w="3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673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1,306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1,294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1,967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Unrecognized Net Actuarial Gains (Losses)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18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Benefit Plans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3,741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(48)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(48)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3,693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Unrecognized Prior Service (Costs) Credits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trHeight w:hRule="exact" w:val="214"/>
        </w:trPr>
        <w:tc>
          <w:tcPr>
            <w:tcW w:type="dxa" w:w="36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Benefit Plans</w:t>
            </w:r>
          </w:p>
        </w:tc>
        <w:tc>
          <w:tcPr>
            <w:tcW w:type="dxa" w:w="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(15) </w:t>
            </w:r>
          </w:p>
        </w:tc>
        <w:tc>
          <w:tcPr>
            <w:tcW w:type="dxa" w:w="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7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4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(9) </w:t>
            </w:r>
          </w:p>
        </w:tc>
      </w:tr>
      <w:tr>
        <w:trPr>
          <w:trHeight w:hRule="exact" w:val="220"/>
        </w:trPr>
        <w:tc>
          <w:tcPr>
            <w:tcW w:type="dxa" w:w="36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AOCI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3,954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1,428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(54) $ </w:t>
            </w:r>
          </w:p>
        </w:tc>
        <w:tc>
          <w:tcPr>
            <w:tcW w:type="dxa" w:w="7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1,374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5,328 </w:t>
            </w:r>
          </w:p>
        </w:tc>
      </w:tr>
      <w:tr>
        <w:trPr>
          <w:trHeight w:hRule="exact" w:val="260"/>
        </w:trPr>
        <w:tc>
          <w:tcPr>
            <w:tcW w:type="dxa" w:w="36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254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I1.1: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0"/>
        <w:ind w:left="0" w:right="164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Nine Months Ended March 31, 2024</w:t>
      </w:r>
    </w:p>
    <w:p>
      <w:pPr>
        <w:autoSpaceDN w:val="0"/>
        <w:autoSpaceDE w:val="0"/>
        <w:widowControl/>
        <w:spacing w:line="178" w:lineRule="exact" w:before="70" w:after="6"/>
        <w:ind w:left="0" w:right="256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Amounts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80"/>
        </w:trPr>
        <w:tc>
          <w:tcPr>
            <w:tcW w:type="dxa" w:w="36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2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1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reclassified </w:t>
            </w:r>
          </w:p>
        </w:tc>
        <w:tc>
          <w:tcPr>
            <w:tcW w:type="dxa" w:w="23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Net Changes </w:t>
            </w:r>
          </w:p>
        </w:tc>
      </w:tr>
      <w:tr>
        <w:trPr>
          <w:trHeight w:hRule="exact" w:val="200"/>
        </w:trPr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beginning of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Changes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into net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during the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end </w:t>
            </w:r>
          </w:p>
        </w:tc>
      </w:tr>
      <w:tr>
        <w:trPr>
          <w:trHeight w:hRule="exact" w:val="220"/>
        </w:trPr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3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the fiscal year</w:t>
            </w:r>
          </w:p>
        </w:tc>
        <w:tc>
          <w:tcPr>
            <w:tcW w:type="dxa" w:w="11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AOCI</w:t>
            </w:r>
          </w:p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income</w:t>
            </w:r>
          </w:p>
        </w:tc>
        <w:tc>
          <w:tcPr>
            <w:tcW w:type="dxa" w:w="12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period</w:t>
            </w:r>
          </w:p>
        </w:tc>
        <w:tc>
          <w:tcPr>
            <w:tcW w:type="dxa" w:w="11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of the period</w:t>
            </w:r>
          </w:p>
        </w:tc>
      </w:tr>
      <w:tr>
        <w:trPr>
          <w:trHeight w:hRule="exact" w:val="540"/>
        </w:trPr>
        <w:tc>
          <w:tcPr>
            <w:tcW w:type="dxa" w:w="36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Cumulative Translation Adjustments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(295) $ </w:t>
            </w:r>
          </w:p>
        </w:tc>
        <w:tc>
          <w:tcPr>
            <w:tcW w:type="dxa" w:w="11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(62) $ </w:t>
            </w:r>
          </w:p>
        </w:tc>
        <w:tc>
          <w:tcPr>
            <w:tcW w:type="dxa" w:w="8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3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(62) $ </w:t>
            </w:r>
          </w:p>
        </w:tc>
        <w:tc>
          <w:tcPr>
            <w:tcW w:type="dxa" w:w="68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(357) </w:t>
            </w:r>
          </w:p>
        </w:tc>
      </w:tr>
      <w:tr>
        <w:trPr>
          <w:trHeight w:hRule="exact" w:val="258"/>
        </w:trPr>
        <w:tc>
          <w:tcPr>
            <w:tcW w:type="dxa" w:w="3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351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288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290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641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Unrecognized Net Actuarial Gains (Losses)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16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Benefit Plans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3,490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(51)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3,439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Unrecognized Prior Service (Costs) Credits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trHeight w:hRule="exact" w:val="216"/>
        </w:trPr>
        <w:tc>
          <w:tcPr>
            <w:tcW w:type="dxa" w:w="36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Benefit Plans</w:t>
            </w:r>
          </w:p>
        </w:tc>
        <w:tc>
          <w:tcPr>
            <w:tcW w:type="dxa" w:w="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(23) </w:t>
            </w:r>
          </w:p>
        </w:tc>
        <w:tc>
          <w:tcPr>
            <w:tcW w:type="dxa" w:w="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5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4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</w:tr>
      <w:tr>
        <w:trPr>
          <w:trHeight w:hRule="exact" w:val="220"/>
        </w:trPr>
        <w:tc>
          <w:tcPr>
            <w:tcW w:type="dxa" w:w="36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AOCI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3,523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226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(43) $ </w:t>
            </w:r>
          </w:p>
        </w:tc>
        <w:tc>
          <w:tcPr>
            <w:tcW w:type="dxa" w:w="6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183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3,706 </w:t>
            </w:r>
          </w:p>
        </w:tc>
      </w:tr>
      <w:tr>
        <w:trPr>
          <w:trHeight w:hRule="exact" w:val="260"/>
        </w:trPr>
        <w:tc>
          <w:tcPr>
            <w:tcW w:type="dxa" w:w="36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30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J— FAIR VALUE DISCLOSURES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Valuation Methods and Assumptions </w:t>
      </w:r>
    </w:p>
    <w:p>
      <w:pPr>
        <w:autoSpaceDN w:val="0"/>
        <w:autoSpaceDE w:val="0"/>
        <w:widowControl/>
        <w:spacing w:line="240" w:lineRule="exact" w:before="12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 and June 30, 2024, IBRD had no assets or liabilities measured at fair value on a non-recurring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basis. </w:t>
      </w:r>
    </w:p>
    <w:p>
      <w:pPr>
        <w:autoSpaceDN w:val="0"/>
        <w:autoSpaceDE w:val="0"/>
        <w:widowControl/>
        <w:spacing w:line="222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Due from banks</w:t>
      </w:r>
    </w:p>
    <w:p>
      <w:pPr>
        <w:autoSpaceDN w:val="0"/>
        <w:autoSpaceDE w:val="0"/>
        <w:widowControl/>
        <w:spacing w:line="240" w:lineRule="exact" w:before="11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carrying amount of unrestricted and restricted cash is considered a reasonable estimate of the fair value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positions.</w:t>
      </w:r>
    </w:p>
    <w:p>
      <w:pPr>
        <w:autoSpaceDN w:val="0"/>
        <w:autoSpaceDE w:val="0"/>
        <w:widowControl/>
        <w:spacing w:line="222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Loans and Loan commitments</w:t>
      </w:r>
    </w:p>
    <w:p>
      <w:pPr>
        <w:autoSpaceDN w:val="0"/>
        <w:autoSpaceDE w:val="0"/>
        <w:widowControl/>
        <w:spacing w:line="240" w:lineRule="exact" w:before="11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There were no loans carried at fair value as of March 31, 2025 or June 30, 2024. IBRD’s loans and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commitments would be classified as Level 3 within the fair value hierarchy.</w:t>
      </w:r>
    </w:p>
    <w:p>
      <w:pPr>
        <w:autoSpaceDN w:val="0"/>
        <w:autoSpaceDE w:val="0"/>
        <w:widowControl/>
        <w:spacing w:line="224" w:lineRule="exact" w:before="1762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52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Summarized below are the techniques applied in determining the fair values of IBRD’s financial instruments.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Investment securities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securities are classified based on management’s intention on the date of purchase, their nature,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policies governing the level and use of such investments. As of March 31, 2025, all of the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 in IBRD’s investment portfolio were classified as trading. These securities are carried and reported 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fair value, or at face value or NAV, which approximates fair value. Where available, quoted market prices are used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determine the fair value of trading securities. Examples include most government, agency and corporate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securities, mutual funds, exchange-traded equity securities and ABS securities.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instruments for which market quotations are not available, fair values are determined using model-based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valuation techniques, whether internally generated or vendor-supplied, that include the standard discounted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flow method using observable market inputs such as yield curves, credit spreads, and conditional prepayment rates.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Where applicable, unobservable inputs such as conditional prepayment rates, probability of default and loss severity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used. Unless quoted prices are available, time deposits are reported at face value, which approximates fair value,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they are short term in nature.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Securities purchased under resale agreements, Securities sold under repurchase agreements, and Securities lent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under securities lending agreements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securities are of a short-term nature and reported at face value, which approximates fair value.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Borrowings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(i) Discount notes and vanilla bonds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Discount notes and vanilla bonds issued by IBRD are valued using the standard discounted cash flow method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relies on observable market inputs such as yield curves, foreign exchange rates, basis spreads and funding spreads.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Where available, quoted market prices are used to determine the fair value of short-term notes, as well as some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floating rate notes of longer maturity.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(ii) Structured bonds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Structured bonds issued by IBRD have coupon or repayment terms linked to the level or the performance of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rates, foreign exchange rates, equity indices, catastrophic events, or commodities. The fair value of the structured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bonds is generally derived using the discounted cash flow method based on estimated future pay-offs determined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applicable models and computation of embedded optionality such as caps, floors and calls. A wide range of industry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standard models such as one factor Hull-White, Generalized Forward Market Model and Black-Scholes are used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depending on the specific structure. These models incorporate observable market inputs, such as yield curves,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foreign exchange rates, basis spreads, funding spreads, interest rate volatilities, equity index volatilities and equity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indices. Where applicable, the models also incorporate significant unobservable inputs such as correlations between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relevant market data and long-dated interest rate volatilities. Generally, the movements in correlations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considered to be independent of movements in long-dated interest rate volatilities.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(iii) Borrowings, at amortized cost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fair value of borrowings measured at amortized cost would be classified as Level 3 within the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hierarchy.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Derivative instruments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 contracts include forward contracts, TBA securities, swaptions, options and futures contracts, currency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swaps and interest rate swaps. Currency swaps and interest rate swaps are either plain vanilla or structured. Forward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contracts and plain vanilla currency and interest rate swaps are valued using the standard discounted cash flow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methods using observable market inputs such as yield curves, foreign exchange rates, basis spreads and funding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spreads. For structured currency and interest rate swaps, which primarily consist of callable swaps linked to 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rates, foreign exchange rates, and equity indices, valuation models and inputs similar to the ones applicable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valuation of structured bonds are used. Where applicable, the models also incorporate significant unobservable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inputs such as correlations and long-dated interest rate volatilities.</w:t>
      </w:r>
    </w:p>
    <w:p>
      <w:pPr>
        <w:autoSpaceDN w:val="0"/>
        <w:autoSpaceDE w:val="0"/>
        <w:widowControl/>
        <w:spacing w:line="224" w:lineRule="exact" w:before="794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53</w:t>
      </w:r>
    </w:p>
    <w:p>
      <w:pPr>
        <w:sectPr>
          <w:pgSz w:w="12240" w:h="15840"/>
          <w:pgMar w:top="700" w:right="13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Valuation adjustments on fair value option elected liabilities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DVA on fair value option elected liabilities (borrowings reported at fair value) is measured by revaluing each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liability to determine the changes in fair value of that liability arising from changes in IBRD’s funding spread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applicable to the relevant reference rates.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table below presents IBRD’s estimates of fair value of its financial assets and liabilities along with their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respective carrying amounts: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J1: Fair value and carrying amount of financial assets and liabilities</w:t>
      </w:r>
    </w:p>
    <w:p>
      <w:pPr>
        <w:autoSpaceDN w:val="0"/>
        <w:autoSpaceDE w:val="0"/>
        <w:widowControl/>
        <w:spacing w:line="180" w:lineRule="exact" w:before="10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0"/>
        <w:gridCol w:w="2360"/>
        <w:gridCol w:w="2360"/>
        <w:gridCol w:w="2360"/>
      </w:tblGrid>
      <w:tr>
        <w:trPr>
          <w:trHeight w:hRule="exact" w:val="256"/>
        </w:trPr>
        <w:tc>
          <w:tcPr>
            <w:tcW w:type="dxa" w:w="64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88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91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56"/>
        </w:trPr>
        <w:tc>
          <w:tcPr>
            <w:tcW w:type="dxa" w:w="50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21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Carrying Value</w:t>
            </w:r>
          </w:p>
        </w:tc>
        <w:tc>
          <w:tcPr>
            <w:tcW w:type="dxa" w:w="1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  <w:tc>
          <w:tcPr>
            <w:tcW w:type="dxa" w:w="1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Carrying Value</w:t>
            </w:r>
          </w:p>
        </w:tc>
        <w:tc>
          <w:tcPr>
            <w:tcW w:type="dxa" w:w="14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</w:tr>
    </w:tbl>
    <w:p>
      <w:pPr>
        <w:autoSpaceDN w:val="0"/>
        <w:autoSpaceDE w:val="0"/>
        <w:widowControl/>
        <w:spacing w:line="178" w:lineRule="exact" w:before="36" w:after="38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50"/>
        </w:trPr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Due from banks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416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416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490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490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Investments-Trading (including Securities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04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purchased under resale agreements)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100,530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100,530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82,807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82,807 </w:t>
            </w:r>
          </w:p>
        </w:tc>
      </w:tr>
      <w:tr>
        <w:trPr>
          <w:trHeight w:hRule="exact" w:val="26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loans outstanding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4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272,532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269,084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260,236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257,415 </w:t>
            </w:r>
          </w:p>
        </w:tc>
      </w:tr>
      <w:tr>
        <w:trPr>
          <w:trHeight w:hRule="exact" w:val="26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456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456 </w:t>
            </w:r>
          </w:p>
        </w:tc>
      </w:tr>
      <w:tr>
        <w:trPr>
          <w:trHeight w:hRule="exact" w:val="286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Miscellaneous assets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88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88 </w:t>
            </w:r>
          </w:p>
        </w:tc>
      </w:tr>
    </w:tbl>
    <w:p>
      <w:pPr>
        <w:autoSpaceDN w:val="0"/>
        <w:autoSpaceDE w:val="0"/>
        <w:widowControl/>
        <w:spacing w:line="180" w:lineRule="exact" w:before="270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</w:t>
      </w:r>
    </w:p>
    <w:p>
      <w:pPr>
        <w:autoSpaceDN w:val="0"/>
        <w:autoSpaceDE w:val="0"/>
        <w:widowControl/>
        <w:spacing w:line="178" w:lineRule="exact" w:before="76" w:after="3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5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Borrowings, at fair value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295,851 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295,851 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</w:tr>
      <w:tr>
        <w:trPr>
          <w:trHeight w:hRule="exact" w:val="26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Borrowings, at amortized cost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476 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482 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8" w:after="6"/>
        <w:ind w:left="62" w:right="604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Securities sold/lent under repurchase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agreements/securities lending agreements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0"/>
        </w:trPr>
        <w:tc>
          <w:tcPr>
            <w:tcW w:type="dxa" w:w="3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and payable for cash collateral received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1,097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1,097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256 </w:t>
            </w:r>
          </w:p>
        </w:tc>
        <w:tc>
          <w:tcPr>
            <w:tcW w:type="dxa" w:w="1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256 </w:t>
            </w:r>
          </w:p>
        </w:tc>
      </w:tr>
      <w:tr>
        <w:trPr>
          <w:trHeight w:hRule="exact" w:val="506"/>
        </w:trPr>
        <w:tc>
          <w:tcPr>
            <w:tcW w:type="dxa" w:w="36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1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17,173 </w:t>
            </w:r>
          </w:p>
        </w:tc>
        <w:tc>
          <w:tcPr>
            <w:tcW w:type="dxa" w:w="1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17,173 </w:t>
            </w:r>
          </w:p>
        </w:tc>
        <w:tc>
          <w:tcPr>
            <w:tcW w:type="dxa" w:w="1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22,728 </w:t>
            </w:r>
          </w:p>
        </w:tc>
        <w:tc>
          <w:tcPr>
            <w:tcW w:type="dxa" w:w="12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22,728 </w:t>
            </w:r>
          </w:p>
        </w:tc>
      </w:tr>
    </w:tbl>
    <w:p>
      <w:pPr>
        <w:autoSpaceDN w:val="0"/>
        <w:autoSpaceDE w:val="0"/>
        <w:widowControl/>
        <w:spacing w:line="240" w:lineRule="exact" w:before="160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IBRD’s signed loan commitments were $74 billion ($67 billion—June 30, 2024) and had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fair value of $(0.1) billion ($0.3 billion—June 30, 2024).</w:t>
      </w:r>
    </w:p>
    <w:p>
      <w:pPr>
        <w:autoSpaceDN w:val="0"/>
        <w:autoSpaceDE w:val="0"/>
        <w:widowControl/>
        <w:spacing w:line="224" w:lineRule="exact" w:before="5870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54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present IBRD’s fair value hierarchy for assets and liabilities measured at fair value on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recurring basis. The fair value of Other fund investments measured using the NAV as a practical expedient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included in the table below but excluded from the fair value hierarchy.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J2: Fair value hierarchy of IBRD’s assets and liabilities</w:t>
      </w:r>
    </w:p>
    <w:p>
      <w:pPr>
        <w:autoSpaceDN w:val="0"/>
        <w:tabs>
          <w:tab w:pos="5606" w:val="left"/>
          <w:tab w:pos="6730" w:val="left"/>
        </w:tabs>
        <w:autoSpaceDE w:val="0"/>
        <w:widowControl/>
        <w:spacing w:line="240" w:lineRule="exact" w:before="32" w:after="20"/>
        <w:ind w:left="62" w:right="43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Fair Value Measurements on a Recurring Basis </w:t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March 31,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190.0" w:type="dxa"/>
      </w:tblPr>
      <w:tblGrid>
        <w:gridCol w:w="2359"/>
        <w:gridCol w:w="2359"/>
        <w:gridCol w:w="2359"/>
        <w:gridCol w:w="2359"/>
      </w:tblGrid>
      <w:tr>
        <w:trPr>
          <w:trHeight w:hRule="exact" w:val="240"/>
        </w:trPr>
        <w:tc>
          <w:tcPr>
            <w:tcW w:type="dxa" w:w="9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1</w:t>
            </w:r>
          </w:p>
        </w:tc>
        <w:tc>
          <w:tcPr>
            <w:tcW w:type="dxa" w:w="103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03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  <w:tc>
          <w:tcPr>
            <w:tcW w:type="dxa" w:w="11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220" w:lineRule="exact" w:before="0" w:after="32"/>
        <w:ind w:left="62" w:right="763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Assets: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Investments–Trading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8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Government, agency and corporate obligations</w:t>
            </w:r>
          </w:p>
        </w:tc>
        <w:tc>
          <w:tcPr>
            <w:tcW w:type="dxa" w:w="3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14,698 </w:t>
            </w:r>
          </w:p>
        </w:tc>
        <w:tc>
          <w:tcPr>
            <w:tcW w:type="dxa" w:w="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25,651 </w:t>
            </w:r>
          </w:p>
        </w:tc>
        <w:tc>
          <w:tcPr>
            <w:tcW w:type="dxa" w:w="4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40,349 </w:t>
            </w:r>
          </w:p>
        </w:tc>
      </w:tr>
      <w:tr>
        <w:trPr>
          <w:trHeight w:hRule="exact" w:val="24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5,047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49,107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54,154 </w:t>
            </w:r>
          </w:p>
        </w:tc>
      </w:tr>
      <w:tr>
        <w:trPr>
          <w:trHeight w:hRule="exact" w:val="22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ABS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3,047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3,047 </w:t>
            </w:r>
          </w:p>
        </w:tc>
      </w:tr>
      <w:tr>
        <w:trPr>
          <w:trHeight w:hRule="exact" w:val="26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fund investments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410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2,643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Equity securities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Investments–Trading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20,067 </w:t>
            </w:r>
          </w:p>
        </w:tc>
        <w:tc>
          <w:tcPr>
            <w:tcW w:type="dxa" w:w="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78,215 </w:t>
            </w:r>
          </w:p>
        </w:tc>
        <w:tc>
          <w:tcPr>
            <w:tcW w:type="dxa" w:w="4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100,515 </w:t>
            </w:r>
          </w:p>
        </w:tc>
      </w:tr>
      <w:tr>
        <w:trPr>
          <w:trHeight w:hRule="exact" w:val="242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2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50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3,949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107 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4,056 </w:t>
            </w:r>
          </w:p>
        </w:tc>
      </w:tr>
      <w:tr>
        <w:trPr>
          <w:trHeight w:hRule="exact" w:val="220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7,059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7,206 </w:t>
            </w:r>
          </w:p>
        </w:tc>
      </w:tr>
      <w:tr>
        <w:trPr>
          <w:trHeight w:hRule="exact" w:val="260"/>
        </w:trPr>
        <w:tc>
          <w:tcPr>
            <w:tcW w:type="dxa" w:w="4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42"/>
        </w:trPr>
        <w:tc>
          <w:tcPr>
            <w:tcW w:type="dxa" w:w="4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11,008 </w:t>
            </w:r>
          </w:p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254 </w:t>
            </w:r>
          </w:p>
        </w:tc>
        <w:tc>
          <w:tcPr>
            <w:tcW w:type="dxa" w:w="3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11,265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2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5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10,810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collateral received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4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 </w:t>
            </w:r>
          </w:p>
        </w:tc>
      </w:tr>
      <w:tr>
        <w:trPr>
          <w:trHeight w:hRule="exact" w:val="27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Miscellaneous assets</w:t>
            </w:r>
          </w:p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</w:tr>
    </w:tbl>
    <w:p>
      <w:pPr>
        <w:autoSpaceDN w:val="0"/>
        <w:autoSpaceDE w:val="0"/>
        <w:widowControl/>
        <w:spacing w:line="178" w:lineRule="exact" w:before="24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8"/>
        </w:trPr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Borrowings, at fair value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291,302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4,549 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295,851 </w:t>
            </w:r>
          </w:p>
        </w:tc>
      </w:tr>
      <w:tr>
        <w:trPr>
          <w:trHeight w:hRule="exact" w:val="208"/>
        </w:trPr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sold under repurchase agreements and  securities lent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1,097 </w:t>
            </w:r>
          </w:p>
        </w:tc>
        <w:tc>
          <w:tcPr>
            <w:tcW w:type="dxa" w:w="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1,097 </w:t>
            </w:r>
          </w:p>
        </w:tc>
      </w:tr>
      <w:tr>
        <w:trPr>
          <w:trHeight w:hRule="exact" w:val="228"/>
        </w:trPr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under securities lending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e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0" w:lineRule="exact" w:before="30" w:after="18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6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9,729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146 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9,875 </w:t>
            </w:r>
          </w:p>
        </w:tc>
      </w:tr>
      <w:tr>
        <w:trPr>
          <w:trHeight w:hRule="exact" w:val="240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18,327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136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18,463 </w:t>
            </w:r>
          </w:p>
        </w:tc>
      </w:tr>
      <w:tr>
        <w:trPr>
          <w:trHeight w:hRule="exact" w:val="254"/>
        </w:trPr>
        <w:tc>
          <w:tcPr>
            <w:tcW w:type="dxa" w:w="4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2"/>
        </w:trPr>
        <w:tc>
          <w:tcPr>
            <w:tcW w:type="dxa" w:w="4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28,056 </w:t>
            </w:r>
          </w:p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282 </w:t>
            </w:r>
          </w:p>
        </w:tc>
        <w:tc>
          <w:tcPr>
            <w:tcW w:type="dxa" w:w="3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28,338 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18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Less: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50"/>
        </w:trPr>
        <w:tc>
          <w:tcPr>
            <w:tcW w:type="dxa" w:w="51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3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f</w:t>
            </w:r>
          </w:p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11,165 </w:t>
            </w:r>
          </w:p>
        </w:tc>
      </w:tr>
      <w:tr>
        <w:trPr>
          <w:trHeight w:hRule="exact" w:val="226"/>
        </w:trPr>
        <w:tc>
          <w:tcPr>
            <w:tcW w:type="dxa" w:w="51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17,173 </w:t>
            </w:r>
          </w:p>
        </w:tc>
      </w:tr>
      <w:tr>
        <w:trPr>
          <w:trHeight w:hRule="exact" w:val="494"/>
        </w:trPr>
        <w:tc>
          <w:tcPr>
            <w:tcW w:type="dxa" w:w="51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Accounts payable and miscellaneous liabilities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</w:tr>
    </w:tbl>
    <w:p>
      <w:pPr>
        <w:autoSpaceDN w:val="0"/>
        <w:tabs>
          <w:tab w:pos="196" w:val="left"/>
        </w:tabs>
        <w:autoSpaceDE w:val="0"/>
        <w:widowControl/>
        <w:spacing w:line="216" w:lineRule="exact" w:before="0" w:after="0"/>
        <w:ind w:left="62" w:right="57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investments held by LPF1 and GFPP of $410 million, carried at fair value, and investments in PEBP holdings of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 $2,233 million carried at NAV, which are excluded from the fair value hierarchy.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b. Includes forward contracts.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Includes swaptions, options, and futures contracts. 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d. Includes $33 million CVA.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e. Excludes payable for cash collateral received.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f. Includes $388 million DVA.</w:t>
      </w:r>
    </w:p>
    <w:p>
      <w:pPr>
        <w:autoSpaceDN w:val="0"/>
        <w:autoSpaceDE w:val="0"/>
        <w:widowControl/>
        <w:spacing w:line="224" w:lineRule="exact" w:before="1696" w:after="0"/>
        <w:ind w:left="0" w:right="6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55</w:t>
      </w:r>
    </w:p>
    <w:p>
      <w:pPr>
        <w:sectPr>
          <w:pgSz w:w="12240" w:h="15840"/>
          <w:pgMar w:top="700" w:right="1372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tabs>
          <w:tab w:pos="5606" w:val="left"/>
          <w:tab w:pos="6778" w:val="left"/>
        </w:tabs>
        <w:autoSpaceDE w:val="0"/>
        <w:widowControl/>
        <w:spacing w:line="224" w:lineRule="exact" w:before="0" w:after="12"/>
        <w:ind w:left="62" w:right="432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J2.1: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Fair Value Measurements on a Recurring Basis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190.0" w:type="dxa"/>
      </w:tblPr>
      <w:tblGrid>
        <w:gridCol w:w="2360"/>
        <w:gridCol w:w="2360"/>
        <w:gridCol w:w="2360"/>
        <w:gridCol w:w="2360"/>
      </w:tblGrid>
      <w:tr>
        <w:trPr>
          <w:trHeight w:hRule="exact" w:val="224"/>
        </w:trPr>
        <w:tc>
          <w:tcPr>
            <w:tcW w:type="dxa" w:w="9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1</w:t>
            </w:r>
          </w:p>
        </w:tc>
        <w:tc>
          <w:tcPr>
            <w:tcW w:type="dxa" w:w="103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0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  <w:tc>
          <w:tcPr>
            <w:tcW w:type="dxa" w:w="1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210" w:lineRule="exact" w:before="0" w:after="24"/>
        <w:ind w:left="62" w:right="763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Assets: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Investments–Trading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14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and agency obligations</w:t>
            </w:r>
          </w:p>
        </w:tc>
        <w:tc>
          <w:tcPr>
            <w:tcW w:type="dxa" w:w="3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12,940 </w:t>
            </w:r>
          </w:p>
        </w:tc>
        <w:tc>
          <w:tcPr>
            <w:tcW w:type="dxa" w:w="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19,413 </w:t>
            </w:r>
          </w:p>
        </w:tc>
        <w:tc>
          <w:tcPr>
            <w:tcW w:type="dxa" w:w="5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32,353 </w:t>
            </w:r>
          </w:p>
        </w:tc>
      </w:tr>
      <w:tr>
        <w:trPr>
          <w:trHeight w:hRule="exact" w:val="22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3,517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42,474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45,991 </w:t>
            </w:r>
          </w:p>
        </w:tc>
      </w:tr>
      <w:tr>
        <w:trPr>
          <w:trHeight w:hRule="exact" w:val="22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ABS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1,880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1,880 </w:t>
            </w:r>
          </w:p>
        </w:tc>
      </w:tr>
      <w:tr>
        <w:trPr>
          <w:trHeight w:hRule="exact" w:val="24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fund investments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2,155 </w:t>
            </w:r>
          </w:p>
        </w:tc>
      </w:tr>
      <w:tr>
        <w:trPr>
          <w:trHeight w:hRule="exact" w:val="230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Equity securities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349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349 </w:t>
            </w:r>
          </w:p>
        </w:tc>
      </w:tr>
      <w:tr>
        <w:trPr>
          <w:trHeight w:hRule="exact" w:val="210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Investments–Trading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16,806 </w:t>
            </w:r>
          </w:p>
        </w:tc>
        <w:tc>
          <w:tcPr>
            <w:tcW w:type="dxa" w:w="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63,767 </w:t>
            </w:r>
          </w:p>
        </w:tc>
        <w:tc>
          <w:tcPr>
            <w:tcW w:type="dxa" w:w="5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82,728 </w:t>
            </w:r>
          </w:p>
        </w:tc>
      </w:tr>
      <w:tr>
        <w:trPr>
          <w:trHeight w:hRule="exact" w:val="242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</w:t>
            </w:r>
          </w:p>
        </w:tc>
        <w:tc>
          <w:tcPr>
            <w:tcW w:type="dxa" w:w="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 </w:t>
            </w:r>
          </w:p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14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24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3,935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122 </w:t>
            </w:r>
          </w:p>
        </w:tc>
        <w:tc>
          <w:tcPr>
            <w:tcW w:type="dxa" w:w="3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4,057 </w:t>
            </w:r>
          </w:p>
        </w:tc>
      </w:tr>
      <w:tr>
        <w:trPr>
          <w:trHeight w:hRule="exact" w:val="220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7,836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7,977 </w:t>
            </w:r>
          </w:p>
        </w:tc>
      </w:tr>
      <w:tr>
        <w:trPr>
          <w:trHeight w:hRule="exact" w:val="240"/>
        </w:trPr>
        <w:tc>
          <w:tcPr>
            <w:tcW w:type="dxa" w:w="4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</w:tr>
      <w:tr>
        <w:trPr>
          <w:trHeight w:hRule="exact" w:val="226"/>
        </w:trPr>
        <w:tc>
          <w:tcPr>
            <w:tcW w:type="dxa" w:w="4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11,771 </w:t>
            </w:r>
          </w:p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263 </w:t>
            </w:r>
          </w:p>
        </w:tc>
        <w:tc>
          <w:tcPr>
            <w:tcW w:type="dxa" w:w="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12,035 </w:t>
            </w:r>
          </w:p>
        </w:tc>
      </w:tr>
    </w:tbl>
    <w:p>
      <w:pPr>
        <w:autoSpaceDN w:val="0"/>
        <w:autoSpaceDE w:val="0"/>
        <w:widowControl/>
        <w:spacing w:line="178" w:lineRule="exact" w:before="24" w:after="1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Less: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6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2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11,558 </w:t>
            </w:r>
          </w:p>
        </w:tc>
      </w:tr>
      <w:tr>
        <w:trPr>
          <w:trHeight w:hRule="exact" w:val="234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collateral received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</w:tr>
      <w:tr>
        <w:trPr>
          <w:trHeight w:hRule="exact" w:val="226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4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88 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456 </w:t>
            </w:r>
          </w:p>
        </w:tc>
      </w:tr>
      <w:tr>
        <w:trPr>
          <w:trHeight w:hRule="exact" w:val="27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Miscellaneous assets</w:t>
            </w:r>
          </w:p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88 </w:t>
            </w:r>
          </w:p>
        </w:tc>
      </w:tr>
    </w:tbl>
    <w:p>
      <w:pPr>
        <w:autoSpaceDN w:val="0"/>
        <w:autoSpaceDE w:val="0"/>
        <w:widowControl/>
        <w:spacing w:line="178" w:lineRule="exact" w:before="220" w:after="2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0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Borrowings, at fair value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257,735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4,055 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</w:tr>
      <w:tr>
        <w:trPr>
          <w:trHeight w:hRule="exact" w:val="20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sold under repurchase agreements and securities lent 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256 </w:t>
            </w:r>
          </w:p>
        </w:tc>
        <w:tc>
          <w:tcPr>
            <w:tcW w:type="dxa" w:w="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2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256 </w:t>
            </w:r>
          </w:p>
        </w:tc>
      </w:tr>
      <w:tr>
        <w:trPr>
          <w:trHeight w:hRule="exact" w:val="22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under securities lending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e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26" w:after="1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6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9,816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9,907 </w:t>
            </w:r>
          </w:p>
        </w:tc>
      </w:tr>
      <w:tr>
        <w:trPr>
          <w:trHeight w:hRule="exact" w:val="229"/>
        </w:trPr>
        <w:tc>
          <w:tcPr>
            <w:tcW w:type="dxa" w:w="4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24,556 </w:t>
            </w:r>
          </w:p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6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203 </w:t>
            </w:r>
          </w:p>
        </w:tc>
        <w:tc>
          <w:tcPr>
            <w:tcW w:type="dxa" w:w="3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6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24,759 </w:t>
            </w:r>
          </w:p>
        </w:tc>
      </w:tr>
      <w:tr>
        <w:trPr>
          <w:trHeight w:hRule="exact" w:val="237"/>
        </w:trPr>
        <w:tc>
          <w:tcPr>
            <w:tcW w:type="dxa" w:w="4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24"/>
        </w:trPr>
        <w:tc>
          <w:tcPr>
            <w:tcW w:type="dxa" w:w="4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34,372 </w:t>
            </w:r>
          </w:p>
        </w:tc>
        <w:tc>
          <w:tcPr>
            <w:tcW w:type="dxa" w:w="4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294 </w:t>
            </w:r>
          </w:p>
        </w:tc>
        <w:tc>
          <w:tcPr>
            <w:tcW w:type="dxa" w:w="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34,666 </w:t>
            </w:r>
          </w:p>
        </w:tc>
      </w:tr>
    </w:tbl>
    <w:p>
      <w:pPr>
        <w:autoSpaceDN w:val="0"/>
        <w:autoSpaceDE w:val="0"/>
        <w:widowControl/>
        <w:spacing w:line="178" w:lineRule="exact" w:before="24" w:after="1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Less: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6"/>
        </w:trPr>
        <w:tc>
          <w:tcPr>
            <w:tcW w:type="dxa" w:w="51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" w:after="0"/>
              <w:ind w:left="3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f</w:t>
            </w:r>
          </w:p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11,938 </w:t>
            </w:r>
          </w:p>
        </w:tc>
      </w:tr>
      <w:tr>
        <w:trPr>
          <w:trHeight w:hRule="exact" w:val="226"/>
        </w:trPr>
        <w:tc>
          <w:tcPr>
            <w:tcW w:type="dxa" w:w="51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22,728 </w:t>
            </w:r>
          </w:p>
        </w:tc>
      </w:tr>
      <w:tr>
        <w:trPr>
          <w:trHeight w:hRule="exact" w:val="466"/>
        </w:trPr>
        <w:tc>
          <w:tcPr>
            <w:tcW w:type="dxa" w:w="51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Accounts payable and miscellaneous liabilities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</w:tr>
    </w:tbl>
    <w:p>
      <w:pPr>
        <w:autoSpaceDN w:val="0"/>
        <w:autoSpaceDE w:val="0"/>
        <w:widowControl/>
        <w:spacing w:line="214" w:lineRule="exact" w:before="0" w:after="0"/>
        <w:ind w:left="62" w:right="302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Investments at NAV related to PEBP holdings, not included in the fair value hierarchy. </w:t>
      </w:r>
      <w:r>
        <w:rPr>
          <w:rFonts w:ascii="Arial" w:hAnsi="Arial" w:eastAsia="Arial"/>
          <w:b w:val="0"/>
          <w:i/>
          <w:color w:val="000000"/>
          <w:sz w:val="16"/>
        </w:rPr>
        <w:t>b. Includes forward contracts.</w:t>
      </w:r>
    </w:p>
    <w:p>
      <w:pPr>
        <w:autoSpaceDN w:val="0"/>
        <w:autoSpaceDE w:val="0"/>
        <w:widowControl/>
        <w:spacing w:line="224" w:lineRule="exact" w:before="2" w:after="0"/>
        <w:ind w:left="62" w:right="561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Includes swaptions, options, and futures contracts.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d. Includes $29 million CVA.</w:t>
      </w:r>
    </w:p>
    <w:p>
      <w:pPr>
        <w:autoSpaceDN w:val="0"/>
        <w:autoSpaceDE w:val="0"/>
        <w:widowControl/>
        <w:spacing w:line="232" w:lineRule="exact" w:before="2" w:after="0"/>
        <w:ind w:left="62" w:right="590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e. Excludes payable for cash collateral received.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f. Includes $409 million DVA.</w:t>
      </w:r>
    </w:p>
    <w:p>
      <w:pPr>
        <w:autoSpaceDN w:val="0"/>
        <w:autoSpaceDE w:val="0"/>
        <w:widowControl/>
        <w:spacing w:line="240" w:lineRule="exact" w:before="18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IBRD’s Level 3 borrowings primarily relate to structured bonds. The fair value of these bonds is estimated using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discounted cash flow valuation models that incorporate model parameters, observable market inputs,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unobservable inputs. The significant unobservable inputs used in the fair value measurement of structured bonds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swaps are correlations and long-dated market interest rate volatilities. Generally, the movements in correlations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considered to be independent of the movements in long-dated interest rate volatilities.</w:t>
      </w:r>
    </w:p>
    <w:p>
      <w:pPr>
        <w:autoSpaceDN w:val="0"/>
        <w:autoSpaceDE w:val="0"/>
        <w:widowControl/>
        <w:spacing w:line="224" w:lineRule="exact" w:before="1864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56     IBRD Condensed Quarterly Financial Statements: March 31, 2025 (Unaudited)</w:t>
      </w:r>
    </w:p>
    <w:p>
      <w:pPr>
        <w:sectPr>
          <w:pgSz w:w="12240" w:h="15840"/>
          <w:pgMar w:top="724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Correlation is the statistical measurement of the relationship between two variables. For contracts where the holder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benefits from the convergence of the underlying index prices (e.g., market interest rates and foreign exchange rates),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in correlation would generally result in an increase in the fair value of the instrument. The magnitude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direction of the fair value adjustment would depend on whether the holder is short or long the option.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volatility is the extent to which the level of interest rates changes over time. For purchased options,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volatility will generally result in an increase in the fair value. In general, the volatility used to price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option depends on the maturity of the underlying instrument and the option strike price. During the nine months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ended March 31, 2025, and the fiscal year ended June 30, 2024, the interest rate volatilities for certain currencies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were extrapolated for certain tenors and, thus, are considered an unobservable input.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entered into transactions which have an embedded option associated with an equity index. Valuation inputs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such transactions include, among other valuation inputs, volatilities of the equity indices, that are the extent to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level of equity index changes over time. These index volatility levels are consistent with the respective index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construction methodologies and historical movements. Similar to the impact of the volatility of the other asset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classes described above, an increase in the equity index volatility will result in an increase in the value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purchase option and vice versa.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certain instances, particularly for instruments with coupon or repayment terms linked to catastrophic events,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management relies on instrument valuations supplied by external pricing vendors.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a summary of the valuation technique applied in determining fair values of these Level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3 instruments and quantitative information regarding the significant unobservable inputs used. Level 3 instruments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represent 2% of IBRD’s borrowings.</w:t>
      </w:r>
    </w:p>
    <w:p>
      <w:pPr>
        <w:autoSpaceDN w:val="0"/>
        <w:autoSpaceDE w:val="0"/>
        <w:widowControl/>
        <w:spacing w:line="240" w:lineRule="exact" w:before="11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J3: Level 3 Borrowings and derivatives valuation technique and quantitative information regarding the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>significant unobservable inputs: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20"/>
        </w:trPr>
        <w:tc>
          <w:tcPr>
            <w:tcW w:type="dxa" w:w="141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Portfolio</w:t>
            </w:r>
          </w:p>
        </w:tc>
        <w:tc>
          <w:tcPr>
            <w:tcW w:type="dxa" w:w="1320"/>
            <w:gridSpan w:val="2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Fair Value as of </w:t>
            </w:r>
          </w:p>
        </w:tc>
        <w:tc>
          <w:tcPr>
            <w:tcW w:type="dxa" w:w="112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1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Fair Value as </w:t>
            </w:r>
          </w:p>
        </w:tc>
        <w:tc>
          <w:tcPr>
            <w:tcW w:type="dxa" w:w="103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2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Valuation </w:t>
            </w:r>
          </w:p>
        </w:tc>
        <w:tc>
          <w:tcPr>
            <w:tcW w:type="dxa" w:w="124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15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Unobservable </w:t>
            </w:r>
          </w:p>
        </w:tc>
        <w:tc>
          <w:tcPr>
            <w:tcW w:type="dxa" w:w="168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2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Range (average), </w:t>
            </w:r>
          </w:p>
        </w:tc>
        <w:tc>
          <w:tcPr>
            <w:tcW w:type="dxa" w:w="15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Range (average),</w:t>
            </w:r>
          </w:p>
        </w:tc>
      </w:tr>
      <w:tr>
        <w:trPr>
          <w:trHeight w:hRule="exact" w:val="10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top w:sz="8.0" w:val="single" w:color="#000000"/>
            </w:tcBorders>
          </w:tcPr>
          <w:p/>
        </w:tc>
        <w:tc>
          <w:tcPr>
            <w:tcW w:type="dxa" w:w="112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8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of June 30, </w:t>
            </w:r>
          </w:p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</w:tr>
      <w:tr>
        <w:trPr>
          <w:trHeight w:hRule="exact" w:val="8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2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2098"/>
            <w:gridSpan w:val="2"/>
            <w:vMerge/>
            <w:tcBorders/>
          </w:tcPr>
          <w:p/>
        </w:tc>
        <w:tc>
          <w:tcPr>
            <w:tcW w:type="dxa" w:w="103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Technique</w:t>
            </w:r>
          </w:p>
        </w:tc>
        <w:tc>
          <w:tcPr>
            <w:tcW w:type="dxa" w:w="124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input</w:t>
            </w:r>
          </w:p>
        </w:tc>
        <w:tc>
          <w:tcPr>
            <w:tcW w:type="dxa" w:w="16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15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46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098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112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4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52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4,549 </w:t>
            </w:r>
          </w:p>
        </w:tc>
        <w:tc>
          <w:tcPr>
            <w:tcW w:type="dxa" w:w="3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52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4,055 </w:t>
            </w:r>
          </w:p>
        </w:tc>
        <w:tc>
          <w:tcPr>
            <w:tcW w:type="dxa" w:w="103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Correlations</w:t>
            </w:r>
          </w:p>
        </w:tc>
        <w:tc>
          <w:tcPr>
            <w:tcW w:type="dxa" w:w="16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2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-15% to 83% (7%)</w:t>
            </w:r>
          </w:p>
        </w:tc>
        <w:tc>
          <w:tcPr>
            <w:tcW w:type="dxa" w:w="1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-11% to 84% (7%)</w:t>
            </w:r>
          </w:p>
        </w:tc>
      </w:tr>
      <w:tr>
        <w:trPr>
          <w:trHeight w:hRule="exact" w:val="214"/>
        </w:trPr>
        <w:tc>
          <w:tcPr>
            <w:tcW w:type="dxa" w:w="141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3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Discounted </w:t>
            </w:r>
          </w:p>
        </w:tc>
        <w:tc>
          <w:tcPr>
            <w:tcW w:type="dxa" w:w="12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2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Interest rate </w:t>
            </w:r>
          </w:p>
        </w:tc>
        <w:tc>
          <w:tcPr>
            <w:tcW w:type="dxa" w:w="16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64% to 75% (71%)</w:t>
            </w:r>
          </w:p>
        </w:tc>
        <w:tc>
          <w:tcPr>
            <w:tcW w:type="dxa" w:w="1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65% to 77% (73%)</w:t>
            </w:r>
          </w:p>
        </w:tc>
      </w:tr>
      <w:tr>
        <w:trPr>
          <w:trHeight w:hRule="exact" w:val="8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24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volatilities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140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3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Flow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00"/>
        </w:trPr>
        <w:tc>
          <w:tcPr>
            <w:tcW w:type="dxa" w:w="141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Equity index </w:t>
            </w:r>
          </w:p>
        </w:tc>
        <w:tc>
          <w:tcPr>
            <w:tcW w:type="dxa" w:w="16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5% to 15% (10%)</w:t>
            </w:r>
          </w:p>
        </w:tc>
        <w:tc>
          <w:tcPr>
            <w:tcW w:type="dxa" w:w="1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5% to 15% (9%)</w:t>
            </w:r>
          </w:p>
        </w:tc>
      </w:tr>
      <w:tr>
        <w:trPr>
          <w:trHeight w:hRule="exact" w:val="234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volatilities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4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3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Correlations</w:t>
            </w:r>
          </w:p>
        </w:tc>
        <w:tc>
          <w:tcPr>
            <w:tcW w:type="dxa" w:w="16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2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-15% to 83% (7%)</w:t>
            </w:r>
          </w:p>
        </w:tc>
        <w:tc>
          <w:tcPr>
            <w:tcW w:type="dxa" w:w="1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-11% to 84% (7%)</w:t>
            </w:r>
          </w:p>
        </w:tc>
      </w:tr>
      <w:tr>
        <w:trPr>
          <w:trHeight w:hRule="exact" w:val="206"/>
        </w:trPr>
        <w:tc>
          <w:tcPr>
            <w:tcW w:type="dxa" w:w="14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(28)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  <w:tc>
          <w:tcPr>
            <w:tcW w:type="dxa" w:w="103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8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Discounted </w:t>
            </w:r>
          </w:p>
        </w:tc>
        <w:tc>
          <w:tcPr>
            <w:tcW w:type="dxa" w:w="12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2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Interest rate </w:t>
            </w:r>
          </w:p>
        </w:tc>
        <w:tc>
          <w:tcPr>
            <w:tcW w:type="dxa" w:w="16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64% to 75% (71%)</w:t>
            </w:r>
          </w:p>
        </w:tc>
        <w:tc>
          <w:tcPr>
            <w:tcW w:type="dxa" w:w="1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65% to 77% (73%)</w:t>
            </w:r>
          </w:p>
        </w:tc>
      </w:tr>
      <w:tr>
        <w:trPr>
          <w:trHeight w:hRule="exact" w:val="100"/>
        </w:trPr>
        <w:tc>
          <w:tcPr>
            <w:tcW w:type="dxa" w:w="141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assets/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</w:tcBorders>
          </w:tcPr>
          <w:p/>
        </w:tc>
        <w:tc>
          <w:tcPr>
            <w:tcW w:type="dxa" w:w="124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volatilities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130"/>
        </w:trPr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3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Flow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10"/>
        </w:trPr>
        <w:tc>
          <w:tcPr>
            <w:tcW w:type="dxa" w:w="141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(liabilities), net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Equity index </w:t>
            </w:r>
          </w:p>
        </w:tc>
        <w:tc>
          <w:tcPr>
            <w:tcW w:type="dxa" w:w="16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5% to 15% (10%)</w:t>
            </w:r>
          </w:p>
        </w:tc>
        <w:tc>
          <w:tcPr>
            <w:tcW w:type="dxa" w:w="15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5% to 15% (9%)</w:t>
            </w:r>
          </w:p>
        </w:tc>
      </w:tr>
      <w:tr>
        <w:trPr>
          <w:trHeight w:hRule="exact" w:val="226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volatilities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4" w:lineRule="exact" w:before="4460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57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tables below provide the details of transfers between Level 2 and Level 3 that are due to changes in observable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inputs.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J4: Borrowings and derivatives inter level transfers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9"/>
        <w:gridCol w:w="2359"/>
        <w:gridCol w:w="2359"/>
        <w:gridCol w:w="2359"/>
      </w:tblGrid>
      <w:tr>
        <w:trPr>
          <w:trHeight w:hRule="exact" w:val="240"/>
        </w:trPr>
        <w:tc>
          <w:tcPr>
            <w:tcW w:type="dxa" w:w="600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 March 31, 2025</w:t>
            </w:r>
          </w:p>
        </w:tc>
        <w:tc>
          <w:tcPr>
            <w:tcW w:type="dxa" w:w="332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 March 31, 2025</w:t>
            </w:r>
          </w:p>
        </w:tc>
      </w:tr>
      <w:tr>
        <w:trPr>
          <w:trHeight w:hRule="exact" w:val="240"/>
        </w:trPr>
        <w:tc>
          <w:tcPr>
            <w:tcW w:type="dxa" w:w="42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71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  <w:tc>
          <w:tcPr>
            <w:tcW w:type="dxa" w:w="17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8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into (out of)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 </w:t>
            </w:r>
          </w:p>
        </w:tc>
        <w:tc>
          <w:tcPr>
            <w:tcW w:type="dxa" w:w="8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(66) 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(92) </w:t>
            </w:r>
          </w:p>
        </w:tc>
      </w:tr>
      <w:tr>
        <w:trPr>
          <w:trHeight w:hRule="exact" w:val="240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(out of) into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(75) $ </w:t>
            </w:r>
          </w:p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 </w:t>
            </w:r>
          </w:p>
        </w:tc>
      </w:tr>
      <w:tr>
        <w:trPr>
          <w:trHeight w:hRule="exact" w:val="231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 </w:t>
            </w:r>
          </w:p>
        </w:tc>
        <w:tc>
          <w:tcPr>
            <w:tcW w:type="dxa" w:w="8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(66) $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 </w:t>
            </w:r>
          </w:p>
        </w:tc>
        <w:tc>
          <w:tcPr>
            <w:tcW w:type="dxa" w:w="7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</w:tr>
    </w:tbl>
    <w:p>
      <w:pPr>
        <w:autoSpaceDN w:val="0"/>
        <w:autoSpaceDE w:val="0"/>
        <w:widowControl/>
        <w:spacing w:line="178" w:lineRule="exact" w:before="40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38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into (out of)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8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7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</w:t>
            </w:r>
          </w:p>
        </w:tc>
      </w:tr>
      <w:tr>
        <w:trPr>
          <w:trHeight w:hRule="exact" w:val="240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(out of) into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6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8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</w:tr>
      <w:tr>
        <w:trPr>
          <w:trHeight w:hRule="exact" w:val="241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8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(into) out of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7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</w:tr>
      <w:tr>
        <w:trPr>
          <w:trHeight w:hRule="exact" w:val="240"/>
        </w:trPr>
        <w:tc>
          <w:tcPr>
            <w:tcW w:type="dxa" w:w="26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out of (into)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6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8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</w:t>
            </w:r>
          </w:p>
        </w:tc>
      </w:tr>
      <w:tr>
        <w:trPr>
          <w:trHeight w:hRule="exact" w:val="240"/>
        </w:trPr>
        <w:tc>
          <w:tcPr>
            <w:tcW w:type="dxa" w:w="26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8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</w:t>
            </w:r>
          </w:p>
        </w:tc>
      </w:tr>
      <w:tr>
        <w:trPr>
          <w:trHeight w:hRule="exact" w:val="220"/>
        </w:trPr>
        <w:tc>
          <w:tcPr>
            <w:tcW w:type="dxa" w:w="26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Derivative Transfers, net</w:t>
            </w:r>
          </w:p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8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40"/>
            <w:gridSpan w:val="2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$ </w:t>
            </w:r>
          </w:p>
        </w:tc>
        <w:tc>
          <w:tcPr>
            <w:tcW w:type="dxa" w:w="9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</w:tr>
      <w:tr>
        <w:trPr>
          <w:trHeight w:hRule="exact" w:val="50"/>
        </w:trPr>
        <w:tc>
          <w:tcPr>
            <w:tcW w:type="dxa" w:w="26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vMerge/>
            <w:tcBorders>
              <w:top w:sz="8.0" w:val="single" w:color="#000000"/>
            </w:tcBorders>
          </w:tcPr>
          <w:p/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224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J4.1: </w:t>
      </w:r>
    </w:p>
    <w:p>
      <w:pPr>
        <w:autoSpaceDN w:val="0"/>
        <w:autoSpaceDE w:val="0"/>
        <w:widowControl/>
        <w:spacing w:line="180" w:lineRule="exact" w:before="60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9"/>
        <w:gridCol w:w="2359"/>
        <w:gridCol w:w="2359"/>
        <w:gridCol w:w="2359"/>
      </w:tblGrid>
      <w:tr>
        <w:trPr>
          <w:trHeight w:hRule="exact" w:val="240"/>
        </w:trPr>
        <w:tc>
          <w:tcPr>
            <w:tcW w:type="dxa" w:w="600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 March 31, 2024</w:t>
            </w:r>
          </w:p>
        </w:tc>
        <w:tc>
          <w:tcPr>
            <w:tcW w:type="dxa" w:w="332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 March 31, 2024</w:t>
            </w:r>
          </w:p>
        </w:tc>
      </w:tr>
      <w:tr>
        <w:trPr>
          <w:trHeight w:hRule="exact" w:val="240"/>
        </w:trPr>
        <w:tc>
          <w:tcPr>
            <w:tcW w:type="dxa" w:w="42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71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  <w:tc>
          <w:tcPr>
            <w:tcW w:type="dxa" w:w="1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2</w:t>
            </w:r>
          </w:p>
        </w:tc>
        <w:tc>
          <w:tcPr>
            <w:tcW w:type="dxa" w:w="1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Level 3</w:t>
            </w:r>
          </w:p>
        </w:tc>
      </w:tr>
    </w:tbl>
    <w:p>
      <w:pPr>
        <w:autoSpaceDN w:val="0"/>
        <w:autoSpaceDE w:val="0"/>
        <w:widowControl/>
        <w:spacing w:line="180" w:lineRule="exact" w:before="2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34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into (out of)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</w:t>
            </w:r>
          </w:p>
        </w:tc>
        <w:tc>
          <w:tcPr>
            <w:tcW w:type="dxa" w:w="8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(65) $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(90) </w:t>
            </w:r>
          </w:p>
        </w:tc>
      </w:tr>
      <w:tr>
        <w:trPr>
          <w:trHeight w:hRule="exact" w:val="246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(out of) into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6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8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</w:tr>
      <w:tr>
        <w:trPr>
          <w:trHeight w:hRule="exact" w:val="230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</w:t>
            </w:r>
          </w:p>
        </w:tc>
        <w:tc>
          <w:tcPr>
            <w:tcW w:type="dxa" w:w="8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(65) $ </w:t>
            </w:r>
          </w:p>
        </w:tc>
        <w:tc>
          <w:tcPr>
            <w:tcW w:type="dxa" w:w="8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(69) </w:t>
            </w:r>
          </w:p>
        </w:tc>
      </w:tr>
    </w:tbl>
    <w:p>
      <w:pPr>
        <w:autoSpaceDN w:val="0"/>
        <w:autoSpaceDE w:val="0"/>
        <w:widowControl/>
        <w:spacing w:line="180" w:lineRule="exact" w:before="4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4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into (out of)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 </w:t>
            </w:r>
          </w:p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(96) </w:t>
            </w:r>
          </w:p>
        </w:tc>
      </w:tr>
      <w:tr>
        <w:trPr>
          <w:trHeight w:hRule="exact" w:val="246"/>
        </w:trPr>
        <w:tc>
          <w:tcPr>
            <w:tcW w:type="dxa" w:w="2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(out of) into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2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(96) 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4"/>
        </w:trPr>
        <w:tc>
          <w:tcPr>
            <w:tcW w:type="dxa" w:w="2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(into) out of</w:t>
            </w:r>
          </w:p>
        </w:tc>
        <w:tc>
          <w:tcPr>
            <w:tcW w:type="dxa" w:w="7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(61) </w:t>
            </w:r>
          </w:p>
        </w:tc>
        <w:tc>
          <w:tcPr>
            <w:tcW w:type="dxa" w:w="8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(63) $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 </w:t>
            </w:r>
          </w:p>
        </w:tc>
      </w:tr>
      <w:tr>
        <w:trPr>
          <w:trHeight w:hRule="exact" w:val="246"/>
        </w:trPr>
        <w:tc>
          <w:tcPr>
            <w:tcW w:type="dxa" w:w="26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 out of (into)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8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6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8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8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</w:tr>
      <w:tr>
        <w:trPr>
          <w:trHeight w:hRule="exact" w:val="240"/>
        </w:trPr>
        <w:tc>
          <w:tcPr>
            <w:tcW w:type="dxa" w:w="2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(61) </w:t>
            </w:r>
          </w:p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7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(57) </w:t>
            </w:r>
          </w:p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 </w:t>
            </w:r>
          </w:p>
        </w:tc>
      </w:tr>
      <w:tr>
        <w:trPr>
          <w:trHeight w:hRule="exact" w:val="220"/>
        </w:trPr>
        <w:tc>
          <w:tcPr>
            <w:tcW w:type="dxa" w:w="2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Derivative Transfers, net</w:t>
            </w:r>
          </w:p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(61) </w:t>
            </w:r>
          </w:p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</w:t>
            </w:r>
          </w:p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(39) </w:t>
            </w:r>
          </w:p>
        </w:tc>
      </w:tr>
      <w:tr>
        <w:trPr>
          <w:trHeight w:hRule="exact" w:val="200"/>
        </w:trPr>
        <w:tc>
          <w:tcPr>
            <w:tcW w:type="dxa" w:w="26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4" w:lineRule="exact" w:before="4250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58     IBRD Condensed Quarterly Financial Statements: March 31, 2025 (Unaudited)</w:t>
      </w:r>
    </w:p>
    <w:p>
      <w:pPr>
        <w:sectPr>
          <w:pgSz w:w="12240" w:h="15840"/>
          <w:pgMar w:top="700" w:right="1372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a summary of changes in the fair value of IBRD’s Level 3 borrowings and derivatives: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J5: Borrowings Level 3 changes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hRule="exact" w:val="24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 March 31,</w:t>
            </w:r>
          </w:p>
        </w:tc>
        <w:tc>
          <w:tcPr>
            <w:tcW w:type="dxa" w:w="5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5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 March 31,</w:t>
            </w:r>
          </w:p>
        </w:tc>
      </w:tr>
      <w:tr>
        <w:trPr>
          <w:trHeight w:hRule="exact" w:val="24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2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5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8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5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7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5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  <w:tr>
        <w:trPr>
          <w:trHeight w:hRule="exact" w:val="240"/>
        </w:trPr>
        <w:tc>
          <w:tcPr>
            <w:tcW w:type="dxa" w:w="30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Beginning of the period/fiscal year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4,425 </w:t>
            </w:r>
          </w:p>
        </w:tc>
        <w:tc>
          <w:tcPr>
            <w:tcW w:type="dxa" w:w="62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3,395 </w:t>
            </w:r>
          </w:p>
        </w:tc>
        <w:tc>
          <w:tcPr>
            <w:tcW w:type="dxa" w:w="5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4,055 </w:t>
            </w:r>
          </w:p>
        </w:tc>
        <w:tc>
          <w:tcPr>
            <w:tcW w:type="dxa" w:w="4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3,607 </w:t>
            </w:r>
          </w:p>
        </w:tc>
      </w:tr>
      <w:tr>
        <w:trPr>
          <w:trHeight w:hRule="exact" w:val="240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Issuances</w:t>
            </w:r>
          </w:p>
        </w:tc>
        <w:tc>
          <w:tcPr>
            <w:tcW w:type="dxa" w:w="1047"/>
            <w:vMerge/>
            <w:tcBorders>
              <w:top w:sz="8.0" w:val="single" w:color="#000000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125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110 </w:t>
            </w:r>
          </w:p>
        </w:tc>
        <w:tc>
          <w:tcPr>
            <w:tcW w:type="dxa" w:w="1047"/>
            <w:vMerge/>
            <w:tcBorders>
              <w:top w:sz="8.0" w:val="single" w:color="#000000"/>
            </w:tcBorders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702 </w:t>
            </w:r>
          </w:p>
        </w:tc>
        <w:tc>
          <w:tcPr>
            <w:tcW w:type="dxa" w:w="1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137 </w:t>
            </w:r>
          </w:p>
        </w:tc>
      </w:tr>
      <w:tr>
        <w:trPr>
          <w:trHeight w:hRule="exact" w:val="242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Settlements</w:t>
            </w:r>
          </w:p>
        </w:tc>
        <w:tc>
          <w:tcPr>
            <w:tcW w:type="dxa" w:w="1047"/>
            <w:vMerge/>
            <w:tcBorders>
              <w:top w:sz="8.0" w:val="single" w:color="#000000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(79)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(387) </w:t>
            </w:r>
          </w:p>
        </w:tc>
        <w:tc>
          <w:tcPr>
            <w:tcW w:type="dxa" w:w="1047"/>
            <w:vMerge/>
            <w:tcBorders>
              <w:top w:sz="8.0" w:val="single" w:color="#000000"/>
            </w:tcBorders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(306) </w:t>
            </w:r>
          </w:p>
        </w:tc>
        <w:tc>
          <w:tcPr>
            <w:tcW w:type="dxa" w:w="1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(799) </w:t>
            </w:r>
          </w:p>
        </w:tc>
      </w:tr>
    </w:tbl>
    <w:p>
      <w:pPr>
        <w:autoSpaceDN w:val="0"/>
        <w:autoSpaceDE w:val="0"/>
        <w:widowControl/>
        <w:spacing w:line="192" w:lineRule="exact" w:before="10" w:after="30"/>
        <w:ind w:left="62" w:right="6336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Total realized/unrealized mark-to-market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losses (gains) in: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hRule="exact" w:val="224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(loss) income</w:t>
            </w:r>
          </w:p>
        </w:tc>
        <w:tc>
          <w:tcPr>
            <w:tcW w:type="dxa" w:w="4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166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199 </w:t>
            </w:r>
          </w:p>
        </w:tc>
        <w:tc>
          <w:tcPr>
            <w:tcW w:type="dxa" w:w="4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5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350 </w:t>
            </w:r>
          </w:p>
        </w:tc>
      </w:tr>
      <w:tr>
        <w:trPr>
          <w:trHeight w:hRule="exact" w:val="240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comprehensive (loss) income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9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(84)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</w:t>
            </w:r>
          </w:p>
        </w:tc>
      </w:tr>
      <w:tr>
        <w:trPr>
          <w:trHeight w:hRule="exact" w:val="254"/>
        </w:trPr>
        <w:tc>
          <w:tcPr>
            <w:tcW w:type="dxa" w:w="30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Transfers to (from) Level 3, net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(66)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9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(65)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9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  <w:tc>
          <w:tcPr>
            <w:tcW w:type="dxa" w:w="1047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(69) </w:t>
            </w:r>
          </w:p>
        </w:tc>
      </w:tr>
      <w:tr>
        <w:trPr>
          <w:trHeight w:hRule="exact" w:val="22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End of the period</w:t>
            </w:r>
          </w:p>
        </w:tc>
        <w:tc>
          <w:tcPr>
            <w:tcW w:type="dxa" w:w="4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4,549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3,230 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4,549 </w:t>
            </w:r>
          </w:p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3,230 </w:t>
            </w:r>
          </w:p>
        </w:tc>
      </w:tr>
    </w:tbl>
    <w:p>
      <w:pPr>
        <w:autoSpaceDN w:val="0"/>
        <w:autoSpaceDE w:val="0"/>
        <w:widowControl/>
        <w:spacing w:line="222" w:lineRule="exact" w:before="43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J6: Derivatives Level 3 changes</w:t>
      </w:r>
    </w:p>
    <w:p>
      <w:pPr>
        <w:autoSpaceDN w:val="0"/>
        <w:autoSpaceDE w:val="0"/>
        <w:widowControl/>
        <w:spacing w:line="180" w:lineRule="exact" w:before="92" w:after="22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sectPr>
          <w:pgSz w:w="12240" w:h="15840"/>
          <w:pgMar w:top="700" w:right="139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3168" w:right="144" w:firstLine="0"/>
        <w:jc w:val="center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Three Months Ended March 31, 2025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Derivatives, Assets/(Liabilities)</w:t>
      </w:r>
    </w:p>
    <w:p>
      <w:pPr>
        <w:sectPr>
          <w:type w:val="continuous"/>
          <w:pgSz w:w="12240" w:h="15840"/>
          <w:pgMar w:top="700" w:right="1390" w:bottom="360" w:left="1430" w:header="720" w:footer="720" w:gutter="0"/>
          <w:cols w:num="2" w:equalWidth="0">
            <w:col w:w="6220" w:space="0"/>
            <w:col w:w="3200" w:space="0"/>
          </w:cols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26"/>
        <w:ind w:left="288" w:right="288" w:firstLine="0"/>
        <w:jc w:val="center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Nine Months Ended March 31, 2025 </w:t>
      </w:r>
      <w:r>
        <w:rPr>
          <w:rFonts w:ascii="Arial" w:hAnsi="Arial" w:eastAsia="Arial"/>
          <w:b w:val="0"/>
          <w:i/>
          <w:color w:val="000000"/>
          <w:sz w:val="16"/>
        </w:rPr>
        <w:t>Derivatives, Assets/(Liabilities)</w:t>
      </w:r>
    </w:p>
    <w:p>
      <w:pPr>
        <w:sectPr>
          <w:type w:val="nextColumn"/>
          <w:pgSz w:w="12240" w:h="15840"/>
          <w:pgMar w:top="700" w:right="1390" w:bottom="360" w:left="1430" w:header="720" w:footer="720" w:gutter="0"/>
          <w:cols w:num="2" w:equalWidth="0">
            <w:col w:w="6220" w:space="0"/>
            <w:col w:w="320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</w:tblGrid>
      <w:tr>
        <w:trPr>
          <w:trHeight w:hRule="exact" w:val="170"/>
        </w:trPr>
        <w:tc>
          <w:tcPr>
            <w:tcW w:type="dxa" w:w="30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Currency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</w:t>
            </w:r>
          </w:p>
        </w:tc>
        <w:tc>
          <w:tcPr>
            <w:tcW w:type="dxa" w:w="2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14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Currency 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</w:t>
            </w:r>
          </w:p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3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0"/>
        </w:trPr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Swaps</w:t>
            </w:r>
          </w:p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Rate Swaps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143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1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Swaps</w:t>
            </w:r>
          </w:p>
        </w:tc>
        <w:tc>
          <w:tcPr>
            <w:tcW w:type="dxa" w:w="13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Rate Swaps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550"/>
        </w:trPr>
        <w:tc>
          <w:tcPr>
            <w:tcW w:type="dxa" w:w="30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Beginning of the period/fiscal year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4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2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(97) $ </w:t>
            </w:r>
          </w:p>
        </w:tc>
        <w:tc>
          <w:tcPr>
            <w:tcW w:type="dxa" w:w="2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25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(96) $ </w:t>
            </w:r>
          </w:p>
        </w:tc>
        <w:tc>
          <w:tcPr>
            <w:tcW w:type="dxa" w:w="5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(62) $ </w:t>
            </w:r>
          </w:p>
        </w:tc>
        <w:tc>
          <w:tcPr>
            <w:tcW w:type="dxa" w:w="42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</w:tr>
      <w:tr>
        <w:trPr>
          <w:trHeight w:hRule="exact" w:val="240"/>
        </w:trPr>
        <w:tc>
          <w:tcPr>
            <w:tcW w:type="dxa" w:w="3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Issuances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1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</w:tr>
      <w:tr>
        <w:trPr>
          <w:trHeight w:hRule="exact" w:val="248"/>
        </w:trPr>
        <w:tc>
          <w:tcPr>
            <w:tcW w:type="dxa" w:w="3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Settlements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(22) </w:t>
            </w:r>
          </w:p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(20)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 </w:t>
            </w:r>
          </w:p>
        </w:tc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725"/>
            <w:vMerge/>
            <w:tcBorders>
              <w:top w:sz="8.0" w:val="single" w:color="#000000"/>
            </w:tcBorders>
          </w:tcPr>
          <w:p/>
        </w:tc>
        <w:tc>
          <w:tcPr>
            <w:tcW w:type="dxa" w:w="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18" w:after="32"/>
        <w:ind w:left="62" w:right="691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Total realized/unrealized mark-to-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market (losses) gains in: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rPr>
          <w:trHeight w:hRule="exact" w:val="238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(loss) income</w:t>
            </w:r>
          </w:p>
        </w:tc>
        <w:tc>
          <w:tcPr>
            <w:tcW w:type="dxa" w:w="4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 </w:t>
            </w:r>
          </w:p>
        </w:tc>
        <w:tc>
          <w:tcPr>
            <w:tcW w:type="dxa" w:w="4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(19)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 </w:t>
            </w:r>
          </w:p>
        </w:tc>
        <w:tc>
          <w:tcPr>
            <w:tcW w:type="dxa" w:w="4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</w:tr>
      <w:tr>
        <w:trPr>
          <w:trHeight w:hRule="exact" w:val="240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comprehensive (loss) income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63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(56)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(57) </w:t>
            </w:r>
          </w:p>
        </w:tc>
      </w:tr>
      <w:tr>
        <w:trPr>
          <w:trHeight w:hRule="exact" w:val="240"/>
        </w:trPr>
        <w:tc>
          <w:tcPr>
            <w:tcW w:type="dxa" w:w="30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Transfers (from) to Level 3, net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</w:t>
            </w:r>
          </w:p>
        </w:tc>
        <w:tc>
          <w:tcPr>
            <w:tcW w:type="dxa" w:w="5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10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</w:t>
            </w:r>
          </w:p>
        </w:tc>
        <w:tc>
          <w:tcPr>
            <w:tcW w:type="dxa" w:w="1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42"/>
            <w:vMerge/>
            <w:tcBorders>
              <w:bottom w:sz="8.0" w:val="single" w:color="#000000"/>
            </w:tcBorders>
          </w:tcPr>
          <w:p/>
        </w:tc>
        <w:tc>
          <w:tcPr>
            <w:tcW w:type="dxa" w:w="5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</w:tr>
      <w:tr>
        <w:trPr>
          <w:trHeight w:hRule="exact" w:val="22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End of the period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(40) $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(28) $ </w:t>
            </w:r>
          </w:p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(40) $ 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(28) </w:t>
            </w:r>
          </w:p>
        </w:tc>
      </w:tr>
      <w:tr>
        <w:trPr>
          <w:trHeight w:hRule="exact" w:val="26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274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J6.1:</w:t>
      </w:r>
    </w:p>
    <w:p>
      <w:pPr>
        <w:autoSpaceDN w:val="0"/>
        <w:autoSpaceDE w:val="0"/>
        <w:widowControl/>
        <w:spacing w:line="180" w:lineRule="exact" w:before="60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sectPr>
          <w:type w:val="continuous"/>
          <w:pgSz w:w="12240" w:h="15840"/>
          <w:pgMar w:top="700" w:right="139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3168" w:right="144" w:firstLine="0"/>
        <w:jc w:val="center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Three Months Ended March 31, 2024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Derivatives, Assets/(Liabilities)</w:t>
      </w:r>
    </w:p>
    <w:p>
      <w:pPr>
        <w:sectPr>
          <w:type w:val="continuous"/>
          <w:pgSz w:w="12240" w:h="15840"/>
          <w:pgMar w:top="700" w:right="1390" w:bottom="360" w:left="1430" w:header="720" w:footer="720" w:gutter="0"/>
          <w:cols w:num="2" w:equalWidth="0">
            <w:col w:w="6220" w:space="0"/>
            <w:col w:w="3200" w:space="0"/>
          </w:cols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24"/>
        <w:ind w:left="288" w:right="288" w:firstLine="0"/>
        <w:jc w:val="center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Nine Months ended March 31, 2024 </w:t>
      </w:r>
      <w:r>
        <w:rPr>
          <w:rFonts w:ascii="Arial" w:hAnsi="Arial" w:eastAsia="Arial"/>
          <w:b w:val="0"/>
          <w:i/>
          <w:color w:val="000000"/>
          <w:sz w:val="16"/>
        </w:rPr>
        <w:t>Derivatives, Assets/(Liabilities)</w:t>
      </w:r>
    </w:p>
    <w:p>
      <w:pPr>
        <w:sectPr>
          <w:type w:val="nextColumn"/>
          <w:pgSz w:w="12240" w:h="15840"/>
          <w:pgMar w:top="700" w:right="1390" w:bottom="360" w:left="1430" w:header="720" w:footer="720" w:gutter="0"/>
          <w:cols w:num="2" w:equalWidth="0">
            <w:col w:w="6220" w:space="0"/>
            <w:col w:w="320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rHeight w:hRule="exact" w:val="180"/>
        </w:trPr>
        <w:tc>
          <w:tcPr>
            <w:tcW w:type="dxa" w:w="30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Currency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8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</w:t>
            </w:r>
          </w:p>
        </w:tc>
        <w:tc>
          <w:tcPr>
            <w:tcW w:type="dxa" w:w="4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13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Currency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8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</w:t>
            </w:r>
          </w:p>
        </w:tc>
        <w:tc>
          <w:tcPr>
            <w:tcW w:type="dxa" w:w="7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0"/>
        </w:trPr>
        <w:tc>
          <w:tcPr>
            <w:tcW w:type="dxa" w:w="856"/>
            <w:vMerge/>
            <w:tcBorders>
              <w:bottom w:sz="8.0" w:val="single" w:color="#000000"/>
            </w:tcBorders>
          </w:tcPr>
          <w:p/>
        </w:tc>
        <w:tc>
          <w:tcPr>
            <w:tcW w:type="dxa" w:w="10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Swaps</w:t>
            </w:r>
          </w:p>
        </w:tc>
        <w:tc>
          <w:tcPr>
            <w:tcW w:type="dxa" w:w="13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Rate Swaps</w:t>
            </w:r>
          </w:p>
        </w:tc>
        <w:tc>
          <w:tcPr>
            <w:tcW w:type="dxa" w:w="856"/>
            <w:vMerge/>
            <w:tcBorders>
              <w:bottom w:sz="8.0" w:val="single" w:color="#000000"/>
            </w:tcBorders>
          </w:tcPr>
          <w:p/>
        </w:tc>
        <w:tc>
          <w:tcPr>
            <w:tcW w:type="dxa" w:w="139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2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Swaps</w:t>
            </w:r>
          </w:p>
        </w:tc>
        <w:tc>
          <w:tcPr>
            <w:tcW w:type="dxa" w:w="13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1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Rate Swaps</w:t>
            </w:r>
          </w:p>
        </w:tc>
        <w:tc>
          <w:tcPr>
            <w:tcW w:type="dxa" w:w="856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540"/>
        </w:trPr>
        <w:tc>
          <w:tcPr>
            <w:tcW w:type="dxa" w:w="30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Beginning of the period/fiscal year</w:t>
            </w:r>
          </w:p>
        </w:tc>
        <w:tc>
          <w:tcPr>
            <w:tcW w:type="dxa" w:w="4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(65) $ </w:t>
            </w:r>
          </w:p>
        </w:tc>
        <w:tc>
          <w:tcPr>
            <w:tcW w:type="dxa" w:w="4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(52) $ </w:t>
            </w:r>
          </w:p>
        </w:tc>
        <w:tc>
          <w:tcPr>
            <w:tcW w:type="dxa" w:w="5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(134) $ </w:t>
            </w:r>
          </w:p>
        </w:tc>
        <w:tc>
          <w:tcPr>
            <w:tcW w:type="dxa" w:w="7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(121) </w:t>
            </w:r>
          </w:p>
        </w:tc>
      </w:tr>
      <w:tr>
        <w:trPr>
          <w:trHeight w:hRule="exact" w:val="240"/>
        </w:trPr>
        <w:tc>
          <w:tcPr>
            <w:tcW w:type="dxa" w:w="3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Issuances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856"/>
            <w:vMerge/>
            <w:tcBorders>
              <w:top w:sz="8.0" w:val="single" w:color="#000000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</w:tr>
      <w:tr>
        <w:trPr>
          <w:trHeight w:hRule="exact" w:val="258"/>
        </w:trPr>
        <w:tc>
          <w:tcPr>
            <w:tcW w:type="dxa" w:w="3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Settlements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856"/>
            <w:vMerge/>
            <w:tcBorders>
              <w:top w:sz="8.0" w:val="single" w:color="#000000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7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 </w:t>
            </w:r>
          </w:p>
        </w:tc>
        <w:tc>
          <w:tcPr>
            <w:tcW w:type="dxa" w:w="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18" w:after="30"/>
        <w:ind w:left="62" w:right="691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Total realized/unrealized mark-to-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market gains (losses) in: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  <w:gridCol w:w="725"/>
      </w:tblGrid>
      <w:tr>
        <w:trPr>
          <w:trHeight w:hRule="exact" w:val="230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income</w:t>
            </w:r>
          </w:p>
        </w:tc>
        <w:tc>
          <w:tcPr>
            <w:tcW w:type="dxa" w:w="4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108 </w:t>
            </w:r>
          </w:p>
        </w:tc>
        <w:tc>
          <w:tcPr>
            <w:tcW w:type="dxa" w:w="5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192 </w:t>
            </w:r>
          </w:p>
        </w:tc>
        <w:tc>
          <w:tcPr>
            <w:tcW w:type="dxa" w:w="5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246 </w:t>
            </w:r>
          </w:p>
        </w:tc>
      </w:tr>
      <w:tr>
        <w:trPr>
          <w:trHeight w:hRule="exact" w:val="240"/>
        </w:trPr>
        <w:tc>
          <w:tcPr>
            <w:tcW w:type="dxa" w:w="3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comprehensive income (loss)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</w:tr>
      <w:tr>
        <w:trPr>
          <w:trHeight w:hRule="exact" w:val="250"/>
        </w:trPr>
        <w:tc>
          <w:tcPr>
            <w:tcW w:type="dxa" w:w="30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Transfers (from) to Level 3, net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6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(100)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725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(39) </w:t>
            </w:r>
          </w:p>
        </w:tc>
      </w:tr>
      <w:tr>
        <w:trPr>
          <w:trHeight w:hRule="exact" w:val="220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End of the period</w:t>
            </w:r>
          </w:p>
        </w:tc>
        <w:tc>
          <w:tcPr>
            <w:tcW w:type="dxa" w:w="4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138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156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138 </w:t>
            </w:r>
          </w:p>
        </w:tc>
        <w:tc>
          <w:tcPr>
            <w:tcW w:type="dxa" w:w="5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156 </w:t>
            </w:r>
          </w:p>
        </w:tc>
      </w:tr>
      <w:tr>
        <w:trPr>
          <w:trHeight w:hRule="exact" w:val="336"/>
        </w:trPr>
        <w:tc>
          <w:tcPr>
            <w:tcW w:type="dxa" w:w="3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4" w:lineRule="exact" w:before="1070" w:after="0"/>
        <w:ind w:left="0" w:right="5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59</w:t>
      </w:r>
    </w:p>
    <w:p>
      <w:pPr>
        <w:sectPr>
          <w:type w:val="continuous"/>
          <w:pgSz w:w="12240" w:h="15840"/>
          <w:pgMar w:top="700" w:right="139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Information on the unrealized gains or losses included in the Condensed Statements of Income and Condensed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of Comprehensive Income relating to IBRD’s Level 3 borrowings and derivatives that are still held at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reporting dates, is presented in the following table: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J7: Unrealized gains or losses relating to IBRD’s Level 3 borrowings and derivatives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0"/>
        <w:gridCol w:w="2360"/>
        <w:gridCol w:w="2360"/>
        <w:gridCol w:w="2360"/>
      </w:tblGrid>
      <w:tr>
        <w:trPr>
          <w:trHeight w:hRule="exact" w:val="434"/>
        </w:trPr>
        <w:tc>
          <w:tcPr>
            <w:tcW w:type="dxa" w:w="725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2" w:after="0"/>
              <w:ind w:left="5328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Three Months Ended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  <w:tc>
          <w:tcPr>
            <w:tcW w:type="dxa" w:w="213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</w:t>
            </w:r>
          </w:p>
        </w:tc>
      </w:tr>
      <w:tr>
        <w:trPr>
          <w:trHeight w:hRule="exact" w:val="256"/>
        </w:trPr>
        <w:tc>
          <w:tcPr>
            <w:tcW w:type="dxa" w:w="61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3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0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11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2025</w:t>
            </w:r>
          </w:p>
        </w:tc>
        <w:tc>
          <w:tcPr>
            <w:tcW w:type="dxa" w:w="10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</w:tbl>
    <w:p>
      <w:pPr>
        <w:autoSpaceDN w:val="0"/>
        <w:autoSpaceDE w:val="0"/>
        <w:widowControl/>
        <w:spacing w:line="178" w:lineRule="exact" w:before="14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Reported as:</w:t>
      </w:r>
    </w:p>
    <w:p>
      <w:pPr>
        <w:autoSpaceDN w:val="0"/>
        <w:autoSpaceDE w:val="0"/>
        <w:widowControl/>
        <w:spacing w:line="178" w:lineRule="exact" w:before="48" w:after="1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0"/>
        </w:trPr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(loss) income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(30) $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144 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(129) $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</w:tr>
      <w:tr>
        <w:trPr>
          <w:trHeight w:hRule="exact" w:val="252"/>
        </w:trPr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Comprehensive income (loss)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2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(104)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(11) 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5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1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16"/>
        </w:trPr>
        <w:tc>
          <w:tcPr>
            <w:tcW w:type="dxa" w:w="41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income (loss)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5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 </w:t>
            </w:r>
          </w:p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(110) $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 </w:t>
            </w:r>
          </w:p>
        </w:tc>
        <w:tc>
          <w:tcPr>
            <w:tcW w:type="dxa" w:w="3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(114) </w:t>
            </w:r>
          </w:p>
        </w:tc>
      </w:tr>
      <w:tr>
        <w:trPr>
          <w:trHeight w:hRule="exact" w:val="470"/>
        </w:trPr>
        <w:tc>
          <w:tcPr>
            <w:tcW w:type="dxa" w:w="41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Comprehensive (loss) income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5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6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(58) </w:t>
            </w:r>
          </w:p>
        </w:tc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Amounts are included in Unrealized mark-to-market gains (losses) on non-trading portfolios, net on the Condensed Statements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of Income.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Amounts are included in Currency translation adjustment on functional currency and Net Change in DVA on fair value option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elected liabilities, in the Condensed Statements of Comprehensive Income.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Amounts are included in Currency translation adjustment on functional currency, in the Condensed Statements of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Comprehensive Income.</w:t>
      </w:r>
    </w:p>
    <w:p>
      <w:pPr>
        <w:autoSpaceDN w:val="0"/>
        <w:autoSpaceDE w:val="0"/>
        <w:widowControl/>
        <w:spacing w:line="222" w:lineRule="exact" w:before="20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J8: Borrowings fair value and contractual principal balance</w:t>
      </w:r>
    </w:p>
    <w:p>
      <w:pPr>
        <w:autoSpaceDN w:val="0"/>
        <w:autoSpaceDE w:val="0"/>
        <w:widowControl/>
        <w:spacing w:line="180" w:lineRule="exact" w:before="21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4" w:after="8"/>
        <w:ind w:left="0" w:right="2012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Principal Amount Due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4"/>
        </w:trPr>
        <w:tc>
          <w:tcPr>
            <w:tcW w:type="dxa" w:w="3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7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  <w:tc>
          <w:tcPr>
            <w:tcW w:type="dxa" w:w="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Upon Maturity</w:t>
            </w:r>
          </w:p>
        </w:tc>
        <w:tc>
          <w:tcPr>
            <w:tcW w:type="dxa" w:w="4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7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Difference</w:t>
            </w:r>
          </w:p>
        </w:tc>
      </w:tr>
      <w:tr>
        <w:trPr>
          <w:trHeight w:hRule="exact" w:val="230"/>
        </w:trPr>
        <w:tc>
          <w:tcPr>
            <w:tcW w:type="dxa" w:w="3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March 31, 2025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295,851 </w:t>
            </w:r>
          </w:p>
        </w:tc>
        <w:tc>
          <w:tcPr>
            <w:tcW w:type="dxa" w:w="3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317,004 </w:t>
            </w:r>
          </w:p>
        </w:tc>
        <w:tc>
          <w:tcPr>
            <w:tcW w:type="dxa" w:w="4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(21,153) </w:t>
            </w:r>
          </w:p>
        </w:tc>
      </w:tr>
      <w:tr>
        <w:trPr>
          <w:trHeight w:hRule="exact" w:val="490"/>
        </w:trPr>
        <w:tc>
          <w:tcPr>
            <w:tcW w:type="dxa" w:w="3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2024</w:t>
            </w:r>
          </w:p>
        </w:tc>
        <w:tc>
          <w:tcPr>
            <w:tcW w:type="dxa" w:w="3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261,790 </w:t>
            </w:r>
          </w:p>
        </w:tc>
        <w:tc>
          <w:tcPr>
            <w:tcW w:type="dxa" w:w="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285,322 </w:t>
            </w:r>
          </w:p>
        </w:tc>
        <w:tc>
          <w:tcPr>
            <w:tcW w:type="dxa" w:w="4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(23,532) </w:t>
            </w:r>
          </w:p>
        </w:tc>
      </w:tr>
    </w:tbl>
    <w:p>
      <w:pPr>
        <w:autoSpaceDN w:val="0"/>
        <w:autoSpaceDE w:val="0"/>
        <w:widowControl/>
        <w:spacing w:line="240" w:lineRule="exact" w:before="4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provide information on the changes in fair value due to the change in IBRD’s own credit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financial liabilities measured under the fair value option, included in the Condensed Statements of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Comprehensive Income: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J9: Changes in fair value due to IBRD’s own credit risk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10"/>
        </w:trPr>
        <w:tc>
          <w:tcPr>
            <w:tcW w:type="dxa" w:w="5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mark-to-market gains (losses) due to DVA on fair value option </w:t>
            </w:r>
          </w:p>
        </w:tc>
        <w:tc>
          <w:tcPr>
            <w:tcW w:type="dxa" w:w="174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Three Months Ended </w:t>
            </w:r>
          </w:p>
        </w:tc>
        <w:tc>
          <w:tcPr>
            <w:tcW w:type="dxa" w:w="181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26"/>
        </w:trPr>
        <w:tc>
          <w:tcPr>
            <w:tcW w:type="dxa" w:w="5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elected liabilities</w:t>
            </w:r>
          </w:p>
        </w:tc>
        <w:tc>
          <w:tcPr>
            <w:tcW w:type="dxa" w:w="174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18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39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</w:tr>
      <w:tr>
        <w:trPr>
          <w:trHeight w:hRule="exact" w:val="214"/>
        </w:trPr>
        <w:tc>
          <w:tcPr>
            <w:tcW w:type="dxa" w:w="5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(114) </w:t>
            </w:r>
          </w:p>
        </w:tc>
        <w:tc>
          <w:tcPr>
            <w:tcW w:type="dxa" w:w="8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1,306 </w:t>
            </w:r>
          </w:p>
        </w:tc>
      </w:tr>
      <w:tr>
        <w:trPr>
          <w:trHeight w:hRule="exact" w:val="234"/>
        </w:trPr>
        <w:tc>
          <w:tcPr>
            <w:tcW w:type="dxa" w:w="5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Amounts reclassified to net income upon derecognition of a liability</w:t>
            </w:r>
          </w:p>
        </w:tc>
        <w:tc>
          <w:tcPr>
            <w:tcW w:type="dxa" w:w="174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8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</w:t>
            </w:r>
          </w:p>
        </w:tc>
      </w:tr>
      <w:tr>
        <w:trPr>
          <w:trHeight w:hRule="exact" w:val="206"/>
        </w:trPr>
        <w:tc>
          <w:tcPr>
            <w:tcW w:type="dxa" w:w="5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change in DVA on Fair Value Option Elected Liabilities</w:t>
            </w:r>
          </w:p>
        </w:tc>
        <w:tc>
          <w:tcPr>
            <w:tcW w:type="dxa" w:w="7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(113) </w:t>
            </w:r>
          </w:p>
        </w:tc>
        <w:tc>
          <w:tcPr>
            <w:tcW w:type="dxa" w:w="8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1,294 </w:t>
            </w:r>
          </w:p>
        </w:tc>
      </w:tr>
      <w:tr>
        <w:trPr>
          <w:trHeight w:hRule="exact" w:val="246"/>
        </w:trPr>
        <w:tc>
          <w:tcPr>
            <w:tcW w:type="dxa" w:w="5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308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J9.1:</w:t>
      </w:r>
    </w:p>
    <w:p>
      <w:pPr>
        <w:autoSpaceDN w:val="0"/>
        <w:autoSpaceDE w:val="0"/>
        <w:widowControl/>
        <w:spacing w:line="180" w:lineRule="exact" w:before="60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06"/>
        </w:trPr>
        <w:tc>
          <w:tcPr>
            <w:tcW w:type="dxa" w:w="5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mark-to-market gains (losses) due to DVA on fair value option </w:t>
            </w:r>
          </w:p>
        </w:tc>
        <w:tc>
          <w:tcPr>
            <w:tcW w:type="dxa" w:w="181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Three Months Ended </w:t>
            </w:r>
          </w:p>
        </w:tc>
        <w:tc>
          <w:tcPr>
            <w:tcW w:type="dxa" w:w="175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30"/>
        </w:trPr>
        <w:tc>
          <w:tcPr>
            <w:tcW w:type="dxa" w:w="5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elected liabilities</w:t>
            </w:r>
          </w:p>
        </w:tc>
        <w:tc>
          <w:tcPr>
            <w:tcW w:type="dxa" w:w="18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175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</w:tr>
      <w:tr>
        <w:trPr>
          <w:trHeight w:hRule="exact" w:val="230"/>
        </w:trPr>
        <w:tc>
          <w:tcPr>
            <w:tcW w:type="dxa" w:w="5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(537)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288 </w:t>
            </w:r>
          </w:p>
        </w:tc>
      </w:tr>
      <w:tr>
        <w:trPr>
          <w:trHeight w:hRule="exact" w:val="250"/>
        </w:trPr>
        <w:tc>
          <w:tcPr>
            <w:tcW w:type="dxa" w:w="5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Amounts reclassified to net income upon derecognition of a liability</w:t>
            </w:r>
          </w:p>
        </w:tc>
        <w:tc>
          <w:tcPr>
            <w:tcW w:type="dxa" w:w="18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  <w:tc>
          <w:tcPr>
            <w:tcW w:type="dxa" w:w="175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</w:tr>
      <w:tr>
        <w:trPr>
          <w:trHeight w:hRule="exact" w:val="220"/>
        </w:trPr>
        <w:tc>
          <w:tcPr>
            <w:tcW w:type="dxa" w:w="5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change in DVA on Fair Value Option Elected Liabilities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(538) 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290 </w:t>
            </w:r>
          </w:p>
        </w:tc>
      </w:tr>
    </w:tbl>
    <w:p>
      <w:pPr>
        <w:autoSpaceDN w:val="0"/>
        <w:autoSpaceDE w:val="0"/>
        <w:widowControl/>
        <w:spacing w:line="224" w:lineRule="exact" w:before="165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60     IBRD Condensed Quarterly Financial Statements: March 31, 2025 (Unaudited)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March 31, 2025, IBRD’s Condensed Balance Sheets included a DVA of $1,967 million cumulative gain ($673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cumulative gain—June 30, 2024) in Accumulated other comprehensive income, associated with the changes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IBRD’s own credit for financial liabilities measured under the fair value option.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J10: Unrealized mark-to-market gains or losses on investments-trading, and non-trading portfolios, net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</w:tblGrid>
      <w:tr>
        <w:trPr>
          <w:trHeight w:hRule="exact" w:val="220"/>
        </w:trPr>
        <w:tc>
          <w:tcPr>
            <w:tcW w:type="dxa" w:w="30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210"/>
            <w:gridSpan w:val="6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3170"/>
            <w:gridSpan w:val="7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14"/>
        </w:trPr>
        <w:tc>
          <w:tcPr>
            <w:tcW w:type="dxa" w:w="67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210"/>
            <w:gridSpan w:val="6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3170"/>
            <w:gridSpan w:val="7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</w:tr>
      <w:tr>
        <w:trPr>
          <w:trHeight w:hRule="exact" w:val="206"/>
        </w:trPr>
        <w:tc>
          <w:tcPr>
            <w:tcW w:type="dxa" w:w="30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210"/>
            <w:gridSpan w:val="6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  <w:tc>
          <w:tcPr>
            <w:tcW w:type="dxa" w:w="3170"/>
            <w:gridSpan w:val="7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</w:tr>
      <w:tr>
        <w:trPr>
          <w:trHeight w:hRule="exact" w:val="200"/>
        </w:trPr>
        <w:tc>
          <w:tcPr>
            <w:tcW w:type="dxa" w:w="67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21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(losses) </w:t>
            </w:r>
          </w:p>
        </w:tc>
        <w:tc>
          <w:tcPr>
            <w:tcW w:type="dxa" w:w="31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(losses) </w:t>
            </w:r>
          </w:p>
        </w:tc>
      </w:tr>
      <w:tr>
        <w:trPr>
          <w:trHeight w:hRule="exact" w:val="180"/>
        </w:trPr>
        <w:tc>
          <w:tcPr>
            <w:tcW w:type="dxa" w:w="67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excluding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9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11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2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excluding </w:t>
            </w:r>
          </w:p>
        </w:tc>
        <w:tc>
          <w:tcPr>
            <w:tcW w:type="dxa" w:w="10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</w:tr>
      <w:tr>
        <w:trPr>
          <w:trHeight w:hRule="exact" w:val="180"/>
        </w:trPr>
        <w:tc>
          <w:tcPr>
            <w:tcW w:type="dxa" w:w="67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28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3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12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24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</w:tr>
      <w:tr>
        <w:trPr>
          <w:trHeight w:hRule="exact" w:val="240"/>
        </w:trPr>
        <w:tc>
          <w:tcPr>
            <w:tcW w:type="dxa" w:w="67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9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9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2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2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10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9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2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2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0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</w:tr>
      <w:tr>
        <w:trPr>
          <w:trHeight w:hRule="exact" w:val="240"/>
        </w:trPr>
        <w:tc>
          <w:tcPr>
            <w:tcW w:type="dxa" w:w="3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Investments-Trading, net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496 </w:t>
            </w:r>
          </w:p>
        </w:tc>
        <w:tc>
          <w:tcPr>
            <w:tcW w:type="dxa" w:w="5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(520) $ </w:t>
            </w:r>
          </w:p>
        </w:tc>
        <w:tc>
          <w:tcPr>
            <w:tcW w:type="dxa" w:w="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(24) </w:t>
            </w:r>
          </w:p>
        </w:tc>
        <w:tc>
          <w:tcPr>
            <w:tcW w:type="dxa" w:w="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345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2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(412) $ </w:t>
            </w:r>
          </w:p>
        </w:tc>
        <w:tc>
          <w:tcPr>
            <w:tcW w:type="dxa" w:w="5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(67)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 trading portfolios,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derivatives—Note F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(465)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4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(463)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(929)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(927)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Other assets/liabilities management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derivatives, net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726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726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1,280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1,280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8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Borrowings, including derivatives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6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—Notes E and F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2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118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118 ᵇ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2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(119)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(119) ᵇ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Client operations and other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rHeight w:hRule="exact" w:val="216"/>
        </w:trPr>
        <w:tc>
          <w:tcPr>
            <w:tcW w:type="dxa" w:w="30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derivatives, net</w:t>
            </w:r>
          </w:p>
        </w:tc>
        <w:tc>
          <w:tcPr>
            <w:tcW w:type="dxa" w:w="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 </w:t>
            </w:r>
          </w:p>
        </w:tc>
        <w:tc>
          <w:tcPr>
            <w:tcW w:type="dxa" w:w="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4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</w:tr>
      <w:tr>
        <w:trPr>
          <w:trHeight w:hRule="exact" w:val="220"/>
        </w:trPr>
        <w:tc>
          <w:tcPr>
            <w:tcW w:type="dxa" w:w="3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396 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398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263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265 </w:t>
            </w:r>
          </w:p>
        </w:tc>
      </w:tr>
    </w:tbl>
    <w:p>
      <w:pPr>
        <w:autoSpaceDN w:val="0"/>
        <w:autoSpaceDE w:val="0"/>
        <w:widowControl/>
        <w:spacing w:line="218" w:lineRule="exact" w:before="438" w:after="20"/>
        <w:ind w:left="62" w:right="7488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J10.1: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10"/>
        </w:trPr>
        <w:tc>
          <w:tcPr>
            <w:tcW w:type="dxa" w:w="30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17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321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3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Nine Months Ended </w:t>
            </w:r>
          </w:p>
        </w:tc>
      </w:tr>
      <w:tr>
        <w:trPr>
          <w:trHeight w:hRule="exact" w:val="226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170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3210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</w:tr>
      <w:tr>
        <w:trPr>
          <w:trHeight w:hRule="exact" w:val="194"/>
        </w:trPr>
        <w:tc>
          <w:tcPr>
            <w:tcW w:type="dxa" w:w="30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17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  <w:tc>
          <w:tcPr>
            <w:tcW w:type="dxa" w:w="3210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15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</w:tr>
      <w:tr>
        <w:trPr>
          <w:trHeight w:hRule="exact" w:val="20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17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(losses) </w:t>
            </w:r>
          </w:p>
        </w:tc>
        <w:tc>
          <w:tcPr>
            <w:tcW w:type="dxa" w:w="321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4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(losses) </w:t>
            </w:r>
          </w:p>
        </w:tc>
      </w:tr>
      <w:tr>
        <w:trPr>
          <w:trHeight w:hRule="exact" w:val="20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7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excluding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2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excluding </w:t>
            </w:r>
          </w:p>
        </w:tc>
        <w:tc>
          <w:tcPr>
            <w:tcW w:type="dxa" w:w="9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</w:t>
            </w:r>
          </w:p>
        </w:tc>
      </w:tr>
      <w:tr>
        <w:trPr>
          <w:trHeight w:hRule="exact" w:val="18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29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8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</w:t>
            </w:r>
          </w:p>
        </w:tc>
        <w:tc>
          <w:tcPr>
            <w:tcW w:type="dxa" w:w="9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gains </w:t>
            </w:r>
          </w:p>
        </w:tc>
      </w:tr>
      <w:tr>
        <w:trPr>
          <w:trHeight w:hRule="exact" w:val="23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9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12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  <w:tc>
          <w:tcPr>
            <w:tcW w:type="dxa" w:w="10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9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</w:tr>
      <w:tr>
        <w:trPr>
          <w:trHeight w:hRule="exact" w:val="240"/>
        </w:trPr>
        <w:tc>
          <w:tcPr>
            <w:tcW w:type="dxa" w:w="3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Investments-Trading, net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(172) 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228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(95) $ </w:t>
            </w:r>
          </w:p>
        </w:tc>
        <w:tc>
          <w:tcPr>
            <w:tcW w:type="dxa" w:w="1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177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 trading portfolios,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derivatives—Note F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852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4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852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–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(715)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(715)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Other assets/liabilities management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derivatives, net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(568)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(568)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719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719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Borrowings, including derivatives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8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—Notes E and F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4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ᵇ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2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(148)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(146) ᵇ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Client operations and other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</w:tblGrid>
      <w:tr>
        <w:trPr>
          <w:trHeight w:hRule="exact" w:val="214"/>
        </w:trPr>
        <w:tc>
          <w:tcPr>
            <w:tcW w:type="dxa" w:w="30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derivatives, net</w:t>
            </w:r>
          </w:p>
        </w:tc>
        <w:tc>
          <w:tcPr>
            <w:tcW w:type="dxa" w:w="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(32) </w:t>
            </w:r>
          </w:p>
        </w:tc>
        <w:tc>
          <w:tcPr>
            <w:tcW w:type="dxa" w:w="3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(32)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</w:tr>
      <w:tr>
        <w:trPr>
          <w:trHeight w:hRule="exact" w:val="220"/>
        </w:trPr>
        <w:tc>
          <w:tcPr>
            <w:tcW w:type="dxa" w:w="30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241 </w:t>
            </w:r>
          </w:p>
        </w:tc>
        <w:tc>
          <w:tcPr>
            <w:tcW w:type="dxa" w:w="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242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(113) $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(111) </w:t>
            </w:r>
          </w:p>
        </w:tc>
      </w:tr>
    </w:tbl>
    <w:p>
      <w:pPr>
        <w:autoSpaceDN w:val="0"/>
        <w:autoSpaceDE w:val="0"/>
        <w:widowControl/>
        <w:spacing w:line="180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Adjusted to exclude amounts reclassified to realized gains (losses).</w:t>
      </w:r>
    </w:p>
    <w:p>
      <w:pPr>
        <w:autoSpaceDN w:val="0"/>
        <w:autoSpaceDE w:val="0"/>
        <w:widowControl/>
        <w:spacing w:line="192" w:lineRule="exact" w:before="56" w:after="0"/>
        <w:ind w:left="242" w:right="0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Includes $1,526 million of unrealized mark-to-market gains and $5,430 million of unrealized mark-to-market gains related to </w:t>
      </w:r>
      <w:r>
        <w:rPr>
          <w:rFonts w:ascii="Arial" w:hAnsi="Arial" w:eastAsia="Arial"/>
          <w:b w:val="0"/>
          <w:i/>
          <w:color w:val="000000"/>
          <w:sz w:val="16"/>
        </w:rPr>
        <w:t>derivatives associated with borrowings for three and nine months ended March 31, 2025, respectively (unrealized mark-to-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market losses of $1,946 million and unrealized mark-to-market gains of $4,644 million—three and nine months ended March 31, </w:t>
      </w:r>
      <w:r>
        <w:rPr>
          <w:rFonts w:ascii="Arial" w:hAnsi="Arial" w:eastAsia="Arial"/>
          <w:b w:val="0"/>
          <w:i/>
          <w:color w:val="000000"/>
          <w:sz w:val="16"/>
        </w:rPr>
        <w:t>2024).</w:t>
      </w:r>
    </w:p>
    <w:p>
      <w:pPr>
        <w:autoSpaceDN w:val="0"/>
        <w:autoSpaceDE w:val="0"/>
        <w:widowControl/>
        <w:spacing w:line="246" w:lineRule="exact" w:before="33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K—PENSION AND OTHER POSTRETIREMENT BENEFITS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IBRD, IFC and MIGA participate in the defined benefit Staff Retirement Plan (SRP), a Retired Staff Benefits Plan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(RSBP) and the PEBP (collectively “the Pension Plans”) that cover substantially all of their staff members.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costs, assets and liabilities associated with the Pension Plans are allocated between IBRD, IFC and MIGA 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upon their employees’ respective participation in the Pension Plans. Costs allocated to IBRD are then shared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between IBRD and IDA based on an agreed cost-sharing methodology.</w:t>
      </w:r>
    </w:p>
    <w:p>
      <w:pPr>
        <w:autoSpaceDN w:val="0"/>
        <w:autoSpaceDE w:val="0"/>
        <w:widowControl/>
        <w:spacing w:line="224" w:lineRule="exact" w:before="550" w:after="0"/>
        <w:ind w:left="0" w:right="7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61</w:t>
      </w:r>
    </w:p>
    <w:p>
      <w:pPr>
        <w:sectPr>
          <w:pgSz w:w="12240" w:h="15840"/>
          <w:pgMar w:top="700" w:right="1370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summarize the benefit costs associated with the Pension Plans for IBRD and IDA: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K1: Pension Plans benefit costs</w:t>
      </w:r>
    </w:p>
    <w:p>
      <w:pPr>
        <w:autoSpaceDN w:val="0"/>
        <w:autoSpaceDE w:val="0"/>
        <w:widowControl/>
        <w:spacing w:line="156" w:lineRule="exact" w:before="116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4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40"/>
        </w:trPr>
        <w:tc>
          <w:tcPr>
            <w:tcW w:type="dxa" w:w="27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480"/>
        </w:trPr>
        <w:tc>
          <w:tcPr>
            <w:tcW w:type="dxa" w:w="2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cost</w:t>
            </w:r>
          </w:p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106 $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153 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318 $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459 </w:t>
            </w:r>
          </w:p>
        </w:tc>
      </w:tr>
      <w:tr>
        <w:trPr>
          <w:trHeight w:hRule="exact" w:val="24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cost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288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360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864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135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1,081 </w:t>
            </w:r>
          </w:p>
        </w:tc>
      </w:tr>
      <w:tr>
        <w:trPr>
          <w:trHeight w:hRule="exact" w:val="24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Expected return on plan assets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(374)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(440)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(1,120)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(199)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(1,319) </w:t>
            </w:r>
          </w:p>
        </w:tc>
      </w:tr>
      <w:tr>
        <w:trPr>
          <w:trHeight w:hRule="exact" w:val="208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Amortization of unrecognized prior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6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</w:tr>
      <w:tr>
        <w:trPr>
          <w:trHeight w:hRule="exact" w:val="21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service costs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Amortization of unrecognized net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(16)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(16)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(48)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(48) </w:t>
            </w:r>
          </w:p>
        </w:tc>
      </w:tr>
      <w:tr>
        <w:trPr>
          <w:trHeight w:hRule="exact" w:val="226"/>
        </w:trPr>
        <w:tc>
          <w:tcPr>
            <w:tcW w:type="dxa" w:w="2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actuarial (gains) losses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31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periodic pension cost</w:t>
            </w:r>
          </w:p>
        </w:tc>
        <w:tc>
          <w:tcPr>
            <w:tcW w:type="dxa" w:w="2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 </w:t>
            </w:r>
          </w:p>
        </w:tc>
        <w:tc>
          <w:tcPr>
            <w:tcW w:type="dxa" w:w="2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(28)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142 $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179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3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28"/>
        </w:trPr>
        <w:tc>
          <w:tcPr>
            <w:tcW w:type="dxa" w:w="20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IBRD’s share </w:t>
            </w:r>
          </w:p>
        </w:tc>
        <w:tc>
          <w:tcPr>
            <w:tcW w:type="dxa" w:w="10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</w:t>
            </w:r>
          </w:p>
        </w:tc>
        <w:tc>
          <w:tcPr>
            <w:tcW w:type="dxa" w:w="4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30 $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66 $ </w:t>
            </w:r>
          </w:p>
        </w:tc>
        <w:tc>
          <w:tcPr>
            <w:tcW w:type="dxa" w:w="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 </w:t>
            </w:r>
          </w:p>
        </w:tc>
      </w:tr>
      <w:tr>
        <w:trPr>
          <w:trHeight w:hRule="exact" w:val="490"/>
        </w:trPr>
        <w:tc>
          <w:tcPr>
            <w:tcW w:type="dxa" w:w="20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IDA’s share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(7)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 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 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(16)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 </w:t>
            </w:r>
          </w:p>
        </w:tc>
        <w:tc>
          <w:tcPr>
            <w:tcW w:type="dxa" w:w="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95 </w:t>
            </w:r>
          </w:p>
        </w:tc>
      </w:tr>
    </w:tbl>
    <w:p>
      <w:pPr>
        <w:autoSpaceDN w:val="0"/>
        <w:autoSpaceDE w:val="0"/>
        <w:widowControl/>
        <w:spacing w:line="218" w:lineRule="exact" w:before="234" w:after="20"/>
        <w:ind w:left="62" w:right="7488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K1.1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30"/>
        </w:trPr>
        <w:tc>
          <w:tcPr>
            <w:tcW w:type="dxa" w:w="27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470"/>
        </w:trPr>
        <w:tc>
          <w:tcPr>
            <w:tcW w:type="dxa" w:w="2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cost</w:t>
            </w:r>
          </w:p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150 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301 $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447 </w:t>
            </w:r>
          </w:p>
        </w:tc>
      </w:tr>
      <w:tr>
        <w:trPr>
          <w:trHeight w:hRule="exact" w:val="24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cost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253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318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759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121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954 </w:t>
            </w:r>
          </w:p>
        </w:tc>
      </w:tr>
      <w:tr>
        <w:trPr>
          <w:trHeight w:hRule="exact" w:val="24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Expected return on plan assets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(345)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(61)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(406)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(1,033)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(182)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(1,215) </w:t>
            </w:r>
          </w:p>
        </w:tc>
      </w:tr>
      <w:tr>
        <w:trPr>
          <w:trHeight w:hRule="exact" w:val="218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Amortization of unrecognized prior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6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</w:tr>
      <w:tr>
        <w:trPr>
          <w:trHeight w:hRule="exact" w:val="2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service costs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  <w:tc>
          <w:tcPr>
            <w:tcW w:type="dxa" w:w="858"/>
            <w:vMerge/>
            <w:tcBorders/>
          </w:tcPr>
          <w:p/>
        </w:tc>
      </w:tr>
      <w:tr>
        <w:trPr>
          <w:trHeight w:hRule="exact" w:val="214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Amortization of unrecognized net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(17)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1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(51) </w:t>
            </w:r>
          </w:p>
        </w:tc>
        <w:tc>
          <w:tcPr>
            <w:tcW w:type="dxa" w:w="8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2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(51) </w:t>
            </w:r>
          </w:p>
        </w:tc>
      </w:tr>
      <w:tr>
        <w:trPr>
          <w:trHeight w:hRule="exact" w:val="226"/>
        </w:trPr>
        <w:tc>
          <w:tcPr>
            <w:tcW w:type="dxa" w:w="2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actuarial (gains) losses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31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periodic pension cost</w:t>
            </w:r>
          </w:p>
        </w:tc>
        <w:tc>
          <w:tcPr>
            <w:tcW w:type="dxa" w:w="2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(9)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 </w:t>
            </w:r>
          </w:p>
        </w:tc>
        <w:tc>
          <w:tcPr>
            <w:tcW w:type="dxa" w:w="2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(26)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138 $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141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3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38"/>
        </w:trPr>
        <w:tc>
          <w:tcPr>
            <w:tcW w:type="dxa" w:w="2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IBRD’s share</w:t>
            </w:r>
          </w:p>
        </w:tc>
        <w:tc>
          <w:tcPr>
            <w:tcW w:type="dxa" w:w="10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(4)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4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13 $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(12)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64 $ </w:t>
            </w:r>
          </w:p>
        </w:tc>
        <w:tc>
          <w:tcPr>
            <w:tcW w:type="dxa" w:w="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</w:t>
            </w:r>
          </w:p>
        </w:tc>
      </w:tr>
      <w:tr>
        <w:trPr>
          <w:trHeight w:hRule="exact" w:val="480"/>
        </w:trPr>
        <w:tc>
          <w:tcPr>
            <w:tcW w:type="dxa" w:w="2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IDA’s share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 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 </w:t>
            </w:r>
          </w:p>
        </w:tc>
        <w:tc>
          <w:tcPr>
            <w:tcW w:type="dxa" w:w="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(14)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 </w:t>
            </w:r>
          </w:p>
        </w:tc>
        <w:tc>
          <w:tcPr>
            <w:tcW w:type="dxa" w:w="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Included in amounts reclassified into net income in Note I—Accumulated Other Comprehensive Income.</w:t>
      </w:r>
    </w:p>
    <w:p>
      <w:pPr>
        <w:autoSpaceDN w:val="0"/>
        <w:autoSpaceDE w:val="0"/>
        <w:widowControl/>
        <w:spacing w:line="240" w:lineRule="exact" w:before="19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components of net periodic pension cost, other than the service cost, are included in the Non-interest expenses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—Other, net in the Condensed Statements of Income. The service cost component is included in the Non-interest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expenses—Administrative in the Condensed Statements of Income.</w:t>
      </w:r>
    </w:p>
    <w:p>
      <w:pPr>
        <w:autoSpaceDN w:val="0"/>
        <w:autoSpaceDE w:val="0"/>
        <w:widowControl/>
        <w:spacing w:line="224" w:lineRule="exact" w:before="3294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62     IBRD Condensed Quarterly Financial Statements: March 31, 2025 (Unaudited)</w:t>
      </w:r>
    </w:p>
    <w:p>
      <w:pPr>
        <w:sectPr>
          <w:pgSz w:w="12240" w:h="15840"/>
          <w:pgMar w:top="700" w:right="1372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the amounts of IBRD’s pension service cost: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K2: Pension service cost 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40"/>
        </w:trPr>
        <w:tc>
          <w:tcPr>
            <w:tcW w:type="dxa" w:w="27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2025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556"/>
        </w:trPr>
        <w:tc>
          <w:tcPr>
            <w:tcW w:type="dxa" w:w="2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cost</w:t>
            </w:r>
          </w:p>
        </w:tc>
        <w:tc>
          <w:tcPr>
            <w:tcW w:type="dxa" w:w="2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106 $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153 </w:t>
            </w:r>
          </w:p>
        </w:tc>
        <w:tc>
          <w:tcPr>
            <w:tcW w:type="dxa" w:w="2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318 $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459 </w:t>
            </w:r>
          </w:p>
        </w:tc>
      </w:tr>
    </w:tbl>
    <w:p>
      <w:pPr>
        <w:autoSpaceDN w:val="0"/>
        <w:autoSpaceDE w:val="0"/>
        <w:widowControl/>
        <w:spacing w:line="180" w:lineRule="exact" w:before="20" w:after="3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24"/>
        </w:trPr>
        <w:tc>
          <w:tcPr>
            <w:tcW w:type="dxa" w:w="2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IBRD’s share</w:t>
            </w:r>
          </w:p>
        </w:tc>
        <w:tc>
          <w:tcPr>
            <w:tcW w:type="dxa" w:w="10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 </w:t>
            </w:r>
          </w:p>
        </w:tc>
        <w:tc>
          <w:tcPr>
            <w:tcW w:type="dxa" w:w="3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147 $ </w:t>
            </w:r>
          </w:p>
        </w:tc>
        <w:tc>
          <w:tcPr>
            <w:tcW w:type="dxa" w:w="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39 $ </w:t>
            </w:r>
          </w:p>
        </w:tc>
        <w:tc>
          <w:tcPr>
            <w:tcW w:type="dxa" w:w="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27 $ </w:t>
            </w:r>
          </w:p>
        </w:tc>
        <w:tc>
          <w:tcPr>
            <w:tcW w:type="dxa" w:w="5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</w:tr>
      <w:tr>
        <w:trPr>
          <w:trHeight w:hRule="exact" w:val="494"/>
        </w:trPr>
        <w:tc>
          <w:tcPr>
            <w:tcW w:type="dxa" w:w="2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IDA’s share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 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 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246 </w:t>
            </w:r>
          </w:p>
        </w:tc>
      </w:tr>
    </w:tbl>
    <w:p>
      <w:pPr>
        <w:autoSpaceDN w:val="0"/>
        <w:autoSpaceDE w:val="0"/>
        <w:widowControl/>
        <w:spacing w:line="222" w:lineRule="exact" w:before="254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K2.1:</w:t>
      </w:r>
    </w:p>
    <w:p>
      <w:pPr>
        <w:autoSpaceDN w:val="0"/>
        <w:autoSpaceDE w:val="0"/>
        <w:widowControl/>
        <w:spacing w:line="178" w:lineRule="exact" w:before="62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40"/>
        </w:trPr>
        <w:tc>
          <w:tcPr>
            <w:tcW w:type="dxa" w:w="27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Three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8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Nine Months Ended</w:t>
            </w:r>
          </w:p>
        </w:tc>
        <w:tc>
          <w:tcPr>
            <w:tcW w:type="dxa" w:w="6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4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March 31, 2024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2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SRP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RSBP</w:t>
            </w:r>
          </w:p>
        </w:tc>
        <w:tc>
          <w:tcPr>
            <w:tcW w:type="dxa" w:w="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PEBP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</w:tr>
      <w:tr>
        <w:trPr>
          <w:trHeight w:hRule="exact" w:val="556"/>
        </w:trPr>
        <w:tc>
          <w:tcPr>
            <w:tcW w:type="dxa" w:w="2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cost</w:t>
            </w:r>
          </w:p>
        </w:tc>
        <w:tc>
          <w:tcPr>
            <w:tcW w:type="dxa" w:w="2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150 </w:t>
            </w:r>
          </w:p>
        </w:tc>
        <w:tc>
          <w:tcPr>
            <w:tcW w:type="dxa" w:w="2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301 $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84 $ </w:t>
            </w:r>
          </w:p>
        </w:tc>
        <w:tc>
          <w:tcPr>
            <w:tcW w:type="dxa" w:w="8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62 $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447 </w:t>
            </w:r>
          </w:p>
        </w:tc>
      </w:tr>
    </w:tbl>
    <w:p>
      <w:pPr>
        <w:autoSpaceDN w:val="0"/>
        <w:autoSpaceDE w:val="0"/>
        <w:widowControl/>
        <w:spacing w:line="180" w:lineRule="exact" w:before="20" w:after="3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224"/>
        </w:trPr>
        <w:tc>
          <w:tcPr>
            <w:tcW w:type="dxa" w:w="2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IBRD’s share</w:t>
            </w:r>
          </w:p>
        </w:tc>
        <w:tc>
          <w:tcPr>
            <w:tcW w:type="dxa" w:w="10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 </w:t>
            </w:r>
          </w:p>
        </w:tc>
        <w:tc>
          <w:tcPr>
            <w:tcW w:type="dxa" w:w="3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139 $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39 $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29 $ </w:t>
            </w:r>
          </w:p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207 </w:t>
            </w:r>
          </w:p>
        </w:tc>
      </w:tr>
      <w:tr>
        <w:trPr>
          <w:trHeight w:hRule="exact" w:val="570"/>
        </w:trPr>
        <w:tc>
          <w:tcPr>
            <w:tcW w:type="dxa" w:w="2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IDA’s share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 </w:t>
            </w:r>
          </w:p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162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 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  <w:tc>
          <w:tcPr>
            <w:tcW w:type="dxa" w:w="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240 </w:t>
            </w:r>
          </w:p>
        </w:tc>
      </w:tr>
    </w:tbl>
    <w:p>
      <w:pPr>
        <w:autoSpaceDN w:val="0"/>
        <w:autoSpaceDE w:val="0"/>
        <w:widowControl/>
        <w:spacing w:line="246" w:lineRule="exact" w:before="30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>NOTE L—CONTINGENCIES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From time to time, IBRD may be named as a defendant or co-defendant in legal actions on different grounds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various jurisdictions. The outcome of any existing legal action, in which IBRD has been named as a defendant or co-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defendant, as of and for the nine months ended March 31, 2025, is not expected to have a material adverse effect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IBRD's financial position, results of operations or cash flows.</w:t>
      </w:r>
    </w:p>
    <w:p>
      <w:pPr>
        <w:autoSpaceDN w:val="0"/>
        <w:autoSpaceDE w:val="0"/>
        <w:widowControl/>
        <w:spacing w:line="224" w:lineRule="exact" w:before="5700" w:after="0"/>
        <w:ind w:left="0" w:right="6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63</w:t>
      </w:r>
    </w:p>
    <w:p>
      <w:pPr>
        <w:sectPr>
          <w:pgSz w:w="12240" w:h="15840"/>
          <w:pgMar w:top="700" w:right="1372" w:bottom="36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INDEPENDENT AUDITOR'S REVIEW REPORT</w:t>
      </w:r>
    </w:p>
    <w:p>
      <w:pPr>
        <w:autoSpaceDN w:val="0"/>
        <w:autoSpaceDE w:val="0"/>
        <w:widowControl/>
        <w:spacing w:line="240" w:lineRule="auto" w:before="45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74841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4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4" w:lineRule="exact" w:before="167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64     IBRD Condensed Quarterly Financial Statements: March 31, 2025 (Unaudited)</w:t>
      </w:r>
    </w:p>
    <w:p>
      <w:pPr>
        <w:sectPr>
          <w:pgSz w:w="12240" w:h="15840"/>
          <w:pgMar w:top="336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837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4" w:lineRule="exact" w:before="9702" w:after="0"/>
        <w:ind w:left="0" w:right="2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20"/>
        </w:rPr>
        <w:t>IBRD FINANCIAL STATEMENTS: March 31, 2025     65</w:t>
      </w:r>
    </w:p>
    <w:sectPr w:rsidR="00FC693F" w:rsidRPr="0006063C" w:rsidSect="00034616">
      <w:pgSz w:w="12240" w:h="15840"/>
      <w:pgMar w:top="720" w:right="1420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