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34"/>
        <w:ind w:left="0" w:right="0"/>
      </w:pPr>
    </w:p>
    <w:p>
      <w:pPr>
        <w:autoSpaceDN w:val="0"/>
        <w:autoSpaceDE w:val="0"/>
        <w:widowControl/>
        <w:spacing w:line="530" w:lineRule="exact" w:before="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>International Development Association</w:t>
      </w:r>
    </w:p>
    <w:p>
      <w:pPr>
        <w:autoSpaceDN w:val="0"/>
        <w:autoSpaceDE w:val="0"/>
        <w:widowControl/>
        <w:spacing w:line="240" w:lineRule="auto" w:before="74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095500" cy="21805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21805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696" w:lineRule="exact" w:before="442" w:after="0"/>
        <w:ind w:left="432" w:right="432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Management’s Discussion &amp; Analysis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and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Condensed Quarterly Financial Statements </w:t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 xml:space="preserve">September 30, 2024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48"/>
        </w:rPr>
        <w:t>(Unaudited)</w:t>
      </w:r>
    </w:p>
    <w:p>
      <w:pPr>
        <w:sectPr>
          <w:pgSz w:w="12240" w:h="15840"/>
          <w:pgMar w:top="852" w:right="1440" w:bottom="1440" w:left="1440" w:header="720" w:footer="720" w:gutter="0"/>
          <w:cols/>
          <w:docGrid w:linePitch="360"/>
        </w:sectPr>
      </w:pPr>
    </w:p>
    <w:p>
      <w:pPr>
        <w:sectPr>
          <w:pgSz w:w="12240" w:h="15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388"/>
      </w:tblGrid>
      <w:tr>
        <w:trPr>
          <w:trHeight w:hRule="exact" w:val="254"/>
        </w:trPr>
        <w:tc>
          <w:tcPr>
            <w:tcW w:type="dxa" w:w="936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.000000000000057" w:type="dxa"/>
            </w:tblPr>
            <w:tblGrid>
              <w:gridCol w:w="9368"/>
            </w:tblGrid>
            <w:tr>
              <w:trPr>
                <w:trHeight w:hRule="exact" w:val="234"/>
              </w:trPr>
              <w:tc>
                <w:tcPr>
                  <w:tcW w:type="dxa" w:w="3960"/>
                  <w:tcBorders/>
                  <w:shd w:fill="7f7f7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2" w:lineRule="exact" w:before="22" w:after="0"/>
                    <w:ind w:left="52" w:right="0" w:firstLine="0"/>
                    <w:jc w:val="left"/>
                  </w:pPr>
                  <w:r>
                    <w:rPr>
                      <w:rFonts w:ascii="Arial" w:hAnsi="Arial" w:eastAsia="Arial"/>
                      <w:b/>
                      <w:i w:val="0"/>
                      <w:color w:val="FFFFFF"/>
                      <w:sz w:val="18"/>
                    </w:rPr>
                    <w:t>Management’s Discussion and Analysis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</w:tbl>
    <w:p>
      <w:pPr>
        <w:autoSpaceDN w:val="0"/>
        <w:autoSpaceDE w:val="0"/>
        <w:widowControl/>
        <w:spacing w:line="314" w:lineRule="exact" w:before="218" w:after="15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Contents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.000000000000057" w:type="dxa"/>
      </w:tblPr>
      <w:tblGrid>
        <w:gridCol w:w="3129"/>
        <w:gridCol w:w="3129"/>
        <w:gridCol w:w="3129"/>
      </w:tblGrid>
      <w:tr>
        <w:trPr>
          <w:trHeight w:hRule="exact" w:val="294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I: Executive Summary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Summary of Financial Results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4</w:t>
            </w:r>
          </w:p>
        </w:tc>
      </w:tr>
      <w:tr>
        <w:trPr>
          <w:trHeight w:hRule="exact" w:val="300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II: Overview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Replenishment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290"/>
        </w:trPr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17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III: IDA's Financial Resources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Twentieth Replenishment of Resources (IDA20)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286"/>
        </w:trPr>
        <w:tc>
          <w:tcPr>
            <w:tcW w:type="dxa" w:w="3129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Crisis Facility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282"/>
        </w:trPr>
        <w:tc>
          <w:tcPr>
            <w:tcW w:type="dxa" w:w="3129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Financial Business Model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6</w:t>
            </w:r>
          </w:p>
        </w:tc>
      </w:tr>
      <w:tr>
        <w:trPr>
          <w:trHeight w:hRule="exact" w:val="286"/>
        </w:trPr>
        <w:tc>
          <w:tcPr>
            <w:tcW w:type="dxa" w:w="3129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Basis of Reporting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7</w:t>
            </w:r>
          </w:p>
        </w:tc>
      </w:tr>
      <w:tr>
        <w:trPr>
          <w:trHeight w:hRule="exact" w:val="276"/>
        </w:trPr>
        <w:tc>
          <w:tcPr>
            <w:tcW w:type="dxa" w:w="3129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IDA20 Funding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296"/>
        </w:trPr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2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IV: Financial Results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Allocation of IDA20 Resources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4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8</w:t>
            </w:r>
          </w:p>
        </w:tc>
      </w:tr>
      <w:tr>
        <w:trPr>
          <w:trHeight w:hRule="exact" w:val="264"/>
        </w:trPr>
        <w:tc>
          <w:tcPr>
            <w:tcW w:type="dxa" w:w="3129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Financial Results and Portfolio Performance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10</w:t>
            </w:r>
          </w:p>
        </w:tc>
      </w:tr>
      <w:tr>
        <w:trPr>
          <w:trHeight w:hRule="exact" w:val="300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V: Risk Management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Risk Governance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19</w:t>
            </w:r>
          </w:p>
        </w:tc>
      </w:tr>
      <w:tr>
        <w:trPr>
          <w:trHeight w:hRule="exact" w:val="288"/>
        </w:trPr>
        <w:tc>
          <w:tcPr>
            <w:tcW w:type="dxa" w:w="3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Section VI: Governance</w:t>
            </w:r>
          </w:p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Management of IDA's Risks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19</w:t>
            </w:r>
          </w:p>
        </w:tc>
      </w:tr>
      <w:tr>
        <w:trPr>
          <w:trHeight w:hRule="exact" w:val="316"/>
        </w:trPr>
        <w:tc>
          <w:tcPr>
            <w:tcW w:type="dxa" w:w="3129"/>
            <w:vMerge/>
            <w:tcBorders/>
          </w:tcPr>
          <w:p/>
        </w:tc>
        <w:tc>
          <w:tcPr>
            <w:tcW w:type="dxa" w:w="4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Senior Management Changes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314" w:lineRule="exact" w:before="154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Tables</w:t>
      </w:r>
    </w:p>
    <w:p>
      <w:pPr>
        <w:autoSpaceDN w:val="0"/>
        <w:tabs>
          <w:tab w:pos="9200" w:val="left"/>
        </w:tabs>
        <w:autoSpaceDE w:val="0"/>
        <w:widowControl/>
        <w:spacing w:line="222" w:lineRule="exact" w:before="210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1: Selected Financial Data </w:t>
      </w:r>
      <w:r>
        <w:rPr>
          <w:rFonts w:ascii="ArialMT" w:hAnsi="ArialMT" w:eastAsia="ArialMT"/>
          <w:b w:val="0"/>
          <w:i w:val="0"/>
          <w:color w:val="000000"/>
          <w:sz w:val="20"/>
        </w:rPr>
        <w:t>2</w:t>
      </w:r>
    </w:p>
    <w:p>
      <w:pPr>
        <w:autoSpaceDN w:val="0"/>
        <w:tabs>
          <w:tab w:pos="9200" w:val="left"/>
        </w:tabs>
        <w:autoSpaceDE w:val="0"/>
        <w:widowControl/>
        <w:spacing w:line="224" w:lineRule="exact" w:before="6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2: Cumulative Net Commitments under IDA20 </w:t>
      </w:r>
      <w:r>
        <w:rPr>
          <w:rFonts w:ascii="ArialMT" w:hAnsi="ArialMT" w:eastAsia="ArialMT"/>
          <w:b w:val="0"/>
          <w:i w:val="0"/>
          <w:color w:val="000000"/>
          <w:sz w:val="20"/>
        </w:rPr>
        <w:t>9</w:t>
      </w:r>
    </w:p>
    <w:p>
      <w:pPr>
        <w:autoSpaceDN w:val="0"/>
        <w:tabs>
          <w:tab w:pos="9104" w:val="left"/>
        </w:tabs>
        <w:autoSpaceDE w:val="0"/>
        <w:widowControl/>
        <w:spacing w:line="238" w:lineRule="exact" w:before="46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3: Condensed Statements of Income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11</w:t>
      </w:r>
    </w:p>
    <w:p>
      <w:pPr>
        <w:autoSpaceDN w:val="0"/>
        <w:tabs>
          <w:tab w:pos="9104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4: Condensed Balance Sheets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11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5: Changes in Equity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12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6: Net Commitments of Loans and Guarantees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7: Net Commitments of Grants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8: Gross Disbursements of Loans and Grants by Region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14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9: Revenue and Loan Balances by Product Category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14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10: Net Non-Interest Expense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17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11: Other Revenue (Expenses),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17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12: Unrealized Mark-to-Market (losses) gains on non-trading portfolios, net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18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13: Deployable Strategic Capital Ratio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20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Table 14: Commercial Credit Exposure, Net of Collateral Held, by Counterparty Rating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22</w:t>
      </w:r>
    </w:p>
    <w:p>
      <w:pPr>
        <w:autoSpaceDN w:val="0"/>
        <w:autoSpaceDE w:val="0"/>
        <w:widowControl/>
        <w:spacing w:line="314" w:lineRule="exact" w:before="20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Figures</w:t>
      </w:r>
    </w:p>
    <w:p>
      <w:pPr>
        <w:autoSpaceDN w:val="0"/>
        <w:tabs>
          <w:tab w:pos="9200" w:val="left"/>
        </w:tabs>
        <w:autoSpaceDE w:val="0"/>
        <w:widowControl/>
        <w:spacing w:line="238" w:lineRule="exact" w:before="194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1: IDA Windows </w:t>
      </w:r>
      <w:r>
        <w:rPr>
          <w:rFonts w:ascii="ArialMT" w:hAnsi="ArialMT" w:eastAsia="ArialMT"/>
          <w:b w:val="0"/>
          <w:i w:val="0"/>
          <w:color w:val="000000"/>
          <w:sz w:val="20"/>
        </w:rPr>
        <w:t>8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2: Net Loans Outstanding Activity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3: Net Loans Outstanding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13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4: Net Investment Portfolio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15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5: Investment interest revenue, net of derivatives - YTD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15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6: Borrowing Portfolio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16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7: Borrowing expenses, net - YTD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16</w:t>
      </w:r>
    </w:p>
    <w:p>
      <w:pPr>
        <w:autoSpaceDN w:val="0"/>
        <w:tabs>
          <w:tab w:pos="9088" w:val="left"/>
        </w:tabs>
        <w:autoSpaceDE w:val="0"/>
        <w:widowControl/>
        <w:spacing w:line="238" w:lineRule="exact" w:before="32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Figure 8: Country Exposures as of September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21</w:t>
      </w:r>
    </w:p>
    <w:p>
      <w:pPr>
        <w:autoSpaceDN w:val="0"/>
        <w:tabs>
          <w:tab w:pos="9200" w:val="left"/>
        </w:tabs>
        <w:autoSpaceDE w:val="0"/>
        <w:widowControl/>
        <w:spacing w:line="224" w:lineRule="exact" w:before="2564" w:after="0"/>
        <w:ind w:left="20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September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1</w:t>
      </w:r>
    </w:p>
    <w:p>
      <w:pPr>
        <w:sectPr>
          <w:pgSz w:w="12240" w:h="15840"/>
          <w:pgMar w:top="316" w:right="1416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314" w:lineRule="exact" w:before="31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I: Executive Summary</w:t>
      </w:r>
    </w:p>
    <w:p>
      <w:pPr>
        <w:autoSpaceDN w:val="0"/>
        <w:autoSpaceDE w:val="0"/>
        <w:widowControl/>
        <w:spacing w:line="240" w:lineRule="exact" w:before="20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Management’s Discussion &amp; Analysis (MD&amp;A) reflects the results of the International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Association’s (IDA) financial performance for the three months ended September 30, 2024 (FY25 YTD).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document should be read in conjunction with IDA’s financial statements and MD&amp;A issued for the fiscal year 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June 30, 2024 (FY24). IDA undertakes no obligation to update any forward-looking statements. Certain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reclassifications of prior years’ information have been made to conform with the current year’s presentation.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Table 1: Selected Financial Data</w:t>
      </w:r>
    </w:p>
    <w:p>
      <w:pPr>
        <w:autoSpaceDN w:val="0"/>
        <w:autoSpaceDE w:val="0"/>
        <w:widowControl/>
        <w:spacing w:line="178" w:lineRule="exact" w:before="154" w:after="13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ratios which are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86.0" w:type="dxa"/>
      </w:tblPr>
      <w:tblGrid>
        <w:gridCol w:w="3147"/>
        <w:gridCol w:w="3147"/>
        <w:gridCol w:w="3147"/>
      </w:tblGrid>
      <w:tr>
        <w:trPr>
          <w:trHeight w:hRule="exact" w:val="464"/>
        </w:trPr>
        <w:tc>
          <w:tcPr>
            <w:tcW w:type="dxa" w:w="2244"/>
            <w:gridSpan w:val="2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 xml:space="preserve">As of and for the three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months ended September 30,</w:t>
            </w:r>
          </w:p>
        </w:tc>
        <w:tc>
          <w:tcPr>
            <w:tcW w:type="dxa" w:w="1740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2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 xml:space="preserve">As of and for the fiscal </w:t>
            </w: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year ended June 30,</w:t>
            </w:r>
          </w:p>
        </w:tc>
      </w:tr>
      <w:tr>
        <w:trPr>
          <w:trHeight w:hRule="exact" w:val="240"/>
        </w:trPr>
        <w:tc>
          <w:tcPr>
            <w:tcW w:type="dxa" w:w="1124"/>
            <w:tcBorders>
              <w:top w:sz="4.0" w:val="single" w:color="#7F7F7F"/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1120"/>
            <w:tcBorders>
              <w:top w:sz="4.0" w:val="single" w:color="#7F7F7F"/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2023</w:t>
            </w:r>
          </w:p>
        </w:tc>
        <w:tc>
          <w:tcPr>
            <w:tcW w:type="dxa" w:w="1740"/>
            <w:tcBorders>
              <w:top w:sz="4.0" w:val="single" w:color="#7F7F7F"/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Lending Highlights (Section IV)</w:t>
      </w:r>
    </w:p>
    <w:p>
      <w:pPr>
        <w:autoSpaceDN w:val="0"/>
        <w:autoSpaceDE w:val="0"/>
        <w:widowControl/>
        <w:spacing w:line="180" w:lineRule="exact" w:before="60" w:after="2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Loans, Grants and Guarantees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06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commitments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2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1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5,905 </w:t>
            </w:r>
          </w:p>
        </w:tc>
        <w:tc>
          <w:tcPr>
            <w:tcW w:type="dxa" w:w="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5,722 </w:t>
            </w:r>
          </w:p>
        </w:tc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31,195 </w:t>
            </w:r>
          </w:p>
        </w:tc>
      </w:tr>
      <w:tr>
        <w:trPr>
          <w:trHeight w:hRule="exact" w:val="240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Gross disbursements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5,369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3,644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28,247 </w:t>
            </w:r>
          </w:p>
        </w:tc>
      </w:tr>
      <w:tr>
        <w:trPr>
          <w:trHeight w:hRule="exact" w:val="318"/>
        </w:trPr>
        <w:tc>
          <w:tcPr>
            <w:tcW w:type="dxa" w:w="34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disbursements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3,421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1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1,851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20,062 </w:t>
            </w:r>
          </w:p>
        </w:tc>
      </w:tr>
    </w:tbl>
    <w:p>
      <w:pPr>
        <w:autoSpaceDN w:val="0"/>
        <w:autoSpaceDE w:val="0"/>
        <w:widowControl/>
        <w:spacing w:line="180" w:lineRule="exact" w:before="23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Balance Sheet (Section IV)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96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assets</w:t>
            </w:r>
          </w:p>
        </w:tc>
        <w:tc>
          <w:tcPr>
            <w:tcW w:type="dxa" w:w="1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254,638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226,593 </w:t>
            </w:r>
          </w:p>
        </w:tc>
        <w:tc>
          <w:tcPr>
            <w:tcW w:type="dxa" w:w="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241,350 </w:t>
            </w:r>
          </w:p>
        </w:tc>
      </w:tr>
      <w:tr>
        <w:trPr>
          <w:trHeight w:hRule="exact" w:val="240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Net investment portfolio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38,347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30,706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33,581 </w:t>
            </w:r>
          </w:p>
        </w:tc>
      </w:tr>
      <w:tr>
        <w:trPr>
          <w:trHeight w:hRule="exact" w:val="240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205,367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186,144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198,457 </w:t>
            </w:r>
          </w:p>
        </w:tc>
      </w:tr>
      <w:tr>
        <w:trPr>
          <w:trHeight w:hRule="exact" w:val="240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Borrowing portfolio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54,212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36,248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47,028 </w:t>
            </w:r>
          </w:p>
        </w:tc>
      </w:tr>
      <w:tr>
        <w:trPr>
          <w:trHeight w:hRule="exact" w:val="318"/>
        </w:trPr>
        <w:tc>
          <w:tcPr>
            <w:tcW w:type="dxa" w:w="35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equity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194,679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184,749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190,301 </w:t>
            </w:r>
          </w:p>
        </w:tc>
      </w:tr>
    </w:tbl>
    <w:p>
      <w:pPr>
        <w:autoSpaceDN w:val="0"/>
        <w:autoSpaceDE w:val="0"/>
        <w:widowControl/>
        <w:spacing w:line="180" w:lineRule="exact" w:before="23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Income Statement (Section IV)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196"/>
        </w:trPr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revenue, net of borrowing expenses</w:t>
            </w:r>
          </w:p>
        </w:tc>
        <w:tc>
          <w:tcPr>
            <w:tcW w:type="dxa" w:w="11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586 </w:t>
            </w:r>
          </w:p>
        </w:tc>
        <w:tc>
          <w:tcPr>
            <w:tcW w:type="dxa" w:w="4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622 </w:t>
            </w:r>
          </w:p>
        </w:tc>
        <w:tc>
          <w:tcPr>
            <w:tcW w:type="dxa" w:w="6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2,398 </w:t>
            </w:r>
          </w:p>
        </w:tc>
      </w:tr>
      <w:tr>
        <w:trPr>
          <w:trHeight w:hRule="exact" w:val="240"/>
        </w:trPr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Transfers from affiliated organizations and others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515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</w:tr>
      <w:tr>
        <w:trPr>
          <w:trHeight w:hRule="exact" w:val="240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Development grants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(1,932)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(776)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(5,291) </w:t>
            </w:r>
          </w:p>
        </w:tc>
      </w:tr>
      <w:tr>
        <w:trPr>
          <w:trHeight w:hRule="exact" w:val="318"/>
        </w:trPr>
        <w:tc>
          <w:tcPr>
            <w:tcW w:type="dxa" w:w="44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(loss) income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(1,282)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 </w:t>
            </w:r>
          </w:p>
        </w:tc>
        <w:tc>
          <w:tcPr>
            <w:tcW w:type="dxa" w:w="1349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" w:after="0"/>
              <w:ind w:left="0" w:right="1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(3,573) </w:t>
            </w:r>
          </w:p>
        </w:tc>
      </w:tr>
    </w:tbl>
    <w:p>
      <w:pPr>
        <w:autoSpaceDN w:val="0"/>
        <w:autoSpaceDE w:val="0"/>
        <w:widowControl/>
        <w:spacing w:line="180" w:lineRule="exact" w:before="23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Non-GAAP Measures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2"/>
        </w:trPr>
        <w:tc>
          <w:tcPr>
            <w:tcW w:type="dxa" w:w="38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Adjusted Net Income (Section IV)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308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181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780 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Deployable Strategic Capital Ratio (Section V)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246"/>
        </w:trPr>
        <w:tc>
          <w:tcPr>
            <w:tcW w:type="dxa" w:w="391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6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Current Approach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32.1 %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6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N/A</w:t>
            </w:r>
          </w:p>
        </w:tc>
        <w:tc>
          <w:tcPr>
            <w:tcW w:type="dxa" w:w="11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34.8 %</w:t>
            </w:r>
          </w:p>
        </w:tc>
      </w:tr>
      <w:tr>
        <w:trPr>
          <w:trHeight w:hRule="exact" w:val="486"/>
        </w:trPr>
        <w:tc>
          <w:tcPr>
            <w:tcW w:type="dxa" w:w="391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Previous Approach</w:t>
            </w:r>
          </w:p>
        </w:tc>
        <w:tc>
          <w:tcPr>
            <w:tcW w:type="dxa" w:w="278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N/A</w:t>
            </w:r>
          </w:p>
        </w:tc>
        <w:tc>
          <w:tcPr>
            <w:tcW w:type="dxa" w:w="14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32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23.4 %</w:t>
            </w:r>
          </w:p>
        </w:tc>
        <w:tc>
          <w:tcPr>
            <w:tcW w:type="dxa" w:w="1144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21.1 %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242" w:right="144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Commitments that have been approved by the Executive Directors (referred to as “the Board” in this document) and are net of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full cancellations and terminations relating to commitments approved in the same fiscal year. Commitments and disbursements </w:t>
      </w:r>
      <w:r>
        <w:rPr>
          <w:rFonts w:ascii="Arial" w:hAnsi="Arial" w:eastAsia="Arial"/>
          <w:b w:val="0"/>
          <w:i/>
          <w:color w:val="000000"/>
          <w:sz w:val="16"/>
        </w:rPr>
        <w:t>exclude IDA-IFC-MIGA Private Sector Window (PSW) activities.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16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For the composition of the net investment portfolio, see Notes to the Condensed Quarterly Financial Statements, Note C –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Investments – Table C2.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20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Includes associated derivatives. For the composition of the Borrowing portfolio, see Notes to the Condensed Quarterly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Financial Statements, Note E – Borrowings.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36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d. Since June 30, 2024, ratio has been calculated using an enhanced Board-approved methodology. See Section V: Risk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Management.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295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September 30, 2024</w:t>
      </w:r>
    </w:p>
    <w:p>
      <w:pPr>
        <w:sectPr>
          <w:pgSz w:w="12240" w:h="15840"/>
          <w:pgMar w:top="280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240" w:lineRule="exact" w:before="25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IDA, an international organization owned by its 175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1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member countries, is one of the five institutions of the World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Bank Group (WBG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2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). Each WBG organization is legally and financially independent from IDA, with separate assets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liabilities. IDA is not liable for the obligations of the other institutions. </w:t>
      </w:r>
    </w:p>
    <w:p>
      <w:pPr>
        <w:autoSpaceDN w:val="0"/>
        <w:autoSpaceDE w:val="0"/>
        <w:widowControl/>
        <w:spacing w:line="224" w:lineRule="exact" w:before="13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IDA's mission is to end extreme poverty and boost shared prosperity on a livable planet. With its many years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experience and its depth of knowledge in international development, IDA plays a key role in achieving the WBG’s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goal of helping client countries achieve better development outcomes with a vision to create a world free of poverty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a livable planet. IDA provides loans, grants, guarantees, and other financial products to the poorest and most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vulnerable countries to help meet their development needs, and technical assistance and policy advice by leveraging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its experience and expertise. It also supports countries with disaster risk financing and insurance against natural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disasters and health-related crises and facilitates financing through trust fund partnerships. </w:t>
      </w:r>
    </w:p>
    <w:p>
      <w:pPr>
        <w:autoSpaceDN w:val="0"/>
        <w:autoSpaceDE w:val="0"/>
        <w:widowControl/>
        <w:spacing w:line="240" w:lineRule="exact" w:before="20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and its affiliated institutions seek to help countries in reducing poverty and inequality, achieve improvements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economic growth, job creation, governance, the environment, climate adaptation, mitigation and resilience, human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capital, infrastructure and debt transparency, among others. To meet its development goals, the WBG supports client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countries' efforts to implement programs to improve growth and development outcomes. Further, new and ongoing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challenges continue to influence the global outlook, including: climate change adaptation and mitigation; fragility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conflict; pandemic prevention and preparedness; energy access; food and nutrition security; water security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access; enabling digitalization; and protecting biodiversity and nature. IDA continues to work with partners at global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country levels to support its borrowing countries in addressing the impact of these multiple challenges,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enhance resilience and lay the groundwork for rebuilding better. To further support these efforts, the Board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have been evolving the WBG to better address the scale of development challenges. This process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includes initiatives to increase impact, expand financing capacity, and modernize the approach to delivery.</w:t>
      </w:r>
    </w:p>
    <w:p>
      <w:pPr>
        <w:autoSpaceDN w:val="0"/>
        <w:autoSpaceDE w:val="0"/>
        <w:widowControl/>
        <w:spacing w:line="176" w:lineRule="exact" w:before="7596" w:after="0"/>
        <w:ind w:left="10" w:right="0" w:firstLine="0"/>
        <w:jc w:val="left"/>
      </w:pPr>
      <w:r>
        <w:rPr>
          <w:w w:val="101.11111534966363"/>
          <w:rFonts w:ascii="ArialMT" w:hAnsi="ArialMT" w:eastAsia="ArialMT"/>
          <w:b w:val="0"/>
          <w:i w:val="0"/>
          <w:color w:val="000000"/>
          <w:sz w:val="9"/>
        </w:rPr>
        <w:t>1</w:t>
      </w:r>
      <w:r>
        <w:rPr>
          <w:rFonts w:ascii="Arial" w:hAnsi="Arial" w:eastAsia="Arial"/>
          <w:b w:val="0"/>
          <w:i/>
          <w:color w:val="000000"/>
          <w:sz w:val="14"/>
        </w:rPr>
        <w:t>On October 18, 2024, the Republic of Suriname became the 175th member country of IDA.</w:t>
      </w:r>
    </w:p>
    <w:p>
      <w:pPr>
        <w:autoSpaceDN w:val="0"/>
        <w:autoSpaceDE w:val="0"/>
        <w:widowControl/>
        <w:spacing w:line="168" w:lineRule="exact" w:before="10" w:after="0"/>
        <w:ind w:left="190" w:right="26" w:hanging="180"/>
        <w:jc w:val="both"/>
      </w:pPr>
      <w:r>
        <w:rPr>
          <w:w w:val="101.11111534966363"/>
          <w:rFonts w:ascii="ArialMT" w:hAnsi="ArialMT" w:eastAsia="ArialMT"/>
          <w:b w:val="0"/>
          <w:i w:val="0"/>
          <w:color w:val="000000"/>
          <w:sz w:val="9"/>
        </w:rPr>
        <w:t>2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 The other WBG institutions are the International Bank for Reconstruction and Development (IBRD), the International Finance Corporation (IFC), the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Multilateral Investment Guarantee Agency (MIGA), and the International Centre for Settlement of Investment Disputes (ICSID). The World Bank </w:t>
      </w:r>
      <w:r>
        <w:rPr>
          <w:rFonts w:ascii="Arial" w:hAnsi="Arial" w:eastAsia="Arial"/>
          <w:b w:val="0"/>
          <w:i/>
          <w:color w:val="000000"/>
          <w:sz w:val="14"/>
        </w:rPr>
        <w:t>consists of IBRD and IDA.</w:t>
      </w:r>
    </w:p>
    <w:p>
      <w:pPr>
        <w:autoSpaceDN w:val="0"/>
        <w:tabs>
          <w:tab w:pos="9206" w:val="left"/>
        </w:tabs>
        <w:autoSpaceDE w:val="0"/>
        <w:widowControl/>
        <w:spacing w:line="224" w:lineRule="exact" w:before="532" w:after="0"/>
        <w:ind w:left="21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September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3</w:t>
      </w:r>
    </w:p>
    <w:p>
      <w:pPr>
        <w:sectPr>
          <w:pgSz w:w="12240" w:h="15840"/>
          <w:pgMar w:top="280" w:right="1370" w:bottom="21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6"/>
        <w:gridCol w:w="4716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</w:tbl>
    <w:p>
      <w:pPr>
        <w:autoSpaceDN w:val="0"/>
        <w:autoSpaceDE w:val="0"/>
        <w:widowControl/>
        <w:spacing w:line="268" w:lineRule="exact" w:before="266" w:after="74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Summary of Financial Results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347"/>
        <w:gridCol w:w="1347"/>
        <w:gridCol w:w="1347"/>
        <w:gridCol w:w="1347"/>
        <w:gridCol w:w="1347"/>
        <w:gridCol w:w="1347"/>
        <w:gridCol w:w="1347"/>
      </w:tblGrid>
      <w:tr>
        <w:trPr>
          <w:trHeight w:hRule="exact" w:val="704"/>
        </w:trPr>
        <w:tc>
          <w:tcPr>
            <w:tcW w:type="dxa" w:w="4720"/>
            <w:tcBorders>
              <w:bottom w:sz="12.0" w:val="single" w:color="#242424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38" w:lineRule="exact" w:before="0" w:after="0"/>
              <w:ind w:left="20" w:right="288" w:firstLine="0"/>
              <w:jc w:val="left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2"/>
              </w:rPr>
              <w:t xml:space="preserve">Net (Loss) Income and Adjusted Net Income </w:t>
            </w:r>
            <w:r>
              <w:rPr>
                <w:rFonts w:ascii="TimesNewRoman" w:hAnsi="TimesNewRoman" w:eastAsia="TimesNewRoman"/>
                <w:b/>
                <w:i w:val="0"/>
                <w:color w:val="000000"/>
                <w:sz w:val="20"/>
              </w:rPr>
              <w:t>Net (Loss) Income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: IDA reported a net loss of </w:t>
            </w:r>
          </w:p>
        </w:tc>
        <w:tc>
          <w:tcPr>
            <w:tcW w:type="dxa" w:w="46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34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  <w:p>
            <w:pPr>
              <w:autoSpaceDN w:val="0"/>
              <w:autoSpaceDE w:val="0"/>
              <w:widowControl/>
              <w:spacing w:line="178" w:lineRule="exact" w:before="344" w:after="0"/>
              <w:ind w:left="0" w:right="69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595959"/>
                <w:sz w:val="16"/>
              </w:rPr>
              <w:t>YTD Adjusted Net (Loss) Income</w:t>
            </w:r>
          </w:p>
          <w:p>
            <w:pPr>
              <w:autoSpaceDN w:val="0"/>
              <w:autoSpaceDE w:val="0"/>
              <w:widowControl/>
              <w:spacing w:line="180" w:lineRule="exact" w:before="76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595959"/>
                <w:sz w:val="16"/>
              </w:rPr>
              <w:t>YTD Net (Loss) Income</w:t>
            </w:r>
          </w:p>
          <w:p>
            <w:pPr>
              <w:autoSpaceDN w:val="0"/>
              <w:autoSpaceDE w:val="0"/>
              <w:widowControl/>
              <w:spacing w:line="180" w:lineRule="exact" w:before="90" w:after="0"/>
              <w:ind w:left="6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4,000</w:t>
            </w:r>
          </w:p>
          <w:p>
            <w:pPr>
              <w:autoSpaceDN w:val="0"/>
              <w:autoSpaceDE w:val="0"/>
              <w:widowControl/>
              <w:spacing w:line="178" w:lineRule="exact" w:before="226" w:after="0"/>
              <w:ind w:left="6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2,000</w:t>
            </w:r>
          </w:p>
        </w:tc>
      </w:tr>
      <w:tr>
        <w:trPr>
          <w:trHeight w:hRule="exact" w:val="488"/>
        </w:trPr>
        <w:tc>
          <w:tcPr>
            <w:tcW w:type="dxa" w:w="4720"/>
            <w:tcBorders>
              <w:top w:sz="12.0" w:val="single" w:color="#242424"/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2" w:lineRule="exact" w:before="0" w:after="0"/>
              <w:ind w:left="20" w:right="288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$1,282 million in FY25 YTD, compared to net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income of $62 million for the three months ended </w:t>
            </w:r>
          </w:p>
        </w:tc>
        <w:tc>
          <w:tcPr>
            <w:tcW w:type="dxa" w:w="8082"/>
            <w:gridSpan w:val="6"/>
            <w:vMerge/>
            <w:tcBorders/>
          </w:tcPr>
          <w:p/>
        </w:tc>
      </w:tr>
      <w:tr>
        <w:trPr>
          <w:trHeight w:hRule="exact" w:val="616"/>
        </w:trPr>
        <w:tc>
          <w:tcPr>
            <w:tcW w:type="dxa" w:w="472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20" w:right="330" w:firstLine="0"/>
              <w:jc w:val="both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September 30, 2023 (FY24 YTD). The net loss was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primarily driven by an increase in development grant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expenses in FY25 YTD compared to FY24 YTD. See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Section IV: Financial Results.</w:t>
            </w:r>
          </w:p>
          <w:p>
            <w:pPr>
              <w:autoSpaceDN w:val="0"/>
              <w:autoSpaceDE w:val="0"/>
              <w:widowControl/>
              <w:spacing w:line="240" w:lineRule="exact" w:before="120" w:after="0"/>
              <w:ind w:left="20" w:right="330" w:firstLine="0"/>
              <w:jc w:val="both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0"/>
              </w:rPr>
              <w:t>Adjusted Net Income: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 IDA's adjusted net income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was $308 million in FY25 YTD, compared to $181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million in FY24 YTD. The increase was primarily </w:t>
            </w: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due to higher revenue from investments, a release of </w:t>
            </w:r>
          </w:p>
        </w:tc>
        <w:tc>
          <w:tcPr>
            <w:tcW w:type="dxa" w:w="8082"/>
            <w:gridSpan w:val="6"/>
            <w:vMerge/>
            <w:tcBorders/>
          </w:tcPr>
          <w:p/>
        </w:tc>
      </w:tr>
      <w:tr>
        <w:trPr>
          <w:trHeight w:hRule="exact" w:val="520"/>
        </w:trPr>
        <w:tc>
          <w:tcPr>
            <w:tcW w:type="dxa" w:w="1347"/>
            <w:vMerge/>
            <w:tcBorders>
              <w:top w:sz="6.0" w:val="single" w:color="#E5E6E5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34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082800" cy="2413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2800" cy="241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620"/>
        </w:trPr>
        <w:tc>
          <w:tcPr>
            <w:tcW w:type="dxa" w:w="1347"/>
            <w:vMerge/>
            <w:tcBorders>
              <w:top w:sz="6.0" w:val="single" w:color="#E5E6E5"/>
            </w:tcBorders>
          </w:tcPr>
          <w:p/>
        </w:tc>
        <w:tc>
          <w:tcPr>
            <w:tcW w:type="dxa" w:w="46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0" w:after="0"/>
              <w:ind w:left="540" w:right="3456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 xml:space="preserve">(2,000)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(4,000)</w:t>
            </w:r>
          </w:p>
        </w:tc>
      </w:tr>
      <w:tr>
        <w:trPr>
          <w:trHeight w:hRule="exact" w:val="256"/>
        </w:trPr>
        <w:tc>
          <w:tcPr>
            <w:tcW w:type="dxa" w:w="1347"/>
            <w:vMerge/>
            <w:tcBorders>
              <w:top w:sz="6.0" w:val="single" w:color="#E5E6E5"/>
            </w:tcBorders>
          </w:tcPr>
          <w:p/>
        </w:tc>
        <w:tc>
          <w:tcPr>
            <w:tcW w:type="dxa" w:w="19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38" w:lineRule="exact" w:before="0" w:after="0"/>
        <w:ind w:left="4" w:right="5058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provision for losses on loans and other exposures in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FY25 YTD, compared to a provision expense in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FY24 YTD, and higher net interest revenue on loans,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partially offset by higher borrowing expenses. See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Section IV: Financial Results.</w:t>
      </w:r>
    </w:p>
    <w:p>
      <w:pPr>
        <w:autoSpaceDN w:val="0"/>
        <w:autoSpaceDE w:val="0"/>
        <w:widowControl/>
        <w:spacing w:line="244" w:lineRule="exact" w:before="394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Loans and grants</w:t>
      </w:r>
    </w:p>
    <w:p>
      <w:pPr>
        <w:autoSpaceDN w:val="0"/>
        <w:autoSpaceDE w:val="0"/>
        <w:widowControl/>
        <w:spacing w:line="240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IDA's net commitments in FY25 YTD were $5.9 billion compared to $5.7 billion in FY24 YTD. Out of the total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FY25 YTD net commitments, $3.5 billion were loan commitments and $2.4 billion were grant commitments. 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net loans outstanding increased by $6.9 billion to $205.4 billion as of September 30, 2024, from $198.5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 as of June 30, 2024. 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Development grant expenses were $1.9 billion in FY25 YTD compared to $0.8 billion in FY24 YTD due to higher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 of grants meeting the conditions for expense recognition in FY25 YTD. </w:t>
      </w:r>
    </w:p>
    <w:p>
      <w:pPr>
        <w:autoSpaceDN w:val="0"/>
        <w:autoSpaceDE w:val="0"/>
        <w:widowControl/>
        <w:spacing w:line="178" w:lineRule="exact" w:before="150" w:after="118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60"/>
        </w:trPr>
        <w:tc>
          <w:tcPr>
            <w:tcW w:type="dxa" w:w="516"/>
            <w:vMerge w:val="restart"/>
            <w:tcBorders>
              <w:bottom w:sz="12.0147066116333" w:val="single" w:color="#95959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30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YTD Net Commitments ᵃ</w:t>
            </w:r>
          </w:p>
        </w:tc>
        <w:tc>
          <w:tcPr>
            <w:tcW w:type="dxa" w:w="742"/>
            <w:vMerge w:val="restart"/>
            <w:tcBorders>
              <w:bottom w:sz="12.0147066116333" w:val="single" w:color="#95959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vMerge w:val="restart"/>
            <w:tcBorders>
              <w:bottom w:sz="12.0147066116333" w:val="single" w:color="#95959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8" w:after="0"/>
              <w:ind w:left="2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480"/>
            <w:vMerge w:val="restart"/>
            <w:tcBorders>
              <w:bottom w:sz="12.0147066116333" w:val="single" w:color="#95959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24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2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YTD Net Grant Commitments</w:t>
            </w:r>
          </w:p>
        </w:tc>
      </w:tr>
      <w:tr>
        <w:trPr>
          <w:trHeight w:hRule="exact" w:val="180"/>
        </w:trPr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230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YTD Gross Disbursements</w:t>
            </w:r>
          </w:p>
        </w:tc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243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YTD Grant Expense</w:t>
            </w:r>
          </w:p>
        </w:tc>
      </w:tr>
      <w:tr>
        <w:trPr>
          <w:trHeight w:hRule="exact" w:val="84"/>
        </w:trPr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2302"/>
            <w:gridSpan w:val="5"/>
            <w:vMerge w:val="restart"/>
            <w:tcBorders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4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YTD Net Disbursements</w:t>
            </w:r>
          </w:p>
        </w:tc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674"/>
            <w:vMerge/>
            <w:tcBorders>
              <w:bottom w:sz="12.0147066116333" w:val="single" w:color="#959595"/>
            </w:tcBorders>
          </w:tcPr>
          <w:p/>
        </w:tc>
        <w:tc>
          <w:tcPr>
            <w:tcW w:type="dxa" w:w="2438"/>
            <w:gridSpan w:val="5"/>
            <w:vMerge w:val="restart"/>
            <w:tcBorders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YTD Net Grant Disbursements</w:t>
            </w:r>
          </w:p>
        </w:tc>
      </w:tr>
      <w:tr>
        <w:trPr>
          <w:trHeight w:hRule="exact" w:val="188"/>
        </w:trPr>
        <w:tc>
          <w:tcPr>
            <w:tcW w:type="dxa" w:w="516"/>
            <w:tcBorders>
              <w:top w:sz="12.0147066116333" w:val="single" w:color="#959595"/>
              <w:bottom w:sz="6.0073533058166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5"/>
            <w:vMerge/>
            <w:tcBorders>
              <w:bottom w:sz="6.00735330581665" w:val="single" w:color="#E5E6E5"/>
            </w:tcBorders>
          </w:tcPr>
          <w:p/>
        </w:tc>
        <w:tc>
          <w:tcPr>
            <w:tcW w:type="dxa" w:w="742"/>
            <w:tcBorders>
              <w:top w:sz="12.0147066116333" w:val="single" w:color="#959595"/>
              <w:bottom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250</w:t>
            </w:r>
          </w:p>
        </w:tc>
        <w:tc>
          <w:tcPr>
            <w:tcW w:type="dxa" w:w="2700"/>
            <w:tcBorders>
              <w:top w:sz="12.0147066116333" w:val="single" w:color="#959595"/>
              <w:bottom w:sz="6.0073533058166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12.0147066116333" w:val="single" w:color="#959595"/>
              <w:bottom w:sz="6.0073533058166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5"/>
            <w:vMerge/>
            <w:tcBorders>
              <w:bottom w:sz="6.00735330581665" w:val="single" w:color="#E5E6E5"/>
            </w:tcBorders>
          </w:tcPr>
          <w:p/>
        </w:tc>
      </w:tr>
      <w:tr>
        <w:trPr>
          <w:trHeight w:hRule="exact" w:val="50"/>
        </w:trPr>
        <w:tc>
          <w:tcPr>
            <w:tcW w:type="dxa" w:w="516"/>
            <w:tcBorders>
              <w:top w:sz="6.00735330581665" w:val="single" w:color="#E5E6E5"/>
              <w:bottom w:sz="6.010063648223877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302"/>
            <w:gridSpan w:val="5"/>
            <w:vMerge w:val="restart"/>
            <w:tcBorders>
              <w:top w:sz="6.00735330581665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2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473200" cy="4699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469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42"/>
            <w:tcBorders>
              <w:top w:sz="6.00735330581665" w:val="single" w:color="#E5E6E5"/>
              <w:bottom w:sz="6.010063648223877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700"/>
            <w:tcBorders>
              <w:top w:sz="6.00735330581665" w:val="single" w:color="#E5E6E5"/>
              <w:bottom w:sz="6.010063648223877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6.00735330581665" w:val="single" w:color="#E5E6E5"/>
              <w:bottom w:sz="6.010063648223877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38"/>
            <w:gridSpan w:val="5"/>
            <w:vMerge w:val="restart"/>
            <w:tcBorders>
              <w:top w:sz="6.00735330581665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4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73200" cy="2159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215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98"/>
        </w:trPr>
        <w:tc>
          <w:tcPr>
            <w:tcW w:type="dxa" w:w="516"/>
            <w:tcBorders>
              <w:top w:sz="6.010063648223877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742"/>
            <w:vMerge w:val="restart"/>
            <w:tcBorders>
              <w:top w:sz="6.010063648223877" w:val="single" w:color="#E5E6E5"/>
              <w:bottom w:sz="6.01006364822387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200</w:t>
            </w:r>
          </w:p>
        </w:tc>
        <w:tc>
          <w:tcPr>
            <w:tcW w:type="dxa" w:w="2700"/>
            <w:vMerge w:val="restart"/>
            <w:tcBorders>
              <w:top w:sz="6.010063648223877" w:val="single" w:color="#E5E6E5"/>
              <w:bottom w:sz="6.01006364822387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6.010063648223877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142"/>
        </w:trPr>
        <w:tc>
          <w:tcPr>
            <w:tcW w:type="dxa" w:w="516"/>
            <w:tcBorders>
              <w:bottom w:sz="6.010063648223877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10063648223877" w:val="single" w:color="#E5E6E5"/>
              <w:bottom w:sz="6.010063648223877" w:val="single" w:color="#E5E6E5"/>
            </w:tcBorders>
          </w:tcPr>
          <w:p/>
        </w:tc>
        <w:tc>
          <w:tcPr>
            <w:tcW w:type="dxa" w:w="674"/>
            <w:vMerge/>
            <w:tcBorders>
              <w:top w:sz="6.010063648223877" w:val="single" w:color="#E5E6E5"/>
              <w:bottom w:sz="6.010063648223877" w:val="single" w:color="#E5E6E5"/>
            </w:tcBorders>
          </w:tcPr>
          <w:p/>
        </w:tc>
        <w:tc>
          <w:tcPr>
            <w:tcW w:type="dxa" w:w="480"/>
            <w:tcBorders>
              <w:bottom w:sz="6.010063648223877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98"/>
        </w:trPr>
        <w:tc>
          <w:tcPr>
            <w:tcW w:type="dxa" w:w="516"/>
            <w:tcBorders>
              <w:top w:sz="6.010063648223877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742"/>
            <w:vMerge w:val="restart"/>
            <w:tcBorders>
              <w:top w:sz="6.010063648223877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82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150</w:t>
            </w:r>
          </w:p>
        </w:tc>
        <w:tc>
          <w:tcPr>
            <w:tcW w:type="dxa" w:w="2700"/>
            <w:vMerge w:val="restart"/>
            <w:tcBorders>
              <w:top w:sz="6.010063648223877" w:val="single" w:color="#E5E6E5"/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6.010063648223877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</w:t>
            </w:r>
          </w:p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180"/>
        </w:trPr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top w:sz="6.010063648223877" w:val="single" w:color="#E5E6E5"/>
            </w:tcBorders>
          </w:tcPr>
          <w:p/>
        </w:tc>
        <w:tc>
          <w:tcPr>
            <w:tcW w:type="dxa" w:w="674"/>
            <w:vMerge/>
            <w:tcBorders>
              <w:top w:sz="6.010063648223877" w:val="single" w:color="#E5E6E5"/>
              <w:bottom w:sz="6.00735330581665" w:val="single" w:color="#E5E6E5"/>
            </w:tcBorders>
          </w:tcPr>
          <w:p/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6</w:t>
            </w:r>
          </w:p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56"/>
        </w:trPr>
        <w:tc>
          <w:tcPr>
            <w:tcW w:type="dxa" w:w="5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7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100</w:t>
            </w:r>
          </w:p>
        </w:tc>
        <w:tc>
          <w:tcPr>
            <w:tcW w:type="dxa" w:w="674"/>
            <w:vMerge/>
            <w:tcBorders>
              <w:top w:sz="6.010063648223877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184"/>
        </w:trPr>
        <w:tc>
          <w:tcPr>
            <w:tcW w:type="dxa" w:w="674"/>
            <w:vMerge/>
            <w:tcBorders/>
          </w:tcPr>
          <w:p/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674"/>
            <w:vMerge/>
            <w:tcBorders>
              <w:top w:sz="6.010063648223877" w:val="single" w:color="#E5E6E5"/>
              <w:bottom w:sz="6.00735330581665" w:val="single" w:color="#E5E6E5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</w:t>
            </w:r>
          </w:p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220"/>
        </w:trPr>
        <w:tc>
          <w:tcPr>
            <w:tcW w:type="dxa" w:w="5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74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674"/>
            <w:vMerge/>
            <w:tcBorders>
              <w:top w:sz="6.010063648223877" w:val="single" w:color="#E5E6E5"/>
              <w:bottom w:sz="6.00735330581665" w:val="single" w:color="#E5E6E5"/>
            </w:tcBorders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56"/>
        </w:trPr>
        <w:tc>
          <w:tcPr>
            <w:tcW w:type="dxa" w:w="516"/>
            <w:vMerge w:val="restart"/>
            <w:tcBorders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674"/>
            <w:vMerge/>
            <w:tcBorders>
              <w:top w:sz="6.010063648223877" w:val="single" w:color="#E5E6E5"/>
              <w:bottom w:sz="6.00735330581665" w:val="single" w:color="#E5E6E5"/>
            </w:tcBorders>
          </w:tcPr>
          <w:p/>
        </w:tc>
        <w:tc>
          <w:tcPr>
            <w:tcW w:type="dxa" w:w="480"/>
            <w:vMerge w:val="restart"/>
            <w:tcBorders>
              <w:bottom w:sz="6.0073533058166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114"/>
        </w:trPr>
        <w:tc>
          <w:tcPr>
            <w:tcW w:type="dxa" w:w="674"/>
            <w:vMerge/>
            <w:tcBorders>
              <w:bottom w:sz="6.00735330581665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  <w:tc>
          <w:tcPr>
            <w:tcW w:type="dxa" w:w="742"/>
            <w:tcBorders>
              <w:bottom w:sz="6.0073533058166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vMerge/>
            <w:tcBorders>
              <w:top w:sz="6.010063648223877" w:val="single" w:color="#E5E6E5"/>
              <w:bottom w:sz="6.00735330581665" w:val="single" w:color="#E5E6E5"/>
            </w:tcBorders>
          </w:tcPr>
          <w:p/>
        </w:tc>
        <w:tc>
          <w:tcPr>
            <w:tcW w:type="dxa" w:w="674"/>
            <w:vMerge/>
            <w:tcBorders>
              <w:bottom w:sz="6.00735330581665" w:val="single" w:color="#E5E6E5"/>
            </w:tcBorders>
          </w:tcPr>
          <w:p/>
        </w:tc>
        <w:tc>
          <w:tcPr>
            <w:tcW w:type="dxa" w:w="3370"/>
            <w:gridSpan w:val="5"/>
            <w:vMerge/>
            <w:tcBorders>
              <w:top w:sz="6.00735330581665" w:val="single" w:color="#E5E6E5"/>
              <w:bottom w:sz="6.00735330581665" w:val="single" w:color="#E5E6E5"/>
            </w:tcBorders>
          </w:tcPr>
          <w:p/>
        </w:tc>
      </w:tr>
      <w:tr>
        <w:trPr>
          <w:trHeight w:hRule="exact" w:val="348"/>
        </w:trPr>
        <w:tc>
          <w:tcPr>
            <w:tcW w:type="dxa" w:w="516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4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FY21</w:t>
            </w:r>
          </w:p>
        </w:tc>
        <w:tc>
          <w:tcPr>
            <w:tcW w:type="dxa" w:w="460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FY22</w:t>
            </w:r>
          </w:p>
        </w:tc>
        <w:tc>
          <w:tcPr>
            <w:tcW w:type="dxa" w:w="460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FY23</w:t>
            </w:r>
          </w:p>
        </w:tc>
        <w:tc>
          <w:tcPr>
            <w:tcW w:type="dxa" w:w="460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FY24</w:t>
            </w:r>
          </w:p>
        </w:tc>
        <w:tc>
          <w:tcPr>
            <w:tcW w:type="dxa" w:w="498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FY25</w:t>
            </w:r>
          </w:p>
        </w:tc>
        <w:tc>
          <w:tcPr>
            <w:tcW w:type="dxa" w:w="742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2700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4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21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22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23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Jun 24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Sep 24</w:t>
            </w:r>
          </w:p>
        </w:tc>
        <w:tc>
          <w:tcPr>
            <w:tcW w:type="dxa" w:w="480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60"/>
            <w:tcBorders>
              <w:top w:sz="6.0073533058166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FY21</w:t>
            </w:r>
          </w:p>
        </w:tc>
        <w:tc>
          <w:tcPr>
            <w:tcW w:type="dxa" w:w="460"/>
            <w:tcBorders>
              <w:top w:sz="6.000849723815918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FY22</w:t>
            </w:r>
          </w:p>
        </w:tc>
        <w:tc>
          <w:tcPr>
            <w:tcW w:type="dxa" w:w="460"/>
            <w:tcBorders>
              <w:top w:sz="6.000849723815918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FY23</w:t>
            </w:r>
          </w:p>
        </w:tc>
        <w:tc>
          <w:tcPr>
            <w:tcW w:type="dxa" w:w="460"/>
            <w:tcBorders>
              <w:top w:sz="6.000849723815918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FY24</w:t>
            </w:r>
          </w:p>
        </w:tc>
        <w:tc>
          <w:tcPr>
            <w:tcW w:type="dxa" w:w="498"/>
            <w:tcBorders>
              <w:top w:sz="6.000849723815918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8" w:lineRule="exact" w:before="9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4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178" w:lineRule="exact" w:before="114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loans, grants and guarantees.</w:t>
      </w:r>
    </w:p>
    <w:p>
      <w:pPr>
        <w:autoSpaceDN w:val="0"/>
        <w:tabs>
          <w:tab w:pos="582" w:val="left"/>
        </w:tabs>
        <w:autoSpaceDE w:val="0"/>
        <w:widowControl/>
        <w:spacing w:line="224" w:lineRule="exact" w:before="390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September 30, 2024</w:t>
      </w:r>
    </w:p>
    <w:p>
      <w:pPr>
        <w:sectPr>
          <w:pgSz w:w="12240" w:h="15840"/>
          <w:pgMar w:top="280" w:right="1372" w:bottom="21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73"/>
        <w:gridCol w:w="1173"/>
        <w:gridCol w:w="1173"/>
        <w:gridCol w:w="1173"/>
        <w:gridCol w:w="1173"/>
        <w:gridCol w:w="1173"/>
        <w:gridCol w:w="1173"/>
        <w:gridCol w:w="1173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I: Executive Summary</w:t>
            </w:r>
          </w:p>
        </w:tc>
      </w:tr>
      <w:tr>
        <w:trPr>
          <w:trHeight w:hRule="exact" w:val="516"/>
        </w:trPr>
        <w:tc>
          <w:tcPr>
            <w:tcW w:type="dxa" w:w="39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54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2"/>
              </w:rPr>
              <w:t>Net Investment Portfolio</w:t>
            </w:r>
          </w:p>
        </w:tc>
        <w:tc>
          <w:tcPr>
            <w:tcW w:type="dxa" w:w="5404"/>
            <w:gridSpan w:val="7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4" w:after="0"/>
              <w:ind w:left="0" w:right="20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  <w:tr>
        <w:trPr>
          <w:trHeight w:hRule="exact" w:val="36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3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As of September 30, 2024, the net investment </w:t>
            </w:r>
          </w:p>
        </w:tc>
        <w:tc>
          <w:tcPr>
            <w:tcW w:type="dxa" w:w="45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80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Investment Portfolio</w:t>
            </w:r>
          </w:p>
        </w:tc>
      </w:tr>
      <w:tr>
        <w:trPr>
          <w:trHeight w:hRule="exact" w:val="24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portfolio was $38.3 billion, an increase of $4.7 billion </w:t>
            </w:r>
          </w:p>
        </w:tc>
        <w:tc>
          <w:tcPr>
            <w:tcW w:type="dxa" w:w="45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</w:tr>
      <w:tr>
        <w:trPr>
          <w:trHeight w:hRule="exact" w:val="26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from June 30, 2024. The increase was driven by net 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18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384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1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349500" cy="2032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95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88"/>
        </w:trPr>
        <w:tc>
          <w:tcPr>
            <w:tcW w:type="dxa" w:w="478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cash inflows from new issuances of debt exceeding </w:t>
            </w:r>
          </w:p>
        </w:tc>
        <w:tc>
          <w:tcPr>
            <w:tcW w:type="dxa" w:w="1173"/>
            <w:vMerge/>
            <w:tcBorders/>
          </w:tcPr>
          <w:p/>
        </w:tc>
        <w:tc>
          <w:tcPr>
            <w:tcW w:type="dxa" w:w="5865"/>
            <w:gridSpan w:val="5"/>
            <w:vMerge/>
            <w:tcBorders/>
          </w:tcPr>
          <w:p/>
        </w:tc>
      </w:tr>
      <w:tr>
        <w:trPr>
          <w:trHeight w:hRule="exact" w:val="132"/>
        </w:trPr>
        <w:tc>
          <w:tcPr>
            <w:tcW w:type="dxa" w:w="2346"/>
            <w:gridSpan w:val="2"/>
            <w:vMerge/>
            <w:tcBorders/>
          </w:tcPr>
          <w:p/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4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5865"/>
            <w:gridSpan w:val="5"/>
            <w:vMerge/>
            <w:tcBorders/>
          </w:tcPr>
          <w:p/>
        </w:tc>
      </w:tr>
      <w:tr>
        <w:trPr>
          <w:trHeight w:hRule="exact" w:val="22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net loan and grant disbursements during the period. </w:t>
            </w:r>
          </w:p>
        </w:tc>
        <w:tc>
          <w:tcPr>
            <w:tcW w:type="dxa" w:w="1173"/>
            <w:vMerge/>
            <w:tcBorders/>
          </w:tcPr>
          <w:p/>
        </w:tc>
        <w:tc>
          <w:tcPr>
            <w:tcW w:type="dxa" w:w="5865"/>
            <w:gridSpan w:val="5"/>
            <w:vMerge/>
            <w:tcBorders/>
          </w:tcPr>
          <w:p/>
        </w:tc>
      </w:tr>
      <w:tr>
        <w:trPr>
          <w:trHeight w:hRule="exact" w:val="26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See Section IV: Financial Results. The primary </w:t>
            </w:r>
          </w:p>
        </w:tc>
        <w:tc>
          <w:tcPr>
            <w:tcW w:type="dxa" w:w="45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4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</w:tr>
      <w:tr>
        <w:trPr>
          <w:trHeight w:hRule="exact" w:val="24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objective of IDA's investment strategy is principal </w:t>
            </w:r>
          </w:p>
        </w:tc>
        <w:tc>
          <w:tcPr>
            <w:tcW w:type="dxa" w:w="45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4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</w:t>
            </w:r>
          </w:p>
        </w:tc>
      </w:tr>
      <w:tr>
        <w:trPr>
          <w:trHeight w:hRule="exact" w:val="240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protection. As of September 30, 2024, 77% of IDA's </w:t>
            </w:r>
          </w:p>
        </w:tc>
        <w:tc>
          <w:tcPr>
            <w:tcW w:type="dxa" w:w="45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5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248"/>
        </w:trPr>
        <w:tc>
          <w:tcPr>
            <w:tcW w:type="dxa" w:w="47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6" w:after="0"/>
              <w:ind w:left="4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investment portfolio was held in instruments rated </w:t>
            </w:r>
          </w:p>
        </w:tc>
        <w:tc>
          <w:tcPr>
            <w:tcW w:type="dxa" w:w="15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8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 24</w:t>
            </w:r>
          </w:p>
        </w:tc>
      </w:tr>
    </w:tbl>
    <w:p>
      <w:pPr>
        <w:autoSpaceDN w:val="0"/>
        <w:autoSpaceDE w:val="0"/>
        <w:widowControl/>
        <w:spacing w:line="222" w:lineRule="exact" w:before="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AA or above (77% as of June 30, 2024) (Table 14).</w:t>
      </w:r>
    </w:p>
    <w:p>
      <w:pPr>
        <w:autoSpaceDN w:val="0"/>
        <w:autoSpaceDE w:val="0"/>
        <w:widowControl/>
        <w:spacing w:line="244" w:lineRule="exact" w:before="130" w:after="88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Borrowing Portfolio</w:t>
      </w:r>
    </w:p>
    <w:p>
      <w:pPr>
        <w:sectPr>
          <w:pgSz w:w="12240" w:h="15840"/>
          <w:pgMar w:top="280" w:right="1416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" w:right="576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borrowings at fair value: As of September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2024, the market borrowings carried at fair value and </w:t>
      </w:r>
    </w:p>
    <w:p>
      <w:pPr>
        <w:sectPr>
          <w:type w:val="continuous"/>
          <w:pgSz w:w="12240" w:h="15840"/>
          <w:pgMar w:top="280" w:right="1416" w:bottom="216" w:left="1436" w:header="720" w:footer="720" w:gutter="0"/>
          <w:cols w:num="2" w:equalWidth="0">
            <w:col w:w="5021" w:space="0"/>
            <w:col w:w="4366" w:space="0"/>
          </w:cols>
          <w:docGrid w:linePitch="360"/>
        </w:sectPr>
      </w:pPr>
    </w:p>
    <w:p>
      <w:pPr>
        <w:autoSpaceDN w:val="0"/>
        <w:autoSpaceDE w:val="0"/>
        <w:widowControl/>
        <w:spacing w:line="204" w:lineRule="exact" w:before="0" w:after="58"/>
        <w:ind w:left="652" w:right="187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billions of U.S. dollars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Borrowing Portfolio</w:t>
      </w:r>
    </w:p>
    <w:p>
      <w:pPr>
        <w:sectPr>
          <w:type w:val="nextColumn"/>
          <w:pgSz w:w="12240" w:h="15840"/>
          <w:pgMar w:top="280" w:right="1416" w:bottom="216" w:left="1436" w:header="720" w:footer="720" w:gutter="0"/>
          <w:cols w:num="2" w:equalWidth="0">
            <w:col w:w="5021" w:space="0"/>
            <w:col w:w="4366" w:space="0"/>
          </w:cols>
          <w:docGrid w:linePitch="360"/>
        </w:sectPr>
      </w:pPr>
    </w:p>
    <w:p>
      <w:pPr>
        <w:autoSpaceDN w:val="0"/>
        <w:autoSpaceDE w:val="0"/>
        <w:widowControl/>
        <w:spacing w:line="222" w:lineRule="exact" w:before="0" w:after="1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related derivatives were $34.7 billion, an increase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28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of $6.2 billion from June 30, 2024, primarily due to </w:t>
            </w:r>
          </w:p>
        </w:tc>
        <w:tc>
          <w:tcPr>
            <w:tcW w:type="dxa" w:w="8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8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3674"/>
            <w:gridSpan w:val="5"/>
            <w:vMerge w:val="restart"/>
            <w:tcBorders>
              <w:bottom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8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336800" cy="4572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36800" cy="45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40"/>
        </w:trPr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net new issuances of $5.5 billion during the period. 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705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220"/>
        </w:trPr>
        <w:tc>
          <w:tcPr>
            <w:tcW w:type="dxa" w:w="1341"/>
            <w:vMerge/>
            <w:tcBorders/>
          </w:tcPr>
          <w:p/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6705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24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Market borrowings at amortized cost: As of </w:t>
            </w:r>
          </w:p>
        </w:tc>
        <w:tc>
          <w:tcPr>
            <w:tcW w:type="dxa" w:w="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6705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178"/>
        </w:trPr>
        <w:tc>
          <w:tcPr>
            <w:tcW w:type="dxa" w:w="4820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September 30, 2024, the market borrowings carried at </w:t>
            </w:r>
          </w:p>
        </w:tc>
        <w:tc>
          <w:tcPr>
            <w:tcW w:type="dxa" w:w="848"/>
            <w:tcBorders>
              <w:bottom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5"/>
            <w:gridSpan w:val="5"/>
            <w:vMerge/>
            <w:tcBorders>
              <w:bottom w:sz="6.0" w:val="single" w:color="#E5E6E5"/>
            </w:tcBorders>
          </w:tcPr>
          <w:p/>
        </w:tc>
      </w:tr>
      <w:tr>
        <w:trPr>
          <w:trHeight w:hRule="exact" w:val="82"/>
        </w:trPr>
        <w:tc>
          <w:tcPr>
            <w:tcW w:type="dxa" w:w="4820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8"/>
            <w:tcBorders>
              <w:top w:sz="6.0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2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74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72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720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782"/>
            <w:vMerge w:val="restart"/>
            <w:tcBorders>
              <w:top w:sz="6.0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 24</w:t>
            </w:r>
          </w:p>
        </w:tc>
      </w:tr>
      <w:tr>
        <w:trPr>
          <w:trHeight w:hRule="exact" w:val="24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amortized cost were $12.0 billion, an increase of $0.5 </w:t>
            </w:r>
          </w:p>
        </w:tc>
        <w:tc>
          <w:tcPr>
            <w:tcW w:type="dxa" w:w="8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68"/>
        </w:trPr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billion from June 30, 2024, primarily due to 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152"/>
        </w:trPr>
        <w:tc>
          <w:tcPr>
            <w:tcW w:type="dxa" w:w="1341"/>
            <w:vMerge/>
            <w:tcBorders/>
          </w:tcPr>
          <w:p/>
        </w:tc>
        <w:tc>
          <w:tcPr>
            <w:tcW w:type="dxa" w:w="8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</w:tr>
      <w:tr>
        <w:trPr>
          <w:trHeight w:hRule="exact" w:val="328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translation adjustment losses during the period.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  <w:tc>
          <w:tcPr>
            <w:tcW w:type="dxa" w:w="1341"/>
            <w:vMerge/>
            <w:tcBorders>
              <w:top w:sz="6.0" w:val="single" w:color="#E5E6E5"/>
            </w:tcBorders>
          </w:tcPr>
          <w:p/>
        </w:tc>
      </w:tr>
    </w:tbl>
    <w:p>
      <w:pPr>
        <w:autoSpaceDN w:val="0"/>
        <w:autoSpaceDE w:val="0"/>
        <w:widowControl/>
        <w:spacing w:line="240" w:lineRule="exact" w:before="34" w:after="0"/>
        <w:ind w:left="4" w:right="5014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Concessional Partner Loans at amortized cost: As of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September 30, 2024, Concessional Partner Loans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(CPL) carried at amortized cost were $7.5 billion, an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of $0.5 billion from June 30, 2024. </w:t>
      </w:r>
    </w:p>
    <w:p>
      <w:pPr>
        <w:autoSpaceDN w:val="0"/>
        <w:autoSpaceDE w:val="0"/>
        <w:widowControl/>
        <w:spacing w:line="222" w:lineRule="exact" w:before="138" w:after="31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See Section IV: Financial Results.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308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6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/>
                <w:i w:val="0"/>
                <w:color w:val="000000"/>
                <w:sz w:val="22"/>
              </w:rPr>
              <w:t>Equity and Capital Adequacy</w:t>
            </w:r>
          </w:p>
        </w:tc>
        <w:tc>
          <w:tcPr>
            <w:tcW w:type="dxa" w:w="780"/>
            <w:vMerge w:val="restart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74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0" w:after="0"/>
              <w:ind w:left="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  <w:tr>
        <w:trPr>
          <w:trHeight w:hRule="exact" w:val="300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7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As of September 30, 2024, IDA's equity was $194.7 </w:t>
            </w:r>
          </w:p>
        </w:tc>
        <w:tc>
          <w:tcPr>
            <w:tcW w:type="dxa" w:w="1341"/>
            <w:vMerge/>
            <w:tcBorders>
              <w:bottom w:sz="6.0086469650268555" w:val="single" w:color="#E5E6E5"/>
            </w:tcBorders>
          </w:tcPr>
          <w:p/>
        </w:tc>
        <w:tc>
          <w:tcPr>
            <w:tcW w:type="dxa" w:w="3742"/>
            <w:gridSpan w:val="5"/>
            <w:vMerge w:val="restart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9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</w:t>
            </w:r>
          </w:p>
        </w:tc>
      </w:tr>
      <w:tr>
        <w:trPr>
          <w:trHeight w:hRule="exact" w:val="221"/>
        </w:trPr>
        <w:tc>
          <w:tcPr>
            <w:tcW w:type="dxa" w:w="4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billion, an increase of $4.4 billion from June 30, </w:t>
            </w:r>
          </w:p>
        </w:tc>
        <w:tc>
          <w:tcPr>
            <w:tcW w:type="dxa" w:w="1341"/>
            <w:vMerge/>
            <w:tcBorders>
              <w:bottom w:sz="6.0086469650268555" w:val="single" w:color="#E5E6E5"/>
            </w:tcBorders>
          </w:tcPr>
          <w:p/>
        </w:tc>
        <w:tc>
          <w:tcPr>
            <w:tcW w:type="dxa" w:w="6705"/>
            <w:gridSpan w:val="5"/>
            <w:vMerge/>
            <w:tcBorders>
              <w:bottom w:sz="6.0086469650268555" w:val="single" w:color="#E5E6E5"/>
            </w:tcBorders>
          </w:tcPr>
          <w:p/>
        </w:tc>
      </w:tr>
      <w:tr>
        <w:trPr>
          <w:trHeight w:hRule="exact" w:val="119"/>
        </w:trPr>
        <w:tc>
          <w:tcPr>
            <w:tcW w:type="dxa" w:w="48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36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2024. The increase was primarily due to currency </w:t>
            </w:r>
          </w:p>
        </w:tc>
        <w:tc>
          <w:tcPr>
            <w:tcW w:type="dxa" w:w="78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250</w:t>
            </w:r>
          </w:p>
        </w:tc>
        <w:tc>
          <w:tcPr>
            <w:tcW w:type="dxa" w:w="3742"/>
            <w:gridSpan w:val="5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30" w:after="0"/>
              <w:ind w:left="16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73300" cy="889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3300" cy="88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40"/>
        </w:trPr>
        <w:tc>
          <w:tcPr>
            <w:tcW w:type="dxa" w:w="1341"/>
            <w:vMerge/>
            <w:tcBorders/>
          </w:tcPr>
          <w:p/>
        </w:tc>
        <w:tc>
          <w:tcPr>
            <w:tcW w:type="dxa" w:w="7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200</w:t>
            </w:r>
          </w:p>
        </w:tc>
        <w:tc>
          <w:tcPr>
            <w:tcW w:type="dxa" w:w="6705"/>
            <w:gridSpan w:val="5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</w:tr>
      <w:tr>
        <w:trPr>
          <w:trHeight w:hRule="exact" w:val="120"/>
        </w:trPr>
        <w:tc>
          <w:tcPr>
            <w:tcW w:type="dxa" w:w="4820"/>
            <w:vMerge w:val="restart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translation gains as the SDR appreciated against the </w:t>
            </w:r>
          </w:p>
        </w:tc>
        <w:tc>
          <w:tcPr>
            <w:tcW w:type="dxa" w:w="1341"/>
            <w:vMerge/>
            <w:tcBorders/>
          </w:tcPr>
          <w:p/>
        </w:tc>
        <w:tc>
          <w:tcPr>
            <w:tcW w:type="dxa" w:w="6705"/>
            <w:gridSpan w:val="5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</w:tr>
      <w:tr>
        <w:trPr>
          <w:trHeight w:hRule="exact" w:val="130"/>
        </w:trPr>
        <w:tc>
          <w:tcPr>
            <w:tcW w:type="dxa" w:w="1341"/>
            <w:vMerge/>
            <w:tcBorders>
              <w:bottom w:sz="6.0086469650268555" w:val="single" w:color="#E5E6E5"/>
            </w:tcBorders>
          </w:tcPr>
          <w:p/>
        </w:tc>
        <w:tc>
          <w:tcPr>
            <w:tcW w:type="dxa" w:w="780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5"/>
            <w:gridSpan w:val="5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</w:tr>
      <w:tr>
        <w:trPr>
          <w:trHeight w:hRule="exact" w:val="110"/>
        </w:trPr>
        <w:tc>
          <w:tcPr>
            <w:tcW w:type="dxa" w:w="482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U.S. dollar and subscriptions and contributions paid-</w:t>
            </w:r>
          </w:p>
        </w:tc>
        <w:tc>
          <w:tcPr>
            <w:tcW w:type="dxa" w:w="78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150</w:t>
            </w:r>
          </w:p>
        </w:tc>
        <w:tc>
          <w:tcPr>
            <w:tcW w:type="dxa" w:w="3742"/>
            <w:gridSpan w:val="5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30"/>
        </w:trPr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780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5"/>
            <w:gridSpan w:val="5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</w:tr>
      <w:tr>
        <w:trPr>
          <w:trHeight w:hRule="exact" w:val="130"/>
        </w:trPr>
        <w:tc>
          <w:tcPr>
            <w:tcW w:type="dxa" w:w="482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6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in, partially offset by the net loss during the period. </w:t>
            </w:r>
          </w:p>
        </w:tc>
        <w:tc>
          <w:tcPr>
            <w:tcW w:type="dxa" w:w="78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100</w:t>
            </w:r>
          </w:p>
        </w:tc>
        <w:tc>
          <w:tcPr>
            <w:tcW w:type="dxa" w:w="3742"/>
            <w:gridSpan w:val="5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4"/>
        </w:trPr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780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5"/>
            <w:gridSpan w:val="5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</w:tr>
      <w:tr>
        <w:trPr>
          <w:trHeight w:hRule="exact" w:val="136"/>
        </w:trPr>
        <w:tc>
          <w:tcPr>
            <w:tcW w:type="dxa" w:w="4820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See Section IV: Financial Results.</w:t>
            </w:r>
          </w:p>
        </w:tc>
        <w:tc>
          <w:tcPr>
            <w:tcW w:type="dxa" w:w="78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50</w:t>
            </w:r>
          </w:p>
        </w:tc>
        <w:tc>
          <w:tcPr>
            <w:tcW w:type="dxa" w:w="3742"/>
            <w:gridSpan w:val="5"/>
            <w:vMerge w:val="restart"/>
            <w:tcBorders>
              <w:top w:sz="6.0086469650268555" w:val="single" w:color="#E5E6E5"/>
              <w:bottom w:sz="6.0086469650268555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20"/>
        </w:trPr>
        <w:tc>
          <w:tcPr>
            <w:tcW w:type="dxa" w:w="1341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  <w:tc>
          <w:tcPr>
            <w:tcW w:type="dxa" w:w="780"/>
            <w:tcBorders>
              <w:bottom w:sz="6.008646965026855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5"/>
            <w:gridSpan w:val="5"/>
            <w:vMerge/>
            <w:tcBorders>
              <w:top w:sz="6.0086469650268555" w:val="single" w:color="#E5E6E5"/>
              <w:bottom w:sz="6.0086469650268555" w:val="single" w:color="#E5E6E5"/>
            </w:tcBorders>
          </w:tcPr>
          <w:p/>
        </w:tc>
      </w:tr>
      <w:tr>
        <w:trPr>
          <w:trHeight w:hRule="exact" w:val="370"/>
        </w:trPr>
        <w:tc>
          <w:tcPr>
            <w:tcW w:type="dxa" w:w="482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84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21</w:t>
            </w:r>
          </w:p>
        </w:tc>
        <w:tc>
          <w:tcPr>
            <w:tcW w:type="dxa" w:w="72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22</w:t>
            </w:r>
          </w:p>
        </w:tc>
        <w:tc>
          <w:tcPr>
            <w:tcW w:type="dxa" w:w="72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23</w:t>
            </w:r>
          </w:p>
        </w:tc>
        <w:tc>
          <w:tcPr>
            <w:tcW w:type="dxa" w:w="700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24</w:t>
            </w:r>
          </w:p>
        </w:tc>
        <w:tc>
          <w:tcPr>
            <w:tcW w:type="dxa" w:w="762"/>
            <w:tcBorders>
              <w:top w:sz="6.0086469650268555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Sep 24</w:t>
            </w:r>
          </w:p>
        </w:tc>
      </w:tr>
    </w:tbl>
    <w:p>
      <w:pPr>
        <w:autoSpaceDN w:val="0"/>
        <w:autoSpaceDE w:val="0"/>
        <w:widowControl/>
        <w:spacing w:line="178" w:lineRule="exact" w:before="282" w:after="28"/>
        <w:ind w:left="0" w:right="224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Ratio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  <w:gridCol w:w="782"/>
      </w:tblGrid>
      <w:tr>
        <w:trPr>
          <w:trHeight w:hRule="exact" w:val="402"/>
        </w:trPr>
        <w:tc>
          <w:tcPr>
            <w:tcW w:type="dxa" w:w="4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The Deployable Strategic Capital (DSC) ratio, IDA's </w:t>
            </w:r>
          </w:p>
        </w:tc>
        <w:tc>
          <w:tcPr>
            <w:tcW w:type="dxa" w:w="800"/>
            <w:vMerge w:val="restart"/>
            <w:tcBorders>
              <w:bottom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7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Deployable Strategic Capital Ratio</w:t>
            </w:r>
          </w:p>
        </w:tc>
      </w:tr>
      <w:tr>
        <w:trPr>
          <w:trHeight w:hRule="exact" w:val="240"/>
        </w:trPr>
        <w:tc>
          <w:tcPr>
            <w:tcW w:type="dxa" w:w="4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1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main capital adequacy measure, was 32.1% as of </w:t>
            </w:r>
          </w:p>
        </w:tc>
        <w:tc>
          <w:tcPr>
            <w:tcW w:type="dxa" w:w="782"/>
            <w:vMerge/>
            <w:tcBorders>
              <w:bottom w:sz="6.020586967468262" w:val="single" w:color="#E5E6E5"/>
            </w:tcBorders>
          </w:tcPr>
          <w:p/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78" w:after="0"/>
              <w:ind w:left="7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DSC Ratio - Current Approach</w:t>
            </w:r>
          </w:p>
        </w:tc>
      </w:tr>
      <w:tr>
        <w:trPr>
          <w:trHeight w:hRule="exact" w:val="260"/>
        </w:trPr>
        <w:tc>
          <w:tcPr>
            <w:tcW w:type="dxa" w:w="4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September 30, 2024 (34.8% as of June 30, 2024), </w:t>
            </w:r>
          </w:p>
        </w:tc>
        <w:tc>
          <w:tcPr>
            <w:tcW w:type="dxa" w:w="782"/>
            <w:vMerge/>
            <w:tcBorders>
              <w:bottom w:sz="6.020586967468262" w:val="single" w:color="#E5E6E5"/>
            </w:tcBorders>
          </w:tcPr>
          <w:p/>
        </w:tc>
        <w:tc>
          <w:tcPr>
            <w:tcW w:type="dxa" w:w="360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4" w:lineRule="exact" w:before="50" w:after="0"/>
              <w:ind w:left="70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595959"/>
                <w:sz w:val="12"/>
              </w:rPr>
              <w:t>DSC Ratio - Previous Approach</w:t>
            </w:r>
          </w:p>
        </w:tc>
      </w:tr>
      <w:tr>
        <w:trPr>
          <w:trHeight w:hRule="exact" w:val="90"/>
        </w:trPr>
        <w:tc>
          <w:tcPr>
            <w:tcW w:type="dxa" w:w="482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above the zero percent policy minimum. In April </w:t>
            </w:r>
          </w:p>
        </w:tc>
        <w:tc>
          <w:tcPr>
            <w:tcW w:type="dxa" w:w="782"/>
            <w:vMerge/>
            <w:tcBorders>
              <w:bottom w:sz="6.020586967468262" w:val="single" w:color="#E5E6E5"/>
            </w:tcBorders>
          </w:tcPr>
          <w:p/>
        </w:tc>
        <w:tc>
          <w:tcPr>
            <w:tcW w:type="dxa" w:w="3910"/>
            <w:gridSpan w:val="5"/>
            <w:vMerge/>
            <w:tcBorders/>
          </w:tcPr>
          <w:p/>
        </w:tc>
      </w:tr>
      <w:tr>
        <w:trPr>
          <w:trHeight w:hRule="exact" w:val="130"/>
        </w:trPr>
        <w:tc>
          <w:tcPr>
            <w:tcW w:type="dxa" w:w="4692"/>
            <w:gridSpan w:val="6"/>
            <w:vMerge/>
            <w:tcBorders/>
          </w:tcPr>
          <w:p/>
        </w:tc>
        <w:tc>
          <w:tcPr>
            <w:tcW w:type="dxa" w:w="800"/>
            <w:tcBorders>
              <w:top w:sz="6.020586967468262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45%</w:t>
            </w:r>
          </w:p>
        </w:tc>
        <w:tc>
          <w:tcPr>
            <w:tcW w:type="dxa" w:w="3910"/>
            <w:gridSpan w:val="5"/>
            <w:vMerge/>
            <w:tcBorders/>
          </w:tcPr>
          <w:p/>
        </w:tc>
      </w:tr>
      <w:tr>
        <w:trPr>
          <w:trHeight w:hRule="exact" w:val="200"/>
        </w:trPr>
        <w:tc>
          <w:tcPr>
            <w:tcW w:type="dxa" w:w="4820"/>
            <w:gridSpan w:val="6"/>
            <w:vMerge w:val="restart"/>
            <w:tcBorders>
              <w:bottom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2024, IDA's Board approved enhancements to the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30%</w:t>
            </w:r>
          </w:p>
        </w:tc>
        <w:tc>
          <w:tcPr>
            <w:tcW w:type="dxa" w:w="36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0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943100" cy="1524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31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76"/>
        </w:trPr>
        <w:tc>
          <w:tcPr>
            <w:tcW w:type="dxa" w:w="4692"/>
            <w:gridSpan w:val="6"/>
            <w:vMerge/>
            <w:tcBorders>
              <w:bottom w:sz="6.020586967468262" w:val="single" w:color="#E5E6E5"/>
            </w:tcBorders>
          </w:tcPr>
          <w:p/>
        </w:tc>
        <w:tc>
          <w:tcPr>
            <w:tcW w:type="dxa" w:w="800"/>
            <w:tcBorders>
              <w:bottom w:sz="6.020586967468262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2" w:after="0"/>
              <w:ind w:left="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Jun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Jun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Jun </w:t>
            </w:r>
          </w:p>
        </w:tc>
        <w:tc>
          <w:tcPr>
            <w:tcW w:type="dxa" w:w="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Jun </w:t>
            </w:r>
          </w:p>
        </w:tc>
        <w:tc>
          <w:tcPr>
            <w:tcW w:type="dxa" w:w="7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Sep </w:t>
            </w:r>
          </w:p>
        </w:tc>
      </w:tr>
      <w:tr>
        <w:trPr>
          <w:trHeight w:hRule="exact" w:val="106"/>
        </w:trPr>
        <w:tc>
          <w:tcPr>
            <w:tcW w:type="dxa" w:w="540"/>
            <w:vMerge w:val="restart"/>
            <w:tcBorders>
              <w:top w:sz="6.020586967468262" w:val="single" w:color="#E5E6E5"/>
              <w:bottom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DSC </w:t>
            </w:r>
          </w:p>
        </w:tc>
        <w:tc>
          <w:tcPr>
            <w:tcW w:type="dxa" w:w="1140"/>
            <w:vMerge w:val="restart"/>
            <w:tcBorders>
              <w:top w:sz="6.020586967468262" w:val="single" w:color="#E5E6E5"/>
              <w:bottom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framework, </w:t>
            </w:r>
          </w:p>
        </w:tc>
        <w:tc>
          <w:tcPr>
            <w:tcW w:type="dxa" w:w="700"/>
            <w:vMerge w:val="restart"/>
            <w:tcBorders>
              <w:top w:sz="6.020586967468262" w:val="single" w:color="#E5E6E5"/>
              <w:bottom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which </w:t>
            </w:r>
          </w:p>
        </w:tc>
        <w:tc>
          <w:tcPr>
            <w:tcW w:type="dxa" w:w="660"/>
            <w:vMerge w:val="restart"/>
            <w:tcBorders>
              <w:top w:sz="6.020586967468262" w:val="single" w:color="#E5E6E5"/>
              <w:bottom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allow </w:t>
            </w:r>
          </w:p>
        </w:tc>
        <w:tc>
          <w:tcPr>
            <w:tcW w:type="dxa" w:w="460"/>
            <w:vMerge w:val="restart"/>
            <w:tcBorders>
              <w:top w:sz="6.020586967468262" w:val="single" w:color="#E5E6E5"/>
              <w:bottom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0" w:right="0" w:firstLine="0"/>
              <w:jc w:val="center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320"/>
            <w:vMerge w:val="restart"/>
            <w:tcBorders>
              <w:top w:sz="6.020586967468262" w:val="single" w:color="#E5E6E5"/>
              <w:bottom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86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increased </w:t>
            </w:r>
          </w:p>
        </w:tc>
        <w:tc>
          <w:tcPr>
            <w:tcW w:type="dxa" w:w="800"/>
            <w:tcBorders>
              <w:top w:sz="6.020586967468262" w:val="single" w:color="#E5E6E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15%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</w:tr>
      <w:tr>
        <w:trPr>
          <w:trHeight w:hRule="exact" w:val="90"/>
        </w:trPr>
        <w:tc>
          <w:tcPr>
            <w:tcW w:type="dxa" w:w="782"/>
            <w:vMerge/>
            <w:tcBorders>
              <w:top w:sz="6.020586967468262" w:val="single" w:color="#E5E6E5"/>
              <w:bottom w:sz="6.020586967468262" w:val="single" w:color="#E5E6E5"/>
            </w:tcBorders>
          </w:tcPr>
          <w:p/>
        </w:tc>
        <w:tc>
          <w:tcPr>
            <w:tcW w:type="dxa" w:w="782"/>
            <w:vMerge/>
            <w:tcBorders>
              <w:top w:sz="6.020586967468262" w:val="single" w:color="#E5E6E5"/>
              <w:bottom w:sz="6.020586967468262" w:val="single" w:color="#E5E6E5"/>
            </w:tcBorders>
          </w:tcPr>
          <w:p/>
        </w:tc>
        <w:tc>
          <w:tcPr>
            <w:tcW w:type="dxa" w:w="782"/>
            <w:vMerge/>
            <w:tcBorders>
              <w:top w:sz="6.020586967468262" w:val="single" w:color="#E5E6E5"/>
              <w:bottom w:sz="6.020586967468262" w:val="single" w:color="#E5E6E5"/>
            </w:tcBorders>
          </w:tcPr>
          <w:p/>
        </w:tc>
        <w:tc>
          <w:tcPr>
            <w:tcW w:type="dxa" w:w="782"/>
            <w:vMerge/>
            <w:tcBorders>
              <w:top w:sz="6.020586967468262" w:val="single" w:color="#E5E6E5"/>
              <w:bottom w:sz="6.020586967468262" w:val="single" w:color="#E5E6E5"/>
            </w:tcBorders>
          </w:tcPr>
          <w:p/>
        </w:tc>
        <w:tc>
          <w:tcPr>
            <w:tcW w:type="dxa" w:w="782"/>
            <w:vMerge/>
            <w:tcBorders>
              <w:top w:sz="6.020586967468262" w:val="single" w:color="#E5E6E5"/>
              <w:bottom w:sz="6.020586967468262" w:val="single" w:color="#E5E6E5"/>
            </w:tcBorders>
          </w:tcPr>
          <w:p/>
        </w:tc>
        <w:tc>
          <w:tcPr>
            <w:tcW w:type="dxa" w:w="782"/>
            <w:vMerge/>
            <w:tcBorders>
              <w:top w:sz="6.020586967468262" w:val="single" w:color="#E5E6E5"/>
              <w:bottom w:sz="6.020586967468262" w:val="single" w:color="#E5E6E5"/>
            </w:tcBorders>
          </w:tcPr>
          <w:p/>
        </w:tc>
        <w:tc>
          <w:tcPr>
            <w:tcW w:type="dxa" w:w="800"/>
            <w:tcBorders>
              <w:bottom w:sz="6.020586967468262" w:val="single" w:color="#E5E6E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</w:tr>
      <w:tr>
        <w:trPr>
          <w:trHeight w:hRule="exact" w:val="288"/>
        </w:trPr>
        <w:tc>
          <w:tcPr>
            <w:tcW w:type="dxa" w:w="4820"/>
            <w:gridSpan w:val="6"/>
            <w:tcBorders>
              <w:top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28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 xml:space="preserve">efficiency of capital utilization. See Section V: Risk </w:t>
            </w:r>
          </w:p>
        </w:tc>
        <w:tc>
          <w:tcPr>
            <w:tcW w:type="dxa" w:w="800"/>
            <w:vMerge w:val="restart"/>
            <w:tcBorders>
              <w:top w:sz="6.020586967468262" w:val="single" w:color="#E5E6E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0%</w:t>
            </w:r>
          </w:p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  <w:tc>
          <w:tcPr>
            <w:tcW w:type="dxa" w:w="782"/>
            <w:vMerge/>
            <w:tcBorders/>
          </w:tcPr>
          <w:p/>
        </w:tc>
      </w:tr>
      <w:tr>
        <w:trPr>
          <w:trHeight w:hRule="exact" w:val="248"/>
        </w:trPr>
        <w:tc>
          <w:tcPr>
            <w:tcW w:type="dxa" w:w="482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2" w:lineRule="exact" w:before="0" w:after="0"/>
              <w:ind w:left="20" w:right="0" w:firstLine="0"/>
              <w:jc w:val="left"/>
            </w:pPr>
            <w:r>
              <w:rPr>
                <w:rFonts w:ascii="TimesNewRoman" w:hAnsi="TimesNewRoman" w:eastAsia="TimesNewRoman"/>
                <w:b w:val="0"/>
                <w:i w:val="0"/>
                <w:color w:val="000000"/>
                <w:sz w:val="20"/>
              </w:rPr>
              <w:t>Management.</w:t>
            </w:r>
          </w:p>
        </w:tc>
        <w:tc>
          <w:tcPr>
            <w:tcW w:type="dxa" w:w="782"/>
            <w:vMerge/>
            <w:tcBorders>
              <w:top w:sz="6.020586967468262" w:val="single" w:color="#E5E6E5"/>
            </w:tcBorders>
          </w:tcPr>
          <w:p/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11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21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22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23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156" w:lineRule="exact" w:before="34" w:after="0"/>
        <w:ind w:left="0" w:right="1184" w:firstLine="0"/>
        <w:jc w:val="right"/>
      </w:pPr>
      <w:r>
        <w:rPr>
          <w:rFonts w:ascii="Arial" w:hAnsi="Arial" w:eastAsia="Arial"/>
          <w:b/>
          <w:i w:val="0"/>
          <w:color w:val="595959"/>
          <w:sz w:val="14"/>
        </w:rPr>
        <w:t>Policy Minimum ratio = 0%</w:t>
      </w:r>
    </w:p>
    <w:p>
      <w:pPr>
        <w:autoSpaceDN w:val="0"/>
        <w:tabs>
          <w:tab w:pos="9200" w:val="left"/>
        </w:tabs>
        <w:autoSpaceDE w:val="0"/>
        <w:widowControl/>
        <w:spacing w:line="224" w:lineRule="exact" w:before="1326" w:after="0"/>
        <w:ind w:left="20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September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5</w:t>
      </w:r>
    </w:p>
    <w:p>
      <w:pPr>
        <w:sectPr>
          <w:type w:val="continuous"/>
          <w:pgSz w:w="12240" w:h="15840"/>
          <w:pgMar w:top="280" w:right="1416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II: Overview</w:t>
            </w:r>
          </w:p>
        </w:tc>
      </w:tr>
    </w:tbl>
    <w:p>
      <w:pPr>
        <w:autoSpaceDN w:val="0"/>
        <w:autoSpaceDE w:val="0"/>
        <w:widowControl/>
        <w:spacing w:line="314" w:lineRule="exact" w:before="31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II: Overview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IDA Replenishment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Generally, every three years, representatives of IDA’s members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3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meet to assess IDA’s financial capacity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medium-term demand for new IDA financing. Members decide on the policy framework, agree on the amount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financing to be made available for the replenishment period, and commit to additional contributions of equity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required to meet these goals. The meetings culminate in a replenishment agreement that determines the size,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sources (both internal and external), and uses of funds for the replenishment period. 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Twentieth Replenishment of Resources (IDA20)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Twentieth Replenishment, the replenishment period of FY23 through FY25, commenced on July 1, 2022,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with a financing envelope of $93.0 billion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4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, including $11.0 billion of IDA19 carry over, supported by $23.5 billion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member contributions. IDA20 recognizes the need to help address the profound challenges faced by IDA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countries. IDA20 reaffirms the international community’s commitment to scale up support to enable IDA countries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respond to the effects of the coronavirus disease (COVID-19) pandemic crisis, recoup their development losses,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resume progress toward the 2030 Sustainable Development goals. IDA20 supports the world’s poorest and most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vulnerable countries to emerge on a development path in line with the Green, Resilient and Inclusive Development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(GRID) framework. IDA20 builds on the IDA19 special themes, with the continuation of climate change, fragility,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conflict, and violence (FCV), gender and development, jobs and economic transformation and the introduction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human capital as a special theme in IDA20. In addition, IDA20’s policy package incorporates four cross-cutting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issues: crisis preparedness (introduced in IDA20), governance and institutions, debt, and technology. During FY24,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results and implementation progress of IDA20 were reviewed by Management. The review acknowledged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surge financing and additional volumes provided to IDA countries to address overlapping crises in FY23,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compounding effect of a stronger US dollar resulted in a projected financing gap, relative to the amount when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IDA20 financial capacity was negotiated. Management proposed, and the Board approved, a number of adjustments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 the IDA operational and financial framework to close this gap and meet initially planned financial targets.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Instruments of Commitment (IoCs) from members of $23.5 billion had been received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towards the IDA20 replenishment.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IDA Crisis Facility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2023, IDA's Board of Governors adopted a Resolution to establish a Crisis Facility to scale up support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world’s poorest countries to address worsening development challenges due to the overlapping global crises,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particularly food insecurity and extreme climate events. The Crisis Facility has two objectives: i) to provide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additional resources to IDA countries affected by Russia’s invasion of Ukraine at a time of compounding,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overlapping global crises; and ii) to provide a mechanism for pooling and leveraging contributions to support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Ukraine, and neighboring Moldova. This facility is supported by member contributions and is one of the measures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enhance IDA's financing capacity in IDA20. As of September 30, 2024, $783 million of member contributions had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been received by the facility, of which $687 million were cash contributions. 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Financial Business Model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has financed its operations over the years with its own equity, including regular additions to equity provided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 countries as part of the replenishment process. As a result of the strong support from member countries,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has built up a substantial equity base of $194.7 billion as of September 30, 2024. Since FY18, IDA has shifted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a hybrid financial model by introducing market debt into its business model. By prudently leveraging its equity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blending market debt with equity contributions from members, IDA has increased its financial efficiency,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scaled up its financing to support the escalating demand for its resources to deliver on the following priorities:</w:t>
      </w:r>
    </w:p>
    <w:p>
      <w:pPr>
        <w:autoSpaceDN w:val="0"/>
        <w:autoSpaceDE w:val="0"/>
        <w:widowControl/>
        <w:spacing w:line="170" w:lineRule="exact" w:before="774" w:after="0"/>
        <w:ind w:left="100" w:right="28" w:hanging="90"/>
        <w:jc w:val="both"/>
      </w:pPr>
      <w:r>
        <w:rPr>
          <w:w w:val="103.99999618530273"/>
          <w:rFonts w:ascii="Arial" w:hAnsi="Arial" w:eastAsia="Arial"/>
          <w:b w:val="0"/>
          <w:i/>
          <w:color w:val="000000"/>
          <w:sz w:val="10"/>
        </w:rPr>
        <w:t>3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IDA’s members are owners and hold voting rights in IDA. Members do not, however, hold shares in IDA and are therefore not referred to as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shareholders. Payments for subscriptions and contributions from members increase IDA’s paid-in equity and are financially equivalent to paid-in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capital in multilateral development organizations that issue shares. IDA members have the same ownership rights as shareholders in other MDBs. 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For example, should IDA ever permanently suspend its operations, each member would receive a pro rata share of IDA’s net assets in proportion to </w:t>
      </w:r>
      <w:r>
        <w:rPr>
          <w:rFonts w:ascii="Arial" w:hAnsi="Arial" w:eastAsia="Arial"/>
          <w:b w:val="0"/>
          <w:i/>
          <w:color w:val="000000"/>
          <w:sz w:val="14"/>
        </w:rPr>
        <w:t>the amounts it originally paid in and invested in IDA.</w:t>
      </w:r>
    </w:p>
    <w:p>
      <w:pPr>
        <w:autoSpaceDN w:val="0"/>
        <w:tabs>
          <w:tab w:pos="100" w:val="left"/>
        </w:tabs>
        <w:autoSpaceDE w:val="0"/>
        <w:widowControl/>
        <w:spacing w:line="178" w:lineRule="exact" w:before="18" w:after="0"/>
        <w:ind w:left="10" w:right="0" w:firstLine="0"/>
        <w:jc w:val="left"/>
      </w:pPr>
      <w:r>
        <w:rPr>
          <w:w w:val="103.99999618530273"/>
          <w:rFonts w:ascii="Arial" w:hAnsi="Arial" w:eastAsia="Arial"/>
          <w:b w:val="0"/>
          <w:i/>
          <w:color w:val="000000"/>
          <w:sz w:val="10"/>
        </w:rPr>
        <w:t>4</w:t>
      </w:r>
      <w:r>
        <w:rPr>
          <w:rFonts w:ascii="Arial" w:hAnsi="Arial" w:eastAsia="Arial"/>
          <w:b w:val="0"/>
          <w:i/>
          <w:color w:val="000000"/>
          <w:sz w:val="14"/>
        </w:rPr>
        <w:t xml:space="preserve">U.S. dollar amounts are based on IDA20 reference rate of USD/SDR 1.42934. The U.S. dollar amounts are provided for reporting purposes only, as </w:t>
      </w:r>
      <w:r>
        <w:rPr>
          <w:rFonts w:ascii="Arial" w:hAnsi="Arial" w:eastAsia="Arial"/>
          <w:b w:val="0"/>
          <w:i/>
          <w:color w:val="000000"/>
          <w:sz w:val="14"/>
        </w:rPr>
        <w:t>IDA’s balance sheet is predominantly managed in SDR.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5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September 30, 2024</w:t>
      </w:r>
    </w:p>
    <w:p>
      <w:pPr>
        <w:sectPr>
          <w:pgSz w:w="12240" w:h="15840"/>
          <w:pgMar w:top="280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5"/>
        <w:gridCol w:w="4715"/>
      </w:tblGrid>
      <w:tr>
        <w:trPr>
          <w:trHeight w:hRule="exact" w:val="284"/>
        </w:trPr>
        <w:tc>
          <w:tcPr>
            <w:tcW w:type="dxa" w:w="3956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II: Overview</w:t>
            </w:r>
          </w:p>
        </w:tc>
      </w:tr>
    </w:tbl>
    <w:p>
      <w:pPr>
        <w:autoSpaceDN w:val="0"/>
        <w:autoSpaceDE w:val="0"/>
        <w:widowControl/>
        <w:spacing w:line="222" w:lineRule="exact" w:before="26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Provide concessional financing on terms that respond to clients’ needs; and</w:t>
      </w:r>
    </w:p>
    <w:p>
      <w:pPr>
        <w:autoSpaceDN w:val="0"/>
        <w:tabs>
          <w:tab w:pos="180" w:val="left"/>
        </w:tabs>
        <w:autoSpaceDE w:val="0"/>
        <w:widowControl/>
        <w:spacing w:line="240" w:lineRule="exact" w:before="6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Ensure long-term financial sustainability of IDA’s financial model through a prudent risk management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framework.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Currently, IDA's non-concessional and concessional lending, including grants, is primarily financed by IDA’s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equity. As IDA’s funding program expands under the hybrid financing model, a larger portion of lending will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funded by market debt, together with member countries’ contributions (equity). Funds not deployed for lending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maintained in IDA’s investment portfolio to supply liquidity for its operations, which will also be increasingly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funded with debt. </w:t>
      </w:r>
    </w:p>
    <w:p>
      <w:pPr>
        <w:autoSpaceDN w:val="0"/>
        <w:autoSpaceDE w:val="0"/>
        <w:widowControl/>
        <w:spacing w:line="268" w:lineRule="exact" w:before="136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Basis of Reporting</w:t>
      </w:r>
    </w:p>
    <w:p>
      <w:pPr>
        <w:autoSpaceDN w:val="0"/>
        <w:autoSpaceDE w:val="0"/>
        <w:widowControl/>
        <w:spacing w:line="240" w:lineRule="exact" w:before="124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prepares its financial statements in conformity with accounting principles generally accepted in the United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States of America (U.S. GAAP). IDA’s reporting currency is the U.S. dollar. IDA’s functional currencies are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SDR and its component currencies of the U.S. dollar, euro, Japanese yen, pound sterling and Chinese renminbi.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uses net income as the basis for deriving adjusted net income, as discussed in Section IV: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Results.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Adjusted Net Income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Adjusted Net Income (ANI), a non-GAAP measure, reflects the economic results of IDA’s operations and is used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management and the Board as a financial sustainability measure. ANI is defined as IDA’s net income,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adjusted to exclude certain items. After the effects of these adjustments, ANI generally reflects amounts which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realized, not restricted for specific uses, and not directly funded by members. For a detailed discussion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adjustments, see IDA’s MD&amp;A for the fiscal year ended June 30, 2024, Section IV: Financial Results.</w:t>
      </w:r>
    </w:p>
    <w:p>
      <w:pPr>
        <w:autoSpaceDN w:val="0"/>
        <w:tabs>
          <w:tab w:pos="9196" w:val="left"/>
        </w:tabs>
        <w:autoSpaceDE w:val="0"/>
        <w:widowControl/>
        <w:spacing w:line="224" w:lineRule="exact" w:before="8558" w:after="0"/>
        <w:ind w:left="209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September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7</w:t>
      </w:r>
    </w:p>
    <w:p>
      <w:pPr>
        <w:sectPr>
          <w:pgSz w:w="12240" w:h="15840"/>
          <w:pgMar w:top="280" w:right="1370" w:bottom="216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IDA's Financial Resources</w:t>
            </w:r>
          </w:p>
        </w:tc>
      </w:tr>
    </w:tbl>
    <w:p>
      <w:pPr>
        <w:autoSpaceDN w:val="0"/>
        <w:autoSpaceDE w:val="0"/>
        <w:widowControl/>
        <w:spacing w:line="314" w:lineRule="exact" w:before="31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III: IDA’s Financial Resources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IDA20 Funding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financing resource envelope available for lending and grant commitments is based on the long-term outlook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IDA’s financial sustainability. This takes into account the amount of member contributions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concessionality of the proposed financing to borrowers, market conditions, and capital adequacy requirements.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Allocation of IDA20 Resources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financing is provided in the form of loans, grants, and guarantees. Most of IDA’s resources are allocated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eligible members through IDA Country Allocations that provide unearmarked support. The allocation framework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agreed for each replenishment cycle. IDA Country Allocations are determined using the Performance 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Allocation (PBA) system, which takes into account the country’s performance rating (CPR), population size and per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 income, and complemented by the FCV envelope. The rest of IDA resources are provided through five IDA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Windows dedicated to addressing specific development priorities, and an Arrears Clearance framework that provides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exceptional support for countries to fully reengage with the World Bank.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IDA responds to specific needs of its members through the following five IDA Windows:</w:t>
      </w:r>
    </w:p>
    <w:p>
      <w:pPr>
        <w:autoSpaceDN w:val="0"/>
        <w:autoSpaceDE w:val="0"/>
        <w:widowControl/>
        <w:spacing w:line="17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Figure 1: IDA Windows</w:t>
      </w:r>
    </w:p>
    <w:p>
      <w:pPr>
        <w:autoSpaceDN w:val="0"/>
        <w:autoSpaceDE w:val="0"/>
        <w:widowControl/>
        <w:spacing w:line="240" w:lineRule="auto" w:before="102" w:after="0"/>
        <w:ind w:left="1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937760" cy="279781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27978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exact" w:before="40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Eligibility and the percentage of allocation of grants for IDA-only countries are based on an assessment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country’s risk of debt distress, where countries, including IDA-only Small States, with high risk of debt distress,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debt distress, receive their IDA assistance in grants. IDA-only Small States at moderate risk of debt distress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continue to receive half of their IDA20 allocation in grants and half in loans. Gap and Blend countries are only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eligible for grant financing through the Window for Host Communities and Refugees, if applicable.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part of IDA’s balance sheet optimization measures, two new financing terms were introduced in IDA20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carry no interest or service charges: a) Concessional Shorter-Maturity Loans (SMLs); and b) 50-year loans.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addition, starting from IDA20, borrowers are allowed to convert their concessional borrowing into one of the SDR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component currencies or non-SDR local currency terms, subject to market availability. 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231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September 30, 2024</w:t>
      </w:r>
    </w:p>
    <w:p>
      <w:pPr>
        <w:sectPr>
          <w:pgSz w:w="12240" w:h="15840"/>
          <w:pgMar w:top="280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III: IDA's Financial Resources</w:t>
            </w:r>
          </w:p>
        </w:tc>
      </w:tr>
    </w:tbl>
    <w:p>
      <w:pPr>
        <w:autoSpaceDN w:val="0"/>
        <w:autoSpaceDE w:val="0"/>
        <w:widowControl/>
        <w:spacing w:line="178" w:lineRule="exact" w:before="28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2: Cumulative Net Commitments under IDA20</w:t>
      </w:r>
    </w:p>
    <w:p>
      <w:pPr>
        <w:autoSpaceDN w:val="0"/>
        <w:autoSpaceDE w:val="0"/>
        <w:widowControl/>
        <w:spacing w:line="178" w:lineRule="exact" w:before="134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136" w:after="6"/>
        <w:ind w:left="0" w:right="2688" w:firstLine="0"/>
        <w:jc w:val="right"/>
      </w:pPr>
      <w:r>
        <w:rPr>
          <w:rFonts w:ascii="ArialMT" w:hAnsi="ArialMT" w:eastAsia="ArialMT"/>
          <w:b w:val="0"/>
          <w:i w:val="0"/>
          <w:color w:val="929292"/>
          <w:sz w:val="16"/>
        </w:rPr>
        <w:t xml:space="preserve">Loans and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58"/>
        <w:gridCol w:w="2358"/>
        <w:gridCol w:w="2358"/>
        <w:gridCol w:w="2358"/>
      </w:tblGrid>
      <w:tr>
        <w:trPr>
          <w:trHeight w:hRule="exact" w:val="214"/>
        </w:trPr>
        <w:tc>
          <w:tcPr>
            <w:tcW w:type="dxa" w:w="3884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929292"/>
                <w:sz w:val="16"/>
              </w:rPr>
              <w:t>As of September 30, 2024</w:t>
            </w:r>
          </w:p>
        </w:tc>
        <w:tc>
          <w:tcPr>
            <w:tcW w:type="dxa" w:w="32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4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929292"/>
                <w:sz w:val="16"/>
              </w:rPr>
              <w:t>Guarantees</w:t>
            </w:r>
          </w:p>
        </w:tc>
        <w:tc>
          <w:tcPr>
            <w:tcW w:type="dxa" w:w="1380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929292"/>
                <w:sz w:val="16"/>
              </w:rPr>
              <w:t>Grants</w:t>
            </w:r>
          </w:p>
        </w:tc>
        <w:tc>
          <w:tcPr>
            <w:tcW w:type="dxa" w:w="884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929292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3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Concessional financing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4.00000000000006" w:type="dxa"/>
      </w:tblPr>
      <w:tblGrid>
        <w:gridCol w:w="1887"/>
        <w:gridCol w:w="1887"/>
        <w:gridCol w:w="1887"/>
        <w:gridCol w:w="1887"/>
        <w:gridCol w:w="1887"/>
      </w:tblGrid>
      <w:tr>
        <w:trPr>
          <w:trHeight w:hRule="exact" w:val="240"/>
        </w:trPr>
        <w:tc>
          <w:tcPr>
            <w:tcW w:type="dxa" w:w="3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IDA Country Allocations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37,091 $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11,186 $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48,277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14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IDA Concessional Windows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7"/>
        <w:gridCol w:w="1887"/>
        <w:gridCol w:w="1887"/>
        <w:gridCol w:w="1887"/>
        <w:gridCol w:w="1887"/>
      </w:tblGrid>
      <w:tr>
        <w:trPr>
          <w:trHeight w:hRule="exact" w:val="228"/>
        </w:trPr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Regional Window</w:t>
            </w:r>
          </w:p>
        </w:tc>
        <w:tc>
          <w:tcPr>
            <w:tcW w:type="dxa" w:w="4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2,370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3,195 </w:t>
            </w:r>
          </w:p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5,565 </w:t>
            </w:r>
          </w:p>
        </w:tc>
      </w:tr>
      <w:tr>
        <w:trPr>
          <w:trHeight w:hRule="exact" w:val="240"/>
        </w:trPr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Window for Host Communities and Refugees</w:t>
            </w:r>
          </w:p>
        </w:tc>
        <w:tc>
          <w:tcPr>
            <w:tcW w:type="dxa" w:w="1887"/>
            <w:vMerge/>
            <w:tcBorders>
              <w:bottom w:sz="8.0" w:val="single" w:color="#000000"/>
            </w:tcBorders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350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1,453 </w:t>
            </w:r>
          </w:p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1,803 </w:t>
            </w:r>
          </w:p>
        </w:tc>
      </w:tr>
      <w:tr>
        <w:trPr>
          <w:trHeight w:hRule="exact" w:val="240"/>
        </w:trPr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Crisis Response Window</w:t>
            </w:r>
          </w:p>
        </w:tc>
        <w:tc>
          <w:tcPr>
            <w:tcW w:type="dxa" w:w="1887"/>
            <w:vMerge/>
            <w:tcBorders>
              <w:bottom w:sz="8.0" w:val="single" w:color="#000000"/>
            </w:tcBorders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759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1,963 </w:t>
            </w:r>
          </w:p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2,722 </w:t>
            </w:r>
          </w:p>
        </w:tc>
      </w:tr>
      <w:tr>
        <w:trPr>
          <w:trHeight w:hRule="exact" w:val="240"/>
        </w:trPr>
        <w:tc>
          <w:tcPr>
            <w:tcW w:type="dxa" w:w="5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6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Scale-up Window – Shorter Maturity Loans</w:t>
            </w:r>
          </w:p>
        </w:tc>
        <w:tc>
          <w:tcPr>
            <w:tcW w:type="dxa" w:w="1887"/>
            <w:vMerge/>
            <w:tcBorders>
              <w:bottom w:sz="8.0" w:val="single" w:color="#000000"/>
            </w:tcBorders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6,143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6,143 </w:t>
            </w:r>
          </w:p>
        </w:tc>
      </w:tr>
      <w:tr>
        <w:trPr>
          <w:trHeight w:hRule="exact" w:val="250"/>
        </w:trPr>
        <w:tc>
          <w:tcPr>
            <w:tcW w:type="dxa" w:w="54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Non-concessional financing – Scale-up Window and other</w:t>
            </w:r>
          </w:p>
        </w:tc>
        <w:tc>
          <w:tcPr>
            <w:tcW w:type="dxa" w:w="1887"/>
            <w:vMerge/>
            <w:tcBorders>
              <w:bottom w:sz="8.0" w:val="single" w:color="#000000"/>
            </w:tcBorders>
          </w:tcPr>
          <w:p/>
        </w:tc>
        <w:tc>
          <w:tcPr>
            <w:tcW w:type="dxa" w:w="1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5,635 </w:t>
            </w:r>
          </w:p>
        </w:tc>
        <w:tc>
          <w:tcPr>
            <w:tcW w:type="dxa" w:w="13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5,635 </w:t>
            </w:r>
          </w:p>
        </w:tc>
      </w:tr>
      <w:tr>
        <w:trPr>
          <w:trHeight w:hRule="exact" w:val="220"/>
        </w:trPr>
        <w:tc>
          <w:tcPr>
            <w:tcW w:type="dxa" w:w="544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Total Cumulative Net Commitments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a,b</w:t>
            </w:r>
          </w:p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52,348 $ </w:t>
            </w:r>
          </w:p>
        </w:tc>
        <w:tc>
          <w:tcPr>
            <w:tcW w:type="dxa" w:w="132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17,797 $ </w:t>
            </w:r>
          </w:p>
        </w:tc>
        <w:tc>
          <w:tcPr>
            <w:tcW w:type="dxa" w:w="85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70,145 </w:t>
            </w:r>
          </w:p>
        </w:tc>
      </w:tr>
    </w:tbl>
    <w:p>
      <w:pPr>
        <w:autoSpaceDN w:val="0"/>
        <w:tabs>
          <w:tab w:pos="236" w:val="left"/>
        </w:tabs>
        <w:autoSpaceDE w:val="0"/>
        <w:widowControl/>
        <w:spacing w:line="192" w:lineRule="exact" w:before="328" w:after="0"/>
        <w:ind w:left="56" w:right="86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Commitments are net of full cancellations and terminations relating to commitments approved in the same fiscal year.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Commitments exclude IDA-IFC-MIGA Private Sector Window (PSW) activities.</w:t>
      </w:r>
    </w:p>
    <w:p>
      <w:pPr>
        <w:autoSpaceDN w:val="0"/>
        <w:autoSpaceDE w:val="0"/>
        <w:widowControl/>
        <w:spacing w:line="180" w:lineRule="exact" w:before="60" w:after="0"/>
        <w:ind w:left="56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Excludes IDA19 Commitments of $1.2 billion credits approved in July 2022.</w:t>
      </w:r>
    </w:p>
    <w:p>
      <w:pPr>
        <w:autoSpaceDN w:val="0"/>
        <w:autoSpaceDE w:val="0"/>
        <w:widowControl/>
        <w:spacing w:line="244" w:lineRule="exact" w:before="202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Private Sector Window</w:t>
      </w:r>
    </w:p>
    <w:p>
      <w:pPr>
        <w:autoSpaceDN w:val="0"/>
        <w:autoSpaceDE w:val="0"/>
        <w:widowControl/>
        <w:spacing w:line="240" w:lineRule="exact" w:before="128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IDA-IFC-MIGA Private Sector Window was created under IDA18 to mobilize private sector investment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IDA-only countries and IDA-eligible Fragile and Conflict-affected Situations. Under IDA20, $2.5 billion has been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allocated to PSW, bringing the cumulative total allocation to $5.5 billion. As of September 30, 2024, $2.3 billion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had been utilized out of a cumulative combined total of $4.8 billion committed net of cancellations in IDA18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through IDA20.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PSW is deployed through facilities designed to target critical challenges faced by the private sector and will leverage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IFC and MIGA’s business platforms and instruments.</w:t>
      </w:r>
    </w:p>
    <w:p>
      <w:pPr>
        <w:autoSpaceDN w:val="0"/>
        <w:tabs>
          <w:tab w:pos="9200" w:val="left"/>
        </w:tabs>
        <w:autoSpaceDE w:val="0"/>
        <w:widowControl/>
        <w:spacing w:line="224" w:lineRule="exact" w:before="7568" w:after="0"/>
        <w:ind w:left="20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September 30, 2024 </w:t>
      </w:r>
      <w:r>
        <w:rPr>
          <w:rFonts w:ascii="ArialMT" w:hAnsi="ArialMT" w:eastAsia="ArialMT"/>
          <w:b w:val="0"/>
          <w:i w:val="0"/>
          <w:color w:val="000000"/>
          <w:sz w:val="20"/>
        </w:rPr>
        <w:t>9</w:t>
      </w:r>
    </w:p>
    <w:p>
      <w:pPr>
        <w:sectPr>
          <w:pgSz w:w="12240" w:h="15840"/>
          <w:pgMar w:top="280" w:right="1370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314" w:lineRule="exact" w:before="310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IV: Financial Results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Financial Results and Portfolio Performance</w:t>
      </w:r>
    </w:p>
    <w:p>
      <w:pPr>
        <w:autoSpaceDN w:val="0"/>
        <w:autoSpaceDE w:val="0"/>
        <w:widowControl/>
        <w:spacing w:line="244" w:lineRule="exact" w:before="13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Net (Loss) Income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net loss was $1,282 million in FY25 YTD, compared with net income of $62 million in FY24 YTD (Table 3).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This was primarily driven by an increase of $1,156 million in development grant expenses due to the higher amount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 grants that met the conditions for expense recognition in FY25 YTD, compared to FY24 YTD.</w:t>
      </w:r>
    </w:p>
    <w:p>
      <w:pPr>
        <w:autoSpaceDN w:val="0"/>
        <w:autoSpaceDE w:val="0"/>
        <w:widowControl/>
        <w:spacing w:line="244" w:lineRule="exact" w:before="7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Adjusted Net Income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adjusted net income was $308 million in FY25 YTD, compared with $181 million in FY24 YTD (Table 3).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increase was primarily driven by the following factors:</w:t>
      </w:r>
    </w:p>
    <w:p>
      <w:pPr>
        <w:autoSpaceDN w:val="0"/>
        <w:tabs>
          <w:tab w:pos="730" w:val="left"/>
        </w:tabs>
        <w:autoSpaceDE w:val="0"/>
        <w:widowControl/>
        <w:spacing w:line="236" w:lineRule="exact" w:before="88" w:after="0"/>
        <w:ind w:left="37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Income of $21 million from the release of provisions for losses on loans and other exposures mainly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attributable to the decrease in the loss given default (severity) due to the change in the eligibility of a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borrower from IDA only to blend status, partially offset by the impact from an increase in loan and other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exposures in FY25 YTD, compared to a provision expense of $85 million in FY24 YTD;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48" w:after="0"/>
        <w:ind w:left="37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of $92 million in unrealized mark-to-market gains on the investment-trading portfolio,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excluding IDA’s share of returns from PEBP and PCRF assets, mainly driven by the decrease in yields on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EUR denominated bonds in FY25 YTD, compared to the increase in yields in FY24 YTD; 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of $82 million in net interest revenue from loans due to the higher average loan balance in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FY25 YTD, compared to FY24 YTD;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of $58 million in net interest revenue on investments, primarily due to the increase in the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average balance in FY25 YTD; </w:t>
      </w:r>
    </w:p>
    <w:p>
      <w:pPr>
        <w:autoSpaceDN w:val="0"/>
        <w:autoSpaceDE w:val="0"/>
        <w:widowControl/>
        <w:spacing w:line="222" w:lineRule="exact" w:before="7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partially offset by: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120" w:after="0"/>
        <w:ind w:left="37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of $190 million in borrowing expenses, excluding amortization of discount on CPL, mainly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due to the higher average balance of borrowings outstanding in FY25 YTD, compared to FY24 YTD. 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730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September 30, 2024</w:t>
      </w:r>
    </w:p>
    <w:p>
      <w:pPr>
        <w:sectPr>
          <w:pgSz w:w="12240" w:h="15840"/>
          <w:pgMar w:top="280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5031"/>
        <w:gridCol w:w="5031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178" w:lineRule="exact" w:before="32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3: Condensed Statements of Income</w:t>
      </w:r>
    </w:p>
    <w:p>
      <w:pPr>
        <w:autoSpaceDN w:val="0"/>
        <w:autoSpaceDE w:val="0"/>
        <w:widowControl/>
        <w:spacing w:line="178" w:lineRule="exact" w:before="7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70" w:after="66"/>
        <w:ind w:left="0" w:right="1062" w:firstLine="0"/>
        <w:jc w:val="right"/>
      </w:pPr>
      <w:r>
        <w:rPr>
          <w:rFonts w:ascii="Arial" w:hAnsi="Arial" w:eastAsia="Arial"/>
          <w:b w:val="0"/>
          <w:i/>
          <w:color w:val="808080"/>
          <w:sz w:val="16"/>
        </w:rPr>
        <w:t>Impact on Income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268"/>
        </w:trPr>
        <w:tc>
          <w:tcPr>
            <w:tcW w:type="dxa" w:w="458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three months ended September 30,</w:t>
            </w:r>
          </w:p>
        </w:tc>
        <w:tc>
          <w:tcPr>
            <w:tcW w:type="dxa" w:w="20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78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2023</w:t>
            </w:r>
          </w:p>
        </w:tc>
        <w:tc>
          <w:tcPr>
            <w:tcW w:type="dxa" w:w="110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Decrease</w:t>
            </w:r>
          </w:p>
        </w:tc>
        <w:tc>
          <w:tcPr>
            <w:tcW w:type="dxa" w:w="88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1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54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174"/>
        </w:trPr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Loans, net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714 $ </w:t>
            </w:r>
          </w:p>
        </w:tc>
        <w:tc>
          <w:tcPr>
            <w:tcW w:type="dxa" w:w="1972"/>
            <w:tcBorders>
              <w:end w:sz="18.399999999999636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632 </w:t>
            </w:r>
          </w:p>
        </w:tc>
        <w:tc>
          <w:tcPr>
            <w:tcW w:type="dxa" w:w="708"/>
            <w:tcBorders>
              <w:start w:sz="18.399999999999636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82</w:t>
            </w:r>
          </w:p>
        </w:tc>
      </w:tr>
    </w:tbl>
    <w:p>
      <w:pPr>
        <w:autoSpaceDN w:val="0"/>
        <w:autoSpaceDE w:val="0"/>
        <w:widowControl/>
        <w:spacing w:line="14" w:lineRule="exact" w:before="0" w:after="42"/>
        <w:ind w:left="0" w:right="0"/>
      </w:pPr>
    </w:p>
    <w:p>
      <w:pPr>
        <w:sectPr>
          <w:pgSz w:w="12240" w:h="15840"/>
          <w:pgMar w:top="256" w:right="748" w:bottom="216" w:left="1430" w:header="720" w:footer="720" w:gutter="0"/>
          <w:cols/>
          <w:docGrid w:linePitch="360"/>
        </w:sectPr>
      </w:pPr>
    </w:p>
    <w:p>
      <w:pPr>
        <w:autoSpaceDN w:val="0"/>
        <w:tabs>
          <w:tab w:pos="152" w:val="left"/>
        </w:tabs>
        <w:autoSpaceDE w:val="0"/>
        <w:widowControl/>
        <w:spacing w:line="220" w:lineRule="exact" w:before="0" w:after="0"/>
        <w:ind w:left="62" w:right="1296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Investments, net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Asset-liability management derivatives, net </w:t>
      </w:r>
      <w:r>
        <w:rPr>
          <w:rFonts w:ascii="Arial" w:hAnsi="Arial" w:eastAsia="Arial"/>
          <w:b/>
          <w:i w:val="0"/>
          <w:color w:val="000000"/>
          <w:sz w:val="16"/>
        </w:rPr>
        <w:t>Borrowing expenses, net</w:t>
      </w:r>
    </w:p>
    <w:p>
      <w:pPr>
        <w:sectPr>
          <w:type w:val="continuous"/>
          <w:pgSz w:w="12240" w:h="15840"/>
          <w:pgMar w:top="256" w:right="748" w:bottom="216" w:left="1430" w:header="720" w:footer="720" w:gutter="0"/>
          <w:cols w:num="2" w:equalWidth="0">
            <w:col w:w="4532" w:space="0"/>
            <w:col w:w="5530" w:space="0"/>
          </w:cols>
          <w:docGrid w:linePitch="360"/>
        </w:sectPr>
      </w:pPr>
    </w:p>
    <w:p>
      <w:pPr>
        <w:autoSpaceDN w:val="0"/>
        <w:autoSpaceDE w:val="0"/>
        <w:widowControl/>
        <w:spacing w:line="2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47.9999999999995" w:type="dxa"/>
      </w:tblPr>
      <w:tblGrid>
        <w:gridCol w:w="2515"/>
        <w:gridCol w:w="2515"/>
        <w:gridCol w:w="2515"/>
        <w:gridCol w:w="2515"/>
      </w:tblGrid>
      <w:tr>
        <w:trPr>
          <w:trHeight w:hRule="exact" w:val="180"/>
        </w:trPr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378 </w:t>
            </w:r>
          </w:p>
        </w:tc>
        <w:tc>
          <w:tcPr>
            <w:tcW w:type="dxa" w:w="5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315</w:t>
            </w:r>
          </w:p>
        </w:tc>
        <w:tc>
          <w:tcPr>
            <w:tcW w:type="dxa" w:w="1504"/>
            <w:vMerge w:val="restart"/>
            <w:tcBorders>
              <w:end w:sz="12.0" w:val="single" w:color="#6D6D6D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16"/>
            <w:vMerge w:val="restart"/>
            <w:tcBorders>
              <w:start w:sz="12.0" w:val="single" w:color="#6D6D6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63</w:t>
            </w:r>
          </w:p>
        </w:tc>
      </w:tr>
      <w:tr>
        <w:trPr>
          <w:trHeight w:hRule="exact" w:val="52"/>
        </w:trPr>
        <w:tc>
          <w:tcPr>
            <w:tcW w:type="dxa" w:w="9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1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  <w:tc>
          <w:tcPr>
            <w:tcW w:type="dxa" w:w="58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14</w:t>
            </w:r>
          </w:p>
        </w:tc>
        <w:tc>
          <w:tcPr>
            <w:tcW w:type="dxa" w:w="2515"/>
            <w:vMerge/>
            <w:tcBorders>
              <w:end w:sz="12.0" w:val="single" w:color="#6D6D6D"/>
            </w:tcBorders>
          </w:tcPr>
          <w:p/>
        </w:tc>
        <w:tc>
          <w:tcPr>
            <w:tcW w:type="dxa" w:w="2515"/>
            <w:vMerge/>
            <w:tcBorders>
              <w:start w:sz="12.0" w:val="single" w:color="#6D6D6D"/>
            </w:tcBorders>
          </w:tcPr>
          <w:p/>
        </w:tc>
      </w:tr>
      <w:tr>
        <w:trPr>
          <w:trHeight w:hRule="exact" w:val="248"/>
        </w:trPr>
        <w:tc>
          <w:tcPr>
            <w:tcW w:type="dxa" w:w="2515"/>
            <w:vMerge/>
            <w:tcBorders/>
          </w:tcPr>
          <w:p/>
        </w:tc>
        <w:tc>
          <w:tcPr>
            <w:tcW w:type="dxa" w:w="2515"/>
            <w:vMerge/>
            <w:tcBorders/>
          </w:tcPr>
          <w:p/>
        </w:tc>
        <w:tc>
          <w:tcPr>
            <w:tcW w:type="dxa" w:w="2515"/>
            <w:vMerge/>
            <w:tcBorders>
              <w:end w:sz="12.0" w:val="single" w:color="#6D6D6D"/>
            </w:tcBorders>
          </w:tcPr>
          <w:p/>
        </w:tc>
        <w:tc>
          <w:tcPr>
            <w:tcW w:type="dxa" w:w="716"/>
            <w:tcBorders>
              <w:start w:sz="12.0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8</w:t>
            </w:r>
          </w:p>
        </w:tc>
      </w:tr>
      <w:tr>
        <w:trPr>
          <w:trHeight w:hRule="exact" w:val="196"/>
        </w:trPr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1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(528) </w:t>
            </w:r>
          </w:p>
        </w:tc>
        <w:tc>
          <w:tcPr>
            <w:tcW w:type="dxa" w:w="5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(339)</w:t>
            </w:r>
          </w:p>
        </w:tc>
        <w:tc>
          <w:tcPr>
            <w:tcW w:type="dxa" w:w="1504"/>
            <w:tcBorders>
              <w:end w:sz="12.0" w:val="single" w:color="#6D6D6D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(189)</w:t>
            </w:r>
          </w:p>
        </w:tc>
        <w:tc>
          <w:tcPr>
            <w:tcW w:type="dxa" w:w="716"/>
            <w:tcBorders>
              <w:start w:sz="12.0" w:val="single" w:color="#6D6D6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14"/>
        <w:ind w:left="0" w:right="0"/>
      </w:pPr>
    </w:p>
    <w:p>
      <w:pPr>
        <w:sectPr>
          <w:type w:val="nextColumn"/>
          <w:pgSz w:w="12240" w:h="15840"/>
          <w:pgMar w:top="256" w:right="748" w:bottom="216" w:left="1430" w:header="720" w:footer="720" w:gutter="0"/>
          <w:cols w:num="2" w:equalWidth="0">
            <w:col w:w="4532" w:space="0"/>
            <w:col w:w="55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176"/>
        </w:trPr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Interest revenue, net of borrowing expenses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586 $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1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622 </w:t>
            </w:r>
          </w:p>
        </w:tc>
        <w:tc>
          <w:tcPr>
            <w:tcW w:type="dxa" w:w="956"/>
            <w:tcBorders>
              <w:end w:sz="12.0" w:val="single" w:color="#B5B6B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(36)</w:t>
            </w:r>
          </w:p>
        </w:tc>
      </w:tr>
    </w:tbl>
    <w:p>
      <w:pPr>
        <w:autoSpaceDN w:val="0"/>
        <w:autoSpaceDE w:val="0"/>
        <w:widowControl/>
        <w:spacing w:line="14" w:lineRule="exact" w:before="0" w:after="40"/>
        <w:ind w:left="0" w:right="0"/>
      </w:pPr>
    </w:p>
    <w:p>
      <w:pPr>
        <w:sectPr>
          <w:type w:val="continuous"/>
          <w:pgSz w:w="12240" w:h="15840"/>
          <w:pgMar w:top="256" w:right="748" w:bottom="21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2" w:lineRule="exact" w:before="0" w:after="0"/>
        <w:ind w:left="182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Provision for losses on loans and other exposures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Other revenue (expenses), net (Table 11)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Net non-interest expense (Table 10)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Transfers from affiliated organizations and others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Non-functional currency translation adjustment (losses) gains, net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Unrealized mark-to-market gains on investments-trading portfolio, net </w:t>
      </w:r>
      <w:r>
        <w:rPr>
          <w:w w:val="103.99999618530273"/>
          <w:rFonts w:ascii="ArialMT" w:hAnsi="ArialMT" w:eastAsia="ArialMT"/>
          <w:b w:val="0"/>
          <w:i w:val="0"/>
          <w:color w:val="000000"/>
          <w:sz w:val="10"/>
        </w:rPr>
        <w:t xml:space="preserve">a </w:t>
      </w: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Unrealized mark-to-market (losses) gains on non-trading portfolios, net </w:t>
      </w:r>
      <w:r>
        <w:rPr>
          <w:rFonts w:ascii="ArialMT" w:hAnsi="ArialMT" w:eastAsia="ArialMT"/>
          <w:b w:val="0"/>
          <w:i w:val="0"/>
          <w:color w:val="000000"/>
          <w:sz w:val="16"/>
        </w:rPr>
        <w:t>Development grants</w:t>
      </w:r>
    </w:p>
    <w:p>
      <w:pPr>
        <w:sectPr>
          <w:type w:val="continuous"/>
          <w:pgSz w:w="12240" w:h="15840"/>
          <w:pgMar w:top="256" w:right="748" w:bottom="216" w:left="1430" w:header="720" w:footer="720" w:gutter="0"/>
          <w:cols w:num="2" w:equalWidth="0">
            <w:col w:w="5532" w:space="0"/>
            <w:col w:w="45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47.99999999999955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192"/>
        </w:trPr>
        <w:tc>
          <w:tcPr>
            <w:tcW w:type="dxa" w:w="9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(85) </w:t>
            </w:r>
          </w:p>
        </w:tc>
        <w:tc>
          <w:tcPr>
            <w:tcW w:type="dxa" w:w="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vMerge w:val="restart"/>
            <w:tcBorders>
              <w:end w:sz="24.0" w:val="single" w:color="#6D6D6D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16" w:after="0"/>
              <w:ind w:left="0" w:right="1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(27)</w:t>
            </w:r>
          </w:p>
        </w:tc>
        <w:tc>
          <w:tcPr>
            <w:tcW w:type="dxa" w:w="900"/>
            <w:vMerge w:val="restart"/>
            <w:tcBorders>
              <w:start w:sz="24.0" w:val="single" w:color="#6D6D6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106</w:t>
            </w:r>
          </w:p>
        </w:tc>
      </w:tr>
      <w:tr>
        <w:trPr>
          <w:trHeight w:hRule="exact" w:val="54"/>
        </w:trPr>
        <w:tc>
          <w:tcPr>
            <w:tcW w:type="dxa" w:w="93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>
              <w:end w:sz="24.0" w:val="single" w:color="#6D6D6D"/>
            </w:tcBorders>
          </w:tcPr>
          <w:p/>
        </w:tc>
        <w:tc>
          <w:tcPr>
            <w:tcW w:type="dxa" w:w="2012"/>
            <w:vMerge/>
            <w:tcBorders>
              <w:start w:sz="24.0" w:val="single" w:color="#6D6D6D"/>
            </w:tcBorders>
          </w:tcPr>
          <w:p/>
        </w:tc>
      </w:tr>
      <w:tr>
        <w:trPr>
          <w:trHeight w:hRule="exact" w:val="206"/>
        </w:trPr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>
              <w:end w:sz="24.0" w:val="single" w:color="#6D6D6D"/>
            </w:tcBorders>
          </w:tcPr>
          <w:p/>
        </w:tc>
        <w:tc>
          <w:tcPr>
            <w:tcW w:type="dxa" w:w="900"/>
            <w:vMerge w:val="restart"/>
            <w:tcBorders>
              <w:start w:sz="24.0" w:val="single" w:color="#6D6D6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28</w:t>
            </w:r>
          </w:p>
        </w:tc>
      </w:tr>
      <w:tr>
        <w:trPr>
          <w:trHeight w:hRule="exact" w:val="280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(395)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(368) 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>
              <w:end w:sz="24.0" w:val="single" w:color="#6D6D6D"/>
            </w:tcBorders>
          </w:tcPr>
          <w:p/>
        </w:tc>
        <w:tc>
          <w:tcPr>
            <w:tcW w:type="dxa" w:w="2012"/>
            <w:vMerge/>
            <w:tcBorders>
              <w:start w:sz="24.0" w:val="single" w:color="#6D6D6D"/>
            </w:tcBorders>
          </w:tcPr>
          <w:p/>
        </w:tc>
      </w:tr>
      <w:tr>
        <w:trPr>
          <w:trHeight w:hRule="exact" w:val="196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515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end w:sz="24.0" w:val="single" w:color="#6D6D6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24.0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515</w:t>
            </w:r>
          </w:p>
        </w:tc>
      </w:tr>
      <w:tr>
        <w:trPr>
          <w:trHeight w:hRule="exact" w:val="244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(125)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  <w:tc>
          <w:tcPr>
            <w:tcW w:type="dxa" w:w="9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vMerge w:val="restart"/>
            <w:tcBorders>
              <w:end w:sz="24.0" w:val="single" w:color="#6D6D6D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(142)</w:t>
            </w:r>
          </w:p>
        </w:tc>
        <w:tc>
          <w:tcPr>
            <w:tcW w:type="dxa" w:w="900"/>
            <w:vMerge w:val="restart"/>
            <w:tcBorders>
              <w:start w:sz="24.0" w:val="single" w:color="#6D6D6D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10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158</w:t>
            </w:r>
          </w:p>
        </w:tc>
      </w:tr>
      <w:tr>
        <w:trPr>
          <w:trHeight w:hRule="exact" w:val="280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170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2012"/>
            <w:vMerge/>
            <w:tcBorders/>
          </w:tcPr>
          <w:p/>
        </w:tc>
        <w:tc>
          <w:tcPr>
            <w:tcW w:type="dxa" w:w="2012"/>
            <w:vMerge/>
            <w:tcBorders>
              <w:end w:sz="24.0" w:val="single" w:color="#6D6D6D"/>
            </w:tcBorders>
          </w:tcPr>
          <w:p/>
        </w:tc>
        <w:tc>
          <w:tcPr>
            <w:tcW w:type="dxa" w:w="2012"/>
            <w:vMerge/>
            <w:tcBorders>
              <w:start w:sz="24.0" w:val="single" w:color="#6D6D6D"/>
            </w:tcBorders>
          </w:tcPr>
          <w:p/>
        </w:tc>
      </w:tr>
      <w:tr>
        <w:trPr>
          <w:trHeight w:hRule="exact" w:val="196"/>
        </w:trPr>
        <w:tc>
          <w:tcPr>
            <w:tcW w:type="dxa" w:w="9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(134)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656 </w:t>
            </w:r>
          </w:p>
        </w:tc>
        <w:tc>
          <w:tcPr>
            <w:tcW w:type="dxa" w:w="9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(790)</w:t>
            </w:r>
          </w:p>
        </w:tc>
        <w:tc>
          <w:tcPr>
            <w:tcW w:type="dxa" w:w="620"/>
            <w:tcBorders>
              <w:end w:sz="24.0" w:val="single" w:color="#6D6D6D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24.0" w:val="single" w:color="#6D6D6D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9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(1,932) </w:t>
            </w:r>
          </w:p>
        </w:tc>
        <w:tc>
          <w:tcPr>
            <w:tcW w:type="dxa" w:w="5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(776) </w:t>
            </w:r>
          </w:p>
        </w:tc>
        <w:tc>
          <w:tcPr>
            <w:tcW w:type="dxa" w:w="90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15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(1,156)</w:t>
            </w:r>
          </w:p>
        </w:tc>
        <w:tc>
          <w:tcPr>
            <w:tcW w:type="dxa" w:w="620"/>
            <w:tcBorders>
              <w:end w:sz="24.0" w:val="single" w:color="#6D6D6D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900"/>
            <w:tcBorders>
              <w:start w:sz="24.0" w:val="single" w:color="#6D6D6D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type w:val="nextColumn"/>
          <w:pgSz w:w="12240" w:h="15840"/>
          <w:pgMar w:top="256" w:right="748" w:bottom="216" w:left="1430" w:header="720" w:footer="720" w:gutter="0"/>
          <w:cols w:num="2" w:equalWidth="0">
            <w:col w:w="5532" w:space="0"/>
            <w:col w:w="453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2515"/>
        <w:gridCol w:w="2515"/>
        <w:gridCol w:w="2515"/>
        <w:gridCol w:w="2515"/>
      </w:tblGrid>
      <w:tr>
        <w:trPr>
          <w:trHeight w:hRule="exact" w:val="213"/>
        </w:trPr>
        <w:tc>
          <w:tcPr>
            <w:tcW w:type="dxa" w:w="58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Loss</w:t>
            </w:r>
          </w:p>
        </w:tc>
        <w:tc>
          <w:tcPr>
            <w:tcW w:type="dxa" w:w="10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(1,282) $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62 </w:t>
            </w:r>
          </w:p>
        </w:tc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(1,344)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6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Adjustments to reconcile net income (loss) to adjusted net income: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258"/>
        <w:gridCol w:w="1258"/>
        <w:gridCol w:w="1258"/>
        <w:gridCol w:w="1258"/>
        <w:gridCol w:w="1258"/>
        <w:gridCol w:w="1258"/>
        <w:gridCol w:w="1258"/>
        <w:gridCol w:w="1258"/>
      </w:tblGrid>
      <w:tr>
        <w:trPr>
          <w:trHeight w:hRule="exact" w:val="194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Activities directly funded by member contributions</w:t>
            </w:r>
          </w:p>
        </w:tc>
        <w:tc>
          <w:tcPr>
            <w:tcW w:type="dxa" w:w="1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$ 1,950 $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824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/>
            <w:shd w:fill="6d6d6d"/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1,126</w:t>
            </w:r>
          </w:p>
        </w:tc>
      </w:tr>
      <w:tr>
        <w:trPr>
          <w:trHeight w:hRule="exact" w:val="240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Contributions from affiliated organizations and others</w:t>
            </w:r>
          </w:p>
        </w:tc>
        <w:tc>
          <w:tcPr>
            <w:tcW w:type="dxa" w:w="1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(515)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(515)</w:t>
            </w:r>
          </w:p>
        </w:tc>
        <w:tc>
          <w:tcPr>
            <w:tcW w:type="dxa" w:w="43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6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Non-functional currency translation adjustment losses (gains), net</w:t>
            </w:r>
          </w:p>
        </w:tc>
        <w:tc>
          <w:tcPr>
            <w:tcW w:type="dxa" w:w="1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125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(17)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142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194"/>
        </w:trPr>
        <w:tc>
          <w:tcPr>
            <w:tcW w:type="dxa" w:w="5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losses (gains) on non-trading portfolios, net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133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(650) </w:t>
            </w:r>
          </w:p>
        </w:tc>
        <w:tc>
          <w:tcPr>
            <w:tcW w:type="dxa" w:w="106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/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783</w:t>
            </w:r>
          </w:p>
        </w:tc>
      </w:tr>
      <w:tr>
        <w:trPr>
          <w:trHeight w:hRule="exact" w:val="260"/>
        </w:trPr>
        <w:tc>
          <w:tcPr>
            <w:tcW w:type="dxa" w:w="5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Pension and other adjustments</w:t>
            </w:r>
          </w:p>
        </w:tc>
        <w:tc>
          <w:tcPr>
            <w:tcW w:type="dxa" w:w="101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(103) </w:t>
            </w:r>
          </w:p>
        </w:tc>
        <w:tc>
          <w:tcPr>
            <w:tcW w:type="dxa" w:w="4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(38) </w:t>
            </w:r>
          </w:p>
        </w:tc>
        <w:tc>
          <w:tcPr>
            <w:tcW w:type="dxa" w:w="10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0" w:after="0"/>
              <w:ind w:left="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(65)</w:t>
            </w:r>
          </w:p>
        </w:tc>
        <w:tc>
          <w:tcPr>
            <w:tcW w:type="dxa" w:w="52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0"/>
        </w:trPr>
        <w:tc>
          <w:tcPr>
            <w:tcW w:type="dxa" w:w="5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Adjusted Net Income</w:t>
            </w:r>
          </w:p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308 $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181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127</w:t>
            </w:r>
          </w:p>
        </w:tc>
        <w:tc>
          <w:tcPr>
            <w:tcW w:type="dxa" w:w="6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20"/>
        </w:trPr>
        <w:tc>
          <w:tcPr>
            <w:tcW w:type="dxa" w:w="5880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0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30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8.0" w:val="single" w:color="#000000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2" w:after="0"/>
        <w:ind w:left="62" w:right="5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IDA’s share of returns from Post-Employment Benefit Plan (PEBP) and Post-Retirement Contribution Reserve Fund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(PCRF) assets – $56 million positive return (FY24 YTD – $10 million of negative return).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Excludes $1 million of losses from revenue-related forward currency contracts (FY24 YTD – $6 million of gains).</w:t>
      </w:r>
    </w:p>
    <w:p>
      <w:pPr>
        <w:autoSpaceDN w:val="0"/>
        <w:autoSpaceDE w:val="0"/>
        <w:widowControl/>
        <w:spacing w:line="180" w:lineRule="exact" w:before="34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4: Condensed Balance Sheets</w:t>
      </w:r>
    </w:p>
    <w:p>
      <w:pPr>
        <w:autoSpaceDN w:val="0"/>
        <w:autoSpaceDE w:val="0"/>
        <w:widowControl/>
        <w:spacing w:line="180" w:lineRule="exact" w:before="72" w:after="7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012"/>
        <w:gridCol w:w="2012"/>
        <w:gridCol w:w="2012"/>
        <w:gridCol w:w="2012"/>
        <w:gridCol w:w="2012"/>
      </w:tblGrid>
      <w:tr>
        <w:trPr>
          <w:trHeight w:hRule="exact" w:val="270"/>
        </w:trPr>
        <w:tc>
          <w:tcPr>
            <w:tcW w:type="dxa" w:w="146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As of</w:t>
            </w:r>
          </w:p>
        </w:tc>
        <w:tc>
          <w:tcPr>
            <w:tcW w:type="dxa" w:w="266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September 30, 2024</w:t>
            </w:r>
          </w:p>
        </w:tc>
        <w:tc>
          <w:tcPr>
            <w:tcW w:type="dxa" w:w="13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June 30, 2024</w:t>
            </w:r>
          </w:p>
        </w:tc>
        <w:tc>
          <w:tcPr>
            <w:tcW w:type="dxa" w:w="94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Decrease</w:t>
            </w:r>
          </w:p>
        </w:tc>
        <w:tc>
          <w:tcPr>
            <w:tcW w:type="dxa" w:w="2596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Increase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46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437"/>
        <w:gridCol w:w="1437"/>
        <w:gridCol w:w="1437"/>
        <w:gridCol w:w="1437"/>
        <w:gridCol w:w="1437"/>
        <w:gridCol w:w="1437"/>
        <w:gridCol w:w="1437"/>
      </w:tblGrid>
      <w:tr>
        <w:trPr>
          <w:trHeight w:hRule="exact" w:val="246"/>
        </w:trPr>
        <w:tc>
          <w:tcPr>
            <w:tcW w:type="dxa" w:w="2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Due from banks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713 $ </w:t>
            </w:r>
          </w:p>
        </w:tc>
        <w:tc>
          <w:tcPr>
            <w:tcW w:type="dxa" w:w="1750"/>
            <w:tcBorders>
              <w:end w:sz="6.399999999999636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8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586 </w:t>
            </w:r>
          </w:p>
        </w:tc>
        <w:tc>
          <w:tcPr>
            <w:tcW w:type="dxa" w:w="730"/>
            <w:tcBorders>
              <w:start w:sz="6.399999999999636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127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12"/>
        </w:trPr>
        <w:tc>
          <w:tcPr>
            <w:tcW w:type="dxa" w:w="2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39,190 </w:t>
            </w:r>
          </w:p>
        </w:tc>
        <w:tc>
          <w:tcPr>
            <w:tcW w:type="dxa" w:w="1750"/>
            <w:tcBorders>
              <w:end w:sz="6.399999999999636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3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34,377 </w:t>
            </w:r>
          </w:p>
        </w:tc>
        <w:tc>
          <w:tcPr>
            <w:tcW w:type="dxa" w:w="730"/>
            <w:tcBorders>
              <w:start w:sz="6.399999999999636" w:val="single" w:color="#6D6D6D"/>
            </w:tcBorders>
            <w:shd w:fill="6d6d6d"/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4,813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6"/>
        </w:trPr>
        <w:tc>
          <w:tcPr>
            <w:tcW w:type="dxa" w:w="2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205,367 </w:t>
            </w:r>
          </w:p>
        </w:tc>
        <w:tc>
          <w:tcPr>
            <w:tcW w:type="dxa" w:w="1750"/>
            <w:tcBorders>
              <w:end w:sz="6.399999999999636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198,457 </w:t>
            </w:r>
          </w:p>
        </w:tc>
        <w:tc>
          <w:tcPr>
            <w:tcW w:type="dxa" w:w="730"/>
            <w:tcBorders>
              <w:start w:sz="6.399999999999636" w:val="single" w:color="#6D6D6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0" w:right="5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6,910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84"/>
        </w:trPr>
        <w:tc>
          <w:tcPr>
            <w:tcW w:type="dxa" w:w="23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399 </w:t>
            </w:r>
          </w:p>
        </w:tc>
        <w:tc>
          <w:tcPr>
            <w:tcW w:type="dxa" w:w="1750"/>
            <w:tcBorders>
              <w:end w:sz="6.399999999999636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0" w:after="0"/>
              <w:ind w:left="0" w:right="8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  <w:tc>
          <w:tcPr>
            <w:tcW w:type="dxa" w:w="730"/>
            <w:tcBorders>
              <w:start w:sz="6.399999999999636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6" w:after="0"/>
              <w:ind w:left="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36</w:t>
            </w:r>
          </w:p>
        </w:tc>
        <w:tc>
          <w:tcPr>
            <w:tcW w:type="dxa" w:w="129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0"/>
        </w:trPr>
        <w:tc>
          <w:tcPr>
            <w:tcW w:type="dxa" w:w="23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</w:t>
            </w:r>
          </w:p>
        </w:tc>
        <w:tc>
          <w:tcPr>
            <w:tcW w:type="dxa" w:w="6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8,969 </w:t>
            </w:r>
          </w:p>
        </w:tc>
        <w:tc>
          <w:tcPr>
            <w:tcW w:type="dxa" w:w="1750"/>
            <w:tcBorders>
              <w:end w:sz="6.399999999999636" w:val="single" w:color="#6D6D6D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7,567 </w:t>
            </w:r>
          </w:p>
        </w:tc>
        <w:tc>
          <w:tcPr>
            <w:tcW w:type="dxa" w:w="730"/>
            <w:tcBorders>
              <w:start w:sz="6.399999999999636" w:val="single" w:color="#6D6D6D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1,402</w:t>
            </w:r>
          </w:p>
        </w:tc>
        <w:tc>
          <w:tcPr>
            <w:tcW w:type="dxa" w:w="1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6"/>
        </w:trPr>
        <w:tc>
          <w:tcPr>
            <w:tcW w:type="dxa" w:w="2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assets</w:t>
            </w:r>
          </w:p>
        </w:tc>
        <w:tc>
          <w:tcPr>
            <w:tcW w:type="dxa" w:w="6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254,638 $ </w:t>
            </w:r>
          </w:p>
        </w:tc>
        <w:tc>
          <w:tcPr>
            <w:tcW w:type="dxa" w:w="1750"/>
            <w:tcBorders>
              <w:top w:sz="8.0" w:val="single" w:color="#000000"/>
              <w:end w:sz="6.399999999999636" w:val="single" w:color="#6D6D6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241,350 </w:t>
            </w:r>
          </w:p>
        </w:tc>
        <w:tc>
          <w:tcPr>
            <w:tcW w:type="dxa" w:w="730"/>
            <w:tcBorders>
              <w:start w:sz="6.399999999999636" w:val="single" w:color="#6D6D6D"/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13,288</w:t>
            </w:r>
          </w:p>
        </w:tc>
      </w:tr>
    </w:tbl>
    <w:p>
      <w:pPr>
        <w:autoSpaceDN w:val="0"/>
        <w:autoSpaceDE w:val="0"/>
        <w:widowControl/>
        <w:spacing w:line="180" w:lineRule="exact" w:before="40" w:after="4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437"/>
        <w:gridCol w:w="1437"/>
        <w:gridCol w:w="1437"/>
        <w:gridCol w:w="1437"/>
        <w:gridCol w:w="1437"/>
        <w:gridCol w:w="1437"/>
        <w:gridCol w:w="1437"/>
      </w:tblGrid>
      <w:tr>
        <w:trPr>
          <w:trHeight w:hRule="exact" w:val="240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52,766 $ </w:t>
            </w:r>
          </w:p>
        </w:tc>
        <w:tc>
          <w:tcPr>
            <w:tcW w:type="dxa" w:w="1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3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44,923 </w:t>
            </w:r>
          </w:p>
        </w:tc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7,843</w:t>
            </w:r>
          </w:p>
        </w:tc>
        <w:tc>
          <w:tcPr>
            <w:tcW w:type="dxa" w:w="6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56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704 </w:t>
            </w:r>
          </w:p>
        </w:tc>
        <w:tc>
          <w:tcPr>
            <w:tcW w:type="dxa" w:w="1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8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6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37</w:t>
            </w:r>
          </w:p>
        </w:tc>
        <w:tc>
          <w:tcPr>
            <w:tcW w:type="dxa" w:w="1437"/>
            <w:vMerge/>
            <w:tcBorders/>
          </w:tcPr>
          <w:p/>
        </w:tc>
        <w:tc>
          <w:tcPr>
            <w:tcW w:type="dxa" w:w="1437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20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liabilities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6,489 </w:t>
            </w:r>
          </w:p>
        </w:tc>
        <w:tc>
          <w:tcPr>
            <w:tcW w:type="dxa" w:w="1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5,459 </w:t>
            </w:r>
          </w:p>
        </w:tc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1,030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78"/>
        </w:trPr>
        <w:tc>
          <w:tcPr>
            <w:tcW w:type="dxa" w:w="2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</w:t>
            </w:r>
          </w:p>
        </w:tc>
        <w:tc>
          <w:tcPr>
            <w:tcW w:type="dxa" w:w="2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4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194,679 </w:t>
            </w:r>
          </w:p>
        </w:tc>
        <w:tc>
          <w:tcPr>
            <w:tcW w:type="dxa" w:w="17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2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190,301 </w:t>
            </w:r>
          </w:p>
        </w:tc>
        <w:tc>
          <w:tcPr>
            <w:tcW w:type="dxa" w:w="2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8" w:after="0"/>
              <w:ind w:left="0" w:right="9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4,378</w:t>
            </w:r>
          </w:p>
        </w:tc>
        <w:tc>
          <w:tcPr>
            <w:tcW w:type="dxa" w:w="6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22"/>
        </w:trPr>
        <w:tc>
          <w:tcPr>
            <w:tcW w:type="dxa" w:w="2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liabilities and equity</w:t>
            </w:r>
          </w:p>
        </w:tc>
        <w:tc>
          <w:tcPr>
            <w:tcW w:type="dxa" w:w="980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540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254,638 $ </w:t>
            </w:r>
          </w:p>
        </w:tc>
        <w:tc>
          <w:tcPr>
            <w:tcW w:type="dxa" w:w="3776"/>
            <w:gridSpan w:val="2"/>
            <w:vMerge w:val="restart"/>
            <w:tcBorders>
              <w:bottom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23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241,350 </w:t>
            </w:r>
          </w:p>
        </w:tc>
        <w:tc>
          <w:tcPr>
            <w:tcW w:type="dxa" w:w="6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13,288</w:t>
            </w:r>
          </w:p>
        </w:tc>
        <w:tc>
          <w:tcPr>
            <w:tcW w:type="dxa" w:w="7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60"/>
        </w:trPr>
        <w:tc>
          <w:tcPr>
            <w:tcW w:type="dxa" w:w="205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437"/>
            <w:vMerge/>
            <w:tcBorders>
              <w:bottom w:sz="8.0" w:val="single" w:color="#929292"/>
            </w:tcBorders>
          </w:tcPr>
          <w:p/>
        </w:tc>
        <w:tc>
          <w:tcPr>
            <w:tcW w:type="dxa" w:w="1437"/>
            <w:vMerge/>
            <w:tcBorders>
              <w:bottom w:sz="8.0" w:val="single" w:color="#929292"/>
            </w:tcBorders>
          </w:tcPr>
          <w:p/>
        </w:tc>
        <w:tc>
          <w:tcPr>
            <w:tcW w:type="dxa" w:w="2874"/>
            <w:gridSpan w:val="2"/>
            <w:vMerge/>
            <w:tcBorders>
              <w:bottom w:sz="8.0" w:val="single" w:color="#929292"/>
            </w:tcBorders>
          </w:tcPr>
          <w:p/>
        </w:tc>
        <w:tc>
          <w:tcPr>
            <w:tcW w:type="dxa" w:w="64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08" w:after="0"/>
              <w:ind w:left="1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11</w:t>
            </w:r>
          </w:p>
        </w:tc>
      </w:tr>
      <w:tr>
        <w:trPr>
          <w:trHeight w:hRule="exact" w:val="2362"/>
        </w:trPr>
        <w:tc>
          <w:tcPr>
            <w:tcW w:type="dxa" w:w="1437"/>
            <w:vMerge/>
            <w:tcBorders>
              <w:top w:sz="8.0" w:val="single" w:color="#000000"/>
            </w:tcBorders>
          </w:tcPr>
          <w:p/>
        </w:tc>
        <w:tc>
          <w:tcPr>
            <w:tcW w:type="dxa" w:w="6296"/>
            <w:gridSpan w:val="4"/>
            <w:tcBorders>
              <w:top w:sz="8.0" w:val="single" w:color="#929292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148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Management's Discussion and Analysis: September 30, 2024</w:t>
            </w:r>
          </w:p>
        </w:tc>
        <w:tc>
          <w:tcPr>
            <w:tcW w:type="dxa" w:w="1437"/>
            <w:vMerge/>
            <w:tcBorders>
              <w:top w:sz="8.0" w:val="single" w:color="#000000"/>
            </w:tcBorders>
          </w:tcPr>
          <w:p/>
        </w:tc>
        <w:tc>
          <w:tcPr>
            <w:tcW w:type="dxa" w:w="1437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56" w:right="748" w:bottom="21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tabs>
          <w:tab w:pos="370" w:val="left"/>
          <w:tab w:pos="730" w:val="left"/>
        </w:tabs>
        <w:autoSpaceDE w:val="0"/>
        <w:widowControl/>
        <w:spacing w:line="240" w:lineRule="exact" w:before="296" w:after="0"/>
        <w:ind w:left="10" w:right="432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main drivers for the movements in the Condensed Balance Sheets as of September 30, 2024 are as follows: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 increase in investments, driven by net cash inflows from new issuances of debt during the period;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in net loans outstanding mainly due to foreign currency translation gains and net loan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disbursements during the period;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in other assets mainly due to the increase in receivable for securities in the investment portfolio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that were sold but have not been settled by the end of the period;</w:t>
      </w:r>
    </w:p>
    <w:p>
      <w:pPr>
        <w:autoSpaceDN w:val="0"/>
        <w:tabs>
          <w:tab w:pos="730" w:val="left"/>
        </w:tabs>
        <w:autoSpaceDE w:val="0"/>
        <w:widowControl/>
        <w:spacing w:line="222" w:lineRule="exact" w:before="78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An increase in borrowings due to net new issuances of market borrowings during the period;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in other liabilities mainly driven by the increase in payable for securities in the investment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portfolio that were purchased but have not been settled by the end of the period;</w:t>
      </w:r>
    </w:p>
    <w:p>
      <w:pPr>
        <w:autoSpaceDN w:val="0"/>
        <w:tabs>
          <w:tab w:pos="730" w:val="left"/>
        </w:tabs>
        <w:autoSpaceDE w:val="0"/>
        <w:widowControl/>
        <w:spacing w:line="240" w:lineRule="exact" w:before="60" w:after="0"/>
        <w:ind w:left="37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•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increase in equity primarily due to currency translation gains as the SDR appreciated against the U.S. </w:t>
      </w:r>
      <w:r>
        <w:tab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dollar. </w:t>
      </w:r>
    </w:p>
    <w:p>
      <w:pPr>
        <w:autoSpaceDN w:val="0"/>
        <w:autoSpaceDE w:val="0"/>
        <w:widowControl/>
        <w:spacing w:line="244" w:lineRule="exact" w:before="37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Equity</w:t>
      </w:r>
    </w:p>
    <w:p>
      <w:pPr>
        <w:autoSpaceDN w:val="0"/>
        <w:autoSpaceDE w:val="0"/>
        <w:widowControl/>
        <w:spacing w:line="222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See Table 5 below for the change in IDA’s equity during FY25 YTD.</w:t>
      </w:r>
    </w:p>
    <w:p>
      <w:pPr>
        <w:autoSpaceDN w:val="0"/>
        <w:autoSpaceDE w:val="0"/>
        <w:widowControl/>
        <w:spacing w:line="17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5: Changes in Equity</w:t>
      </w:r>
    </w:p>
    <w:p>
      <w:pPr>
        <w:autoSpaceDN w:val="0"/>
        <w:autoSpaceDE w:val="0"/>
        <w:widowControl/>
        <w:spacing w:line="178" w:lineRule="exact" w:before="13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369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 as of June 30, 2024</w:t>
            </w:r>
          </w:p>
        </w:tc>
        <w:tc>
          <w:tcPr>
            <w:tcW w:type="dxa" w:w="196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190.3 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Activity during the year: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32"/>
        </w:trPr>
        <w:tc>
          <w:tcPr>
            <w:tcW w:type="dxa" w:w="4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Subscriptions and contributions paid-in</w:t>
            </w:r>
          </w:p>
        </w:tc>
        <w:tc>
          <w:tcPr>
            <w:tcW w:type="dxa" w:w="1436"/>
            <w:vMerge w:val="restart"/>
            <w:tcBorders>
              <w:bottom w:sz="8.0" w:val="single" w:color="#6C6C6C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0.8 </w:t>
            </w:r>
          </w:p>
        </w:tc>
      </w:tr>
      <w:tr>
        <w:trPr>
          <w:trHeight w:hRule="exact" w:val="240"/>
        </w:trPr>
        <w:tc>
          <w:tcPr>
            <w:tcW w:type="dxa" w:w="4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Nonnegotiable non-interest bearing demand obligations</w:t>
            </w:r>
          </w:p>
        </w:tc>
        <w:tc>
          <w:tcPr>
            <w:tcW w:type="dxa" w:w="3147"/>
            <w:vMerge/>
            <w:tcBorders>
              <w:bottom w:sz="8.0" w:val="single" w:color="#6C6C6C"/>
            </w:tcBorders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4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Changes in accumulated deficit </w:t>
            </w:r>
          </w:p>
        </w:tc>
        <w:tc>
          <w:tcPr>
            <w:tcW w:type="dxa" w:w="3147"/>
            <w:vMerge/>
            <w:tcBorders>
              <w:bottom w:sz="8.0" w:val="single" w:color="#6C6C6C"/>
            </w:tcBorders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(1.3) </w:t>
            </w:r>
          </w:p>
        </w:tc>
      </w:tr>
      <w:tr>
        <w:trPr>
          <w:trHeight w:hRule="exact" w:val="248"/>
        </w:trPr>
        <w:tc>
          <w:tcPr>
            <w:tcW w:type="dxa" w:w="4214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Changes in accumulated other comprehensive income</w:t>
            </w:r>
          </w:p>
        </w:tc>
        <w:tc>
          <w:tcPr>
            <w:tcW w:type="dxa" w:w="3147"/>
            <w:vMerge/>
            <w:tcBorders>
              <w:bottom w:sz="8.0" w:val="single" w:color="#6C6C6C"/>
            </w:tcBorders>
          </w:tcPr>
          <w:p/>
        </w:tc>
        <w:tc>
          <w:tcPr>
            <w:tcW w:type="dxa" w:w="670"/>
            <w:tcBorders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4.9 </w:t>
            </w:r>
          </w:p>
        </w:tc>
      </w:tr>
      <w:tr>
        <w:trPr>
          <w:trHeight w:hRule="exact" w:val="240"/>
        </w:trPr>
        <w:tc>
          <w:tcPr>
            <w:tcW w:type="dxa" w:w="4214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Activity </w:t>
            </w:r>
          </w:p>
        </w:tc>
        <w:tc>
          <w:tcPr>
            <w:tcW w:type="dxa" w:w="1436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8.0" w:val="single" w:color="#6C6C6C"/>
              <w:bottom w:sz="8.0" w:val="single" w:color="#6C6C6C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4.4 </w:t>
            </w:r>
          </w:p>
        </w:tc>
      </w:tr>
      <w:tr>
        <w:trPr>
          <w:trHeight w:hRule="exact" w:val="220"/>
        </w:trPr>
        <w:tc>
          <w:tcPr>
            <w:tcW w:type="dxa" w:w="4214"/>
            <w:tcBorders>
              <w:top w:sz="8.0" w:val="single" w:color="#6C6C6C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Equity as of September 30, 2024</w:t>
            </w:r>
          </w:p>
        </w:tc>
        <w:tc>
          <w:tcPr>
            <w:tcW w:type="dxa" w:w="1436"/>
            <w:tcBorders>
              <w:top w:sz="8.0" w:val="single" w:color="#6C6C6C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6C6C6C"/>
              <w:bottom w:sz="8.0" w:val="single" w:color="#929292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194.7 </w:t>
            </w:r>
          </w:p>
        </w:tc>
      </w:tr>
      <w:tr>
        <w:trPr>
          <w:trHeight w:hRule="exact" w:val="334"/>
        </w:trPr>
        <w:tc>
          <w:tcPr>
            <w:tcW w:type="dxa" w:w="4214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6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8.0" w:val="single" w:color="#929292"/>
              <w:bottom w:sz="8.0" w:val="single" w:color="#929292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4" w:lineRule="exact" w:before="36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Financing Activities</w:t>
      </w:r>
    </w:p>
    <w:p>
      <w:pPr>
        <w:autoSpaceDN w:val="0"/>
        <w:autoSpaceDE w:val="0"/>
        <w:widowControl/>
        <w:spacing w:line="222" w:lineRule="exact" w:before="14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Loan Portfolio and Grant Activity</w:t>
      </w:r>
    </w:p>
    <w:p>
      <w:pPr>
        <w:autoSpaceDN w:val="0"/>
        <w:autoSpaceDE w:val="0"/>
        <w:widowControl/>
        <w:spacing w:line="240" w:lineRule="exact" w:before="12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net loans outstanding were $205.4 billion, $6.9 billion higher compared with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2024. The increase was mainly due to the currency translation gains of $5.8 billion, consistent with the appreciation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the SDR against the U.S. dollar and net disbursements of $1.1 billion during the three months 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September 30, 2024.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79% of IDA’s loans outstanding were denominated in SDR. For the regional presentation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loans outstanding, see Notes to the Condensed Quarterly Financial Statements for the period ended September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2024, Note D – Loans and Other Exposures – Table D5.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IBRD's Board approved adjustments to IBRD's loan pricing in October 2024. The following pricing adjustments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applicable to IDA's non-concessional loans offered on IBRD's flexible loan terms: 1) a grace period, during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 commitment fees are charged for the first four years for Investment Project Financing (IPFs) and Program-for-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Results Financing (PforRs); 2) removal of the prepayment premium; and 3) introduction of a 7 year Short Maturity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Loan (SML) with a maturity discount applied to the contractual spread.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305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September 30, 2024</w:t>
      </w:r>
    </w:p>
    <w:p>
      <w:pPr>
        <w:sectPr>
          <w:pgSz w:w="12240" w:h="15840"/>
          <w:pgMar w:top="256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45"/>
        <w:gridCol w:w="4745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  <w:tr>
        <w:trPr>
          <w:trHeight w:hRule="exact" w:val="796"/>
        </w:trPr>
        <w:tc>
          <w:tcPr>
            <w:tcW w:type="dxa" w:w="39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188" w:after="0"/>
              <w:ind w:left="4" w:right="72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Figure 2: Net Loans Outstanding Activity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540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2" w:lineRule="exact" w:before="248" w:after="0"/>
              <w:ind w:left="2250" w:right="576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Figure 3: Net Loans Outstanding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</w:tr>
    </w:tbl>
    <w:p>
      <w:pPr>
        <w:autoSpaceDN w:val="0"/>
        <w:autoSpaceDE w:val="0"/>
        <w:widowControl/>
        <w:spacing w:line="14" w:lineRule="exact" w:before="0" w:after="538"/>
        <w:ind w:left="0" w:right="0"/>
      </w:pPr>
    </w:p>
    <w:p>
      <w:pPr>
        <w:sectPr>
          <w:pgSz w:w="12240" w:h="15840"/>
          <w:pgMar w:top="256" w:right="1314" w:bottom="216" w:left="1436" w:header="720" w:footer="720" w:gutter="0"/>
          <w:cols/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84.00000000000006" w:type="dxa"/>
      </w:tblPr>
      <w:tblGrid>
        <w:gridCol w:w="1898"/>
        <w:gridCol w:w="1898"/>
        <w:gridCol w:w="1898"/>
        <w:gridCol w:w="1898"/>
        <w:gridCol w:w="1898"/>
      </w:tblGrid>
      <w:tr>
        <w:trPr>
          <w:trHeight w:hRule="exact" w:val="306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1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198.5</w:t>
            </w:r>
          </w:p>
        </w:tc>
        <w:tc>
          <w:tcPr>
            <w:tcW w:type="dxa" w:w="4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3.0</w:t>
            </w:r>
          </w:p>
        </w:tc>
        <w:tc>
          <w:tcPr>
            <w:tcW w:type="dxa" w:w="18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—</w:t>
            </w:r>
          </w:p>
        </w:tc>
        <w:tc>
          <w:tcPr>
            <w:tcW w:type="dxa" w:w="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5.8</w:t>
            </w:r>
          </w:p>
        </w:tc>
        <w:tc>
          <w:tcPr>
            <w:tcW w:type="dxa" w:w="11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205.4</w:t>
            </w:r>
          </w:p>
        </w:tc>
      </w:tr>
    </w:tbl>
    <w:p>
      <w:pPr>
        <w:autoSpaceDN w:val="0"/>
        <w:autoSpaceDE w:val="0"/>
        <w:widowControl/>
        <w:spacing w:line="180" w:lineRule="exact" w:before="84" w:after="868"/>
        <w:ind w:left="0" w:right="3340" w:firstLine="0"/>
        <w:jc w:val="right"/>
      </w:pPr>
      <w:r>
        <w:rPr>
          <w:rFonts w:ascii="ArialMT" w:hAnsi="ArialMT" w:eastAsia="ArialMT"/>
          <w:b w:val="0"/>
          <w:i w:val="0"/>
          <w:color w:val="595959"/>
          <w:sz w:val="16"/>
        </w:rPr>
        <w:t>(1.9)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2.00000000000017" w:type="dxa"/>
      </w:tblPr>
      <w:tblGrid>
        <w:gridCol w:w="1582"/>
        <w:gridCol w:w="1582"/>
        <w:gridCol w:w="1582"/>
        <w:gridCol w:w="1582"/>
        <w:gridCol w:w="1582"/>
        <w:gridCol w:w="1582"/>
      </w:tblGrid>
      <w:tr>
        <w:trPr>
          <w:trHeight w:hRule="exact" w:val="296"/>
        </w:trPr>
        <w:tc>
          <w:tcPr>
            <w:tcW w:type="dxa" w:w="942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Net Loans </w:t>
            </w:r>
          </w:p>
        </w:tc>
        <w:tc>
          <w:tcPr>
            <w:tcW w:type="dxa" w:w="920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Gross loan </w:t>
            </w:r>
          </w:p>
        </w:tc>
        <w:tc>
          <w:tcPr>
            <w:tcW w:type="dxa" w:w="980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Repayments </w:t>
            </w:r>
          </w:p>
        </w:tc>
        <w:tc>
          <w:tcPr>
            <w:tcW w:type="dxa" w:w="980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Accumulated </w:t>
            </w:r>
          </w:p>
        </w:tc>
        <w:tc>
          <w:tcPr>
            <w:tcW w:type="dxa" w:w="940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Translation </w:t>
            </w:r>
          </w:p>
        </w:tc>
        <w:tc>
          <w:tcPr>
            <w:tcW w:type="dxa" w:w="946"/>
            <w:tcBorders>
              <w:top w:sz="6.00458431243896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Net Loans 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4.00000000000006" w:type="dxa"/>
      </w:tblPr>
      <w:tblGrid>
        <w:gridCol w:w="1582"/>
        <w:gridCol w:w="1582"/>
        <w:gridCol w:w="1582"/>
        <w:gridCol w:w="1582"/>
        <w:gridCol w:w="1582"/>
        <w:gridCol w:w="1582"/>
      </w:tblGrid>
      <w:tr>
        <w:trPr>
          <w:trHeight w:hRule="exact" w:val="166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outstanding </w:t>
            </w:r>
          </w:p>
        </w:tc>
        <w:tc>
          <w:tcPr>
            <w:tcW w:type="dxa" w:w="10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disbursements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and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provision for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and other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outstanding </w:t>
            </w:r>
          </w:p>
        </w:tc>
      </w:tr>
      <w:tr>
        <w:trPr>
          <w:trHeight w:hRule="exact" w:val="160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as of June </w:t>
            </w:r>
          </w:p>
        </w:tc>
        <w:tc>
          <w:tcPr>
            <w:tcW w:type="dxa" w:w="1582"/>
            <w:vMerge/>
            <w:tcBorders/>
          </w:tcPr>
          <w:p/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prepayments</w:t>
            </w:r>
          </w:p>
        </w:tc>
        <w:tc>
          <w:tcPr>
            <w:tcW w:type="dxa" w:w="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loan losses</w:t>
            </w:r>
          </w:p>
        </w:tc>
        <w:tc>
          <w:tcPr>
            <w:tcW w:type="dxa" w:w="9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adjustments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as of </w:t>
            </w:r>
          </w:p>
        </w:tc>
      </w:tr>
      <w:tr>
        <w:trPr>
          <w:trHeight w:hRule="exact" w:val="178"/>
        </w:trPr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30, 2024</w:t>
            </w:r>
          </w:p>
        </w:tc>
        <w:tc>
          <w:tcPr>
            <w:tcW w:type="dxa" w:w="1582"/>
            <w:vMerge/>
            <w:tcBorders/>
          </w:tcPr>
          <w:p/>
        </w:tc>
        <w:tc>
          <w:tcPr>
            <w:tcW w:type="dxa" w:w="1582"/>
            <w:vMerge/>
            <w:tcBorders/>
          </w:tcPr>
          <w:p/>
        </w:tc>
        <w:tc>
          <w:tcPr>
            <w:tcW w:type="dxa" w:w="1582"/>
            <w:vMerge/>
            <w:tcBorders/>
          </w:tcPr>
          <w:p/>
        </w:tc>
        <w:tc>
          <w:tcPr>
            <w:tcW w:type="dxa" w:w="1582"/>
            <w:vMerge/>
            <w:tcBorders/>
          </w:tcPr>
          <w:p/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 xml:space="preserve">September </w:t>
            </w:r>
          </w:p>
        </w:tc>
      </w:tr>
    </w:tbl>
    <w:p>
      <w:pPr>
        <w:autoSpaceDN w:val="0"/>
        <w:autoSpaceDE w:val="0"/>
        <w:widowControl/>
        <w:spacing w:line="156" w:lineRule="exact" w:before="6" w:after="0"/>
        <w:ind w:left="0" w:right="406" w:firstLine="0"/>
        <w:jc w:val="right"/>
      </w:pPr>
      <w:r>
        <w:rPr>
          <w:rFonts w:ascii="ArialMT" w:hAnsi="ArialMT" w:eastAsia="ArialMT"/>
          <w:b w:val="0"/>
          <w:i w:val="0"/>
          <w:color w:val="595959"/>
          <w:sz w:val="14"/>
        </w:rPr>
        <w:t>3</w:t>
      </w:r>
      <w:r>
        <w:rPr>
          <w:shd w:val="clear" w:color="auto" w:fill="919191"/>
          <w:rFonts w:ascii="ArialMT" w:hAnsi="ArialMT" w:eastAsia="ArialMT"/>
          <w:b w:val="0"/>
          <w:i w:val="0"/>
          <w:color w:val="595959"/>
          <w:sz w:val="14"/>
        </w:rPr>
        <w:t>0, 2024</w:t>
      </w:r>
    </w:p>
    <w:p>
      <w:pPr>
        <w:sectPr>
          <w:type w:val="continuous"/>
          <w:pgSz w:w="12240" w:h="15840"/>
          <w:pgMar w:top="256" w:right="1314" w:bottom="216" w:left="1436" w:header="720" w:footer="720" w:gutter="0"/>
          <w:cols w:num="2" w:equalWidth="0">
            <w:col w:w="5986" w:space="0"/>
            <w:col w:w="3503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75.9999999999991" w:type="dxa"/>
      </w:tblPr>
      <w:tblGrid>
        <w:gridCol w:w="1898"/>
        <w:gridCol w:w="1898"/>
        <w:gridCol w:w="1898"/>
        <w:gridCol w:w="1898"/>
        <w:gridCol w:w="1898"/>
      </w:tblGrid>
      <w:tr>
        <w:trPr>
          <w:trHeight w:hRule="exact" w:val="1628"/>
        </w:trPr>
        <w:tc>
          <w:tcPr>
            <w:tcW w:type="dxa" w:w="622"/>
            <w:tcBorders>
              <w:bottom w:sz="6.01091337203979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177.8</w:t>
            </w:r>
          </w:p>
        </w:tc>
        <w:tc>
          <w:tcPr>
            <w:tcW w:type="dxa" w:w="660"/>
            <w:tcBorders>
              <w:bottom w:sz="6.01091337203979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174.5</w:t>
            </w:r>
          </w:p>
        </w:tc>
        <w:tc>
          <w:tcPr>
            <w:tcW w:type="dxa" w:w="680"/>
            <w:tcBorders>
              <w:bottom w:sz="6.01091337203979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187.7</w:t>
            </w:r>
          </w:p>
        </w:tc>
        <w:tc>
          <w:tcPr>
            <w:tcW w:type="dxa" w:w="640"/>
            <w:tcBorders>
              <w:bottom w:sz="6.01091337203979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198.5</w:t>
            </w:r>
          </w:p>
        </w:tc>
        <w:tc>
          <w:tcPr>
            <w:tcW w:type="dxa" w:w="706"/>
            <w:tcBorders>
              <w:bottom w:sz="6.01091337203979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205.4</w:t>
            </w:r>
          </w:p>
        </w:tc>
      </w:tr>
      <w:tr>
        <w:trPr>
          <w:trHeight w:hRule="exact" w:val="288"/>
        </w:trPr>
        <w:tc>
          <w:tcPr>
            <w:tcW w:type="dxa" w:w="622"/>
            <w:tcBorders>
              <w:top w:sz="6.01091337203979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660"/>
            <w:tcBorders>
              <w:top w:sz="6.01091337203979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680"/>
            <w:tcBorders>
              <w:top w:sz="6.01091337203979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640"/>
            <w:tcBorders>
              <w:top w:sz="6.01091337203979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706"/>
            <w:tcBorders>
              <w:top w:sz="6.010913372039795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 24</w:t>
            </w:r>
          </w:p>
        </w:tc>
      </w:tr>
    </w:tbl>
    <w:p>
      <w:pPr>
        <w:autoSpaceDN w:val="0"/>
        <w:autoSpaceDE w:val="0"/>
        <w:widowControl/>
        <w:spacing w:line="14" w:lineRule="exact" w:before="0" w:after="882"/>
        <w:ind w:left="0" w:right="0"/>
      </w:pPr>
    </w:p>
    <w:p>
      <w:pPr>
        <w:sectPr>
          <w:type w:val="nextColumn"/>
          <w:pgSz w:w="12240" w:h="15840"/>
          <w:pgMar w:top="256" w:right="1314" w:bottom="216" w:left="1436" w:header="720" w:footer="720" w:gutter="0"/>
          <w:cols w:num="2" w:equalWidth="0">
            <w:col w:w="5986" w:space="0"/>
            <w:col w:w="3503" w:space="0"/>
          </w:cols>
          <w:docGrid w:linePitch="360"/>
        </w:sectPr>
      </w:pPr>
    </w:p>
    <w:p>
      <w:pPr>
        <w:autoSpaceDN w:val="0"/>
        <w:autoSpaceDE w:val="0"/>
        <w:widowControl/>
        <w:spacing w:line="230" w:lineRule="exact" w:before="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FY25 YTD, net loan commitments were lower by $0.1 billion, and grant commitments were higher by $0.3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billion, compared with FY24 YTD. There were no guarantee commitments in either FY25 YTD or FY24 YTD. </w:t>
      </w:r>
    </w:p>
    <w:p>
      <w:pPr>
        <w:autoSpaceDN w:val="0"/>
        <w:autoSpaceDE w:val="0"/>
        <w:widowControl/>
        <w:spacing w:line="252" w:lineRule="exact" w:before="196" w:after="70"/>
        <w:ind w:left="4" w:right="4608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Table 6: Net Commitments of Loans and Guarantees by Region </w:t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54"/>
        <w:gridCol w:w="1054"/>
        <w:gridCol w:w="1054"/>
        <w:gridCol w:w="1054"/>
        <w:gridCol w:w="1054"/>
        <w:gridCol w:w="1054"/>
        <w:gridCol w:w="1054"/>
        <w:gridCol w:w="1054"/>
        <w:gridCol w:w="1054"/>
      </w:tblGrid>
      <w:tr>
        <w:trPr>
          <w:trHeight w:hRule="exact" w:val="272"/>
        </w:trPr>
        <w:tc>
          <w:tcPr>
            <w:tcW w:type="dxa" w:w="332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For the three months ended September 30,</w:t>
            </w:r>
          </w:p>
        </w:tc>
        <w:tc>
          <w:tcPr>
            <w:tcW w:type="dxa" w:w="38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9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% of total</w:t>
            </w:r>
          </w:p>
        </w:tc>
        <w:tc>
          <w:tcPr>
            <w:tcW w:type="dxa" w:w="7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2023</w:t>
            </w:r>
          </w:p>
        </w:tc>
        <w:tc>
          <w:tcPr>
            <w:tcW w:type="dxa" w:w="9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% of total</w:t>
            </w:r>
          </w:p>
        </w:tc>
        <w:tc>
          <w:tcPr>
            <w:tcW w:type="dxa" w:w="6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Variance</w:t>
            </w:r>
          </w:p>
        </w:tc>
      </w:tr>
      <w:tr>
        <w:trPr>
          <w:trHeight w:hRule="exact" w:val="240"/>
        </w:trPr>
        <w:tc>
          <w:tcPr>
            <w:tcW w:type="dxa" w:w="3324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380"/>
            <w:vMerge w:val="restart"/>
            <w:tcBorders>
              <w:top w:sz="4.0" w:val="single" w:color="#7F7F7F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1,040 </w:t>
            </w:r>
          </w:p>
        </w:tc>
        <w:tc>
          <w:tcPr>
            <w:tcW w:type="dxa" w:w="92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30 %</w:t>
            </w:r>
          </w:p>
        </w:tc>
        <w:tc>
          <w:tcPr>
            <w:tcW w:type="dxa" w:w="720"/>
            <w:vMerge w:val="restart"/>
            <w:tcBorders>
              <w:top w:sz="4.0" w:val="single" w:color="#7F7F7F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500 </w:t>
            </w:r>
          </w:p>
        </w:tc>
        <w:tc>
          <w:tcPr>
            <w:tcW w:type="dxa" w:w="92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14 %</w:t>
            </w:r>
          </w:p>
        </w:tc>
        <w:tc>
          <w:tcPr>
            <w:tcW w:type="dxa" w:w="620"/>
            <w:vMerge w:val="restart"/>
            <w:tcBorders>
              <w:top w:sz="4.0" w:val="single" w:color="#7F7F7F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540 </w:t>
            </w:r>
          </w:p>
        </w:tc>
      </w:tr>
      <w:tr>
        <w:trPr>
          <w:trHeight w:hRule="exact" w:val="240"/>
        </w:trPr>
        <w:tc>
          <w:tcPr>
            <w:tcW w:type="dxa" w:w="3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1,716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49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1,937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54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(221) </w:t>
            </w:r>
          </w:p>
        </w:tc>
      </w:tr>
      <w:tr>
        <w:trPr>
          <w:trHeight w:hRule="exact" w:val="240"/>
        </w:trPr>
        <w:tc>
          <w:tcPr>
            <w:tcW w:type="dxa" w:w="3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351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351 </w:t>
            </w:r>
          </w:p>
        </w:tc>
      </w:tr>
      <w:tr>
        <w:trPr>
          <w:trHeight w:hRule="exact" w:val="240"/>
        </w:trPr>
        <w:tc>
          <w:tcPr>
            <w:tcW w:type="dxa" w:w="3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186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179 </w:t>
            </w:r>
          </w:p>
        </w:tc>
      </w:tr>
      <w:tr>
        <w:trPr>
          <w:trHeight w:hRule="exact" w:val="240"/>
        </w:trPr>
        <w:tc>
          <w:tcPr>
            <w:tcW w:type="dxa" w:w="3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(30) </w:t>
            </w:r>
          </w:p>
        </w:tc>
      </w:tr>
      <w:tr>
        <w:trPr>
          <w:trHeight w:hRule="exact" w:val="240"/>
        </w:trPr>
        <w:tc>
          <w:tcPr>
            <w:tcW w:type="dxa" w:w="33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7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3324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2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200 </w:t>
            </w:r>
          </w:p>
        </w:tc>
        <w:tc>
          <w:tcPr>
            <w:tcW w:type="dxa" w:w="92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2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1,098 </w:t>
            </w:r>
          </w:p>
        </w:tc>
        <w:tc>
          <w:tcPr>
            <w:tcW w:type="dxa" w:w="92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31 </w:t>
            </w:r>
          </w:p>
        </w:tc>
        <w:tc>
          <w:tcPr>
            <w:tcW w:type="dxa" w:w="1054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79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(898) </w:t>
            </w:r>
          </w:p>
        </w:tc>
      </w:tr>
      <w:tr>
        <w:trPr>
          <w:trHeight w:hRule="exact" w:val="220"/>
        </w:trPr>
        <w:tc>
          <w:tcPr>
            <w:tcW w:type="dxa" w:w="332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8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3,493 </w:t>
            </w:r>
          </w:p>
        </w:tc>
        <w:tc>
          <w:tcPr>
            <w:tcW w:type="dxa" w:w="9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7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3,572 </w:t>
            </w:r>
          </w:p>
        </w:tc>
        <w:tc>
          <w:tcPr>
            <w:tcW w:type="dxa" w:w="9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6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9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(79) </w:t>
            </w:r>
          </w:p>
        </w:tc>
      </w:tr>
      <w:tr>
        <w:trPr>
          <w:trHeight w:hRule="exact" w:val="260"/>
        </w:trPr>
        <w:tc>
          <w:tcPr>
            <w:tcW w:type="dxa" w:w="3324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2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top w:sz="8.0" w:val="single" w:color="#B6B6B6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72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 percentage less than 0.5%</w:t>
      </w:r>
      <w:r>
        <w:rPr>
          <w:rFonts w:ascii="ArialMT" w:hAnsi="ArialMT" w:eastAsia="ArialMT"/>
          <w:b w:val="0"/>
          <w:i w:val="0"/>
          <w:color w:val="000000"/>
          <w:sz w:val="16"/>
        </w:rPr>
        <w:t>.</w:t>
      </w:r>
    </w:p>
    <w:p>
      <w:pPr>
        <w:autoSpaceDN w:val="0"/>
        <w:autoSpaceDE w:val="0"/>
        <w:widowControl/>
        <w:spacing w:line="252" w:lineRule="exact" w:before="60" w:after="62"/>
        <w:ind w:left="4" w:right="576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Table 7: Net Commitments of Grants by Region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  <w:gridCol w:w="791"/>
      </w:tblGrid>
      <w:tr>
        <w:trPr>
          <w:trHeight w:hRule="exact" w:val="266"/>
        </w:trPr>
        <w:tc>
          <w:tcPr>
            <w:tcW w:type="dxa" w:w="324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For the three months ended September 30,</w:t>
            </w:r>
          </w:p>
        </w:tc>
        <w:tc>
          <w:tcPr>
            <w:tcW w:type="dxa" w:w="1100"/>
            <w:gridSpan w:val="2"/>
            <w:tcBorders>
              <w:bottom w:sz="4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1080"/>
            <w:gridSpan w:val="3"/>
            <w:tcBorders>
              <w:bottom w:sz="4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% of total</w:t>
            </w:r>
          </w:p>
        </w:tc>
        <w:tc>
          <w:tcPr>
            <w:tcW w:type="dxa" w:w="1380"/>
            <w:gridSpan w:val="3"/>
            <w:tcBorders>
              <w:bottom w:sz="4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2023</w:t>
            </w:r>
          </w:p>
        </w:tc>
        <w:tc>
          <w:tcPr>
            <w:tcW w:type="dxa" w:w="111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% of total</w:t>
            </w:r>
          </w:p>
        </w:tc>
        <w:tc>
          <w:tcPr>
            <w:tcW w:type="dxa" w:w="63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Variance</w:t>
            </w:r>
          </w:p>
        </w:tc>
      </w:tr>
      <w:tr>
        <w:trPr>
          <w:trHeight w:hRule="exact" w:val="238"/>
        </w:trPr>
        <w:tc>
          <w:tcPr>
            <w:tcW w:type="dxa" w:w="3244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482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2"/>
            <w:gridSpan w:val="2"/>
            <w:tcBorders>
              <w:top w:sz="4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2,021 </w:t>
            </w:r>
          </w:p>
        </w:tc>
        <w:tc>
          <w:tcPr>
            <w:tcW w:type="dxa" w:w="942"/>
            <w:gridSpan w:val="3"/>
            <w:tcBorders>
              <w:top w:sz="4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84 %</w:t>
            </w:r>
          </w:p>
        </w:tc>
        <w:tc>
          <w:tcPr>
            <w:tcW w:type="dxa" w:w="53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4"/>
            <w:tcBorders>
              <w:top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1,485 </w:t>
            </w:r>
          </w:p>
        </w:tc>
        <w:tc>
          <w:tcPr>
            <w:tcW w:type="dxa" w:w="111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69 %</w:t>
            </w:r>
          </w:p>
        </w:tc>
        <w:tc>
          <w:tcPr>
            <w:tcW w:type="dxa" w:w="630"/>
            <w:vMerge w:val="restart"/>
            <w:tcBorders>
              <w:top w:sz="4.0" w:val="single" w:color="#7F7F7F"/>
              <w:bottom w:sz="4.0" w:val="single" w:color="#A5A5A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536 </w:t>
            </w:r>
          </w:p>
        </w:tc>
      </w:tr>
      <w:tr>
        <w:trPr>
          <w:trHeight w:hRule="exact" w:val="240"/>
        </w:trPr>
        <w:tc>
          <w:tcPr>
            <w:tcW w:type="dxa" w:w="3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5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162 </w:t>
            </w:r>
          </w:p>
        </w:tc>
        <w:tc>
          <w:tcPr>
            <w:tcW w:type="dxa" w:w="6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427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 </w:t>
            </w:r>
          </w:p>
        </w:tc>
        <w:tc>
          <w:tcPr>
            <w:tcW w:type="dxa" w:w="791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(265) </w:t>
            </w:r>
          </w:p>
        </w:tc>
      </w:tr>
      <w:tr>
        <w:trPr>
          <w:trHeight w:hRule="exact" w:val="240"/>
        </w:trPr>
        <w:tc>
          <w:tcPr>
            <w:tcW w:type="dxa" w:w="32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5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139 </w:t>
            </w:r>
          </w:p>
        </w:tc>
        <w:tc>
          <w:tcPr>
            <w:tcW w:type="dxa" w:w="6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 </w:t>
            </w:r>
          </w:p>
        </w:tc>
        <w:tc>
          <w:tcPr>
            <w:tcW w:type="dxa" w:w="791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</w:tr>
      <w:tr>
        <w:trPr>
          <w:trHeight w:hRule="exact" w:val="240"/>
        </w:trPr>
        <w:tc>
          <w:tcPr>
            <w:tcW w:type="dxa" w:w="32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4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 </w:t>
            </w:r>
          </w:p>
        </w:tc>
        <w:tc>
          <w:tcPr>
            <w:tcW w:type="dxa" w:w="791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(50) </w:t>
            </w:r>
          </w:p>
        </w:tc>
      </w:tr>
      <w:tr>
        <w:trPr>
          <w:trHeight w:hRule="exact" w:val="240"/>
        </w:trPr>
        <w:tc>
          <w:tcPr>
            <w:tcW w:type="dxa" w:w="32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45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 </w:t>
            </w:r>
          </w:p>
        </w:tc>
        <w:tc>
          <w:tcPr>
            <w:tcW w:type="dxa" w:w="791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(12) </w:t>
            </w:r>
          </w:p>
        </w:tc>
      </w:tr>
      <w:tr>
        <w:trPr>
          <w:trHeight w:hRule="exact" w:val="240"/>
        </w:trPr>
        <w:tc>
          <w:tcPr>
            <w:tcW w:type="dxa" w:w="324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52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65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7 </w:t>
            </w:r>
          </w:p>
        </w:tc>
        <w:tc>
          <w:tcPr>
            <w:tcW w:type="dxa" w:w="791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(60) </w:t>
            </w:r>
          </w:p>
        </w:tc>
      </w:tr>
      <w:tr>
        <w:trPr>
          <w:trHeight w:hRule="exact" w:val="240"/>
        </w:trPr>
        <w:tc>
          <w:tcPr>
            <w:tcW w:type="dxa" w:w="3244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1454"/>
            <w:gridSpan w:val="3"/>
            <w:tcBorders>
              <w:bottom w:sz="4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3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gridSpan w:val="2"/>
            <w:tcBorders>
              <w:bottom w:sz="4.0" w:val="single" w:color="#7F7F7F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</w:t>
            </w:r>
          </w:p>
        </w:tc>
        <w:tc>
          <w:tcPr>
            <w:tcW w:type="dxa" w:w="1380"/>
            <w:gridSpan w:val="3"/>
            <w:tcBorders>
              <w:bottom w:sz="4.0" w:val="single" w:color="#7F7F7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1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— </w:t>
            </w:r>
          </w:p>
        </w:tc>
        <w:tc>
          <w:tcPr>
            <w:tcW w:type="dxa" w:w="791"/>
            <w:vMerge/>
            <w:tcBorders>
              <w:top w:sz="4.0" w:val="single" w:color="#7F7F7F"/>
              <w:bottom w:sz="4.0" w:val="single" w:color="#A5A5A5"/>
            </w:tcBorders>
          </w:tcPr>
          <w:p/>
        </w:tc>
        <w:tc>
          <w:tcPr>
            <w:tcW w:type="dxa" w:w="880"/>
            <w:tcBorders>
              <w:bottom w:sz="4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6"/>
        </w:trPr>
        <w:tc>
          <w:tcPr>
            <w:tcW w:type="dxa" w:w="3244"/>
            <w:tcBorders>
              <w:top w:sz="4.0" w:val="single" w:color="#7F7F7F"/>
              <w:bottom w:sz="6.0" w:val="single" w:color="#A5A5A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82"/>
            <w:tcBorders>
              <w:top w:sz="4.0" w:val="single" w:color="#7F7F7F"/>
              <w:bottom w:sz="6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72"/>
            <w:gridSpan w:val="2"/>
            <w:tcBorders>
              <w:top w:sz="4.0" w:val="single" w:color="#7F7F7F"/>
              <w:bottom w:sz="6.0" w:val="single" w:color="#A5A5A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20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2,412 </w:t>
            </w:r>
          </w:p>
        </w:tc>
        <w:tc>
          <w:tcPr>
            <w:tcW w:type="dxa" w:w="942"/>
            <w:gridSpan w:val="3"/>
            <w:tcBorders>
              <w:top w:sz="4.0" w:val="single" w:color="#7F7F7F"/>
              <w:bottom w:sz="6.0" w:val="single" w:color="#A5A5A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92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530"/>
            <w:tcBorders>
              <w:top w:sz="4.0" w:val="single" w:color="#7F7F7F"/>
              <w:bottom w:sz="6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4"/>
            <w:tcBorders>
              <w:top w:sz="4.0" w:val="single" w:color="#7F7F7F"/>
              <w:bottom w:sz="6.0" w:val="single" w:color="#A5A5A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2,150 </w:t>
            </w:r>
          </w:p>
        </w:tc>
        <w:tc>
          <w:tcPr>
            <w:tcW w:type="dxa" w:w="1110"/>
            <w:tcBorders>
              <w:top w:sz="4.0" w:val="single" w:color="#7F7F7F"/>
              <w:bottom w:sz="6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  <w:tc>
          <w:tcPr>
            <w:tcW w:type="dxa" w:w="630"/>
            <w:tcBorders>
              <w:top w:sz="4.0" w:val="single" w:color="#A5A5A5"/>
              <w:bottom w:sz="6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9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0"/>
            <w:tcBorders>
              <w:top w:sz="4.0" w:val="single" w:color="#A5A5A5"/>
              <w:bottom w:sz="6.0" w:val="single" w:color="#A5A5A5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0" w:right="1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262 </w:t>
            </w:r>
          </w:p>
        </w:tc>
      </w:tr>
      <w:tr>
        <w:trPr>
          <w:trHeight w:hRule="exact" w:val="3842"/>
        </w:trPr>
        <w:tc>
          <w:tcPr>
            <w:tcW w:type="dxa" w:w="7914"/>
            <w:gridSpan w:val="10"/>
            <w:tcBorders>
              <w:top w:sz="6.0" w:val="single" w:color="#A5A5A5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3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IDA Management's Discussion and Analysis: September 30, 2024</w:t>
            </w:r>
          </w:p>
        </w:tc>
        <w:tc>
          <w:tcPr>
            <w:tcW w:type="dxa" w:w="630"/>
            <w:tcBorders>
              <w:top w:sz="6.0" w:val="single" w:color="#A5A5A5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top w:sz="6.0" w:val="single" w:color="#A5A5A5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3630" w:after="0"/>
              <w:ind w:left="0" w:right="11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20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type w:val="continuous"/>
          <w:pgSz w:w="12240" w:h="15840"/>
          <w:pgMar w:top="256" w:right="1314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4760"/>
        <w:gridCol w:w="476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178" w:lineRule="exact" w:before="326" w:after="0"/>
        <w:ind w:left="9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8: Gross Disbursements of Loans and Grants by Region</w:t>
      </w:r>
    </w:p>
    <w:p>
      <w:pPr>
        <w:autoSpaceDN w:val="0"/>
        <w:autoSpaceDE w:val="0"/>
        <w:widowControl/>
        <w:spacing w:line="178" w:lineRule="exact" w:before="74" w:after="38"/>
        <w:ind w:left="90" w:right="0" w:firstLine="0"/>
        <w:jc w:val="left"/>
      </w:pPr>
      <w:r>
        <w:rPr>
          <w:rFonts w:ascii="Arial" w:hAnsi="Arial" w:eastAsia="Arial"/>
          <w:b w:val="0"/>
          <w:i/>
          <w:color w:val="494949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.99999999999994" w:type="dxa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rPr>
          <w:trHeight w:hRule="exact" w:val="244"/>
        </w:trPr>
        <w:tc>
          <w:tcPr>
            <w:tcW w:type="dxa" w:w="318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64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2023</w:t>
            </w:r>
          </w:p>
        </w:tc>
        <w:tc>
          <w:tcPr>
            <w:tcW w:type="dxa" w:w="576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0"/>
            <w:tcBorders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180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For the three months ended September 30,</w:t>
            </w:r>
          </w:p>
        </w:tc>
        <w:tc>
          <w:tcPr>
            <w:tcW w:type="dxa" w:w="224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 xml:space="preserve">Loans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808080"/>
                <w:sz w:val="10"/>
              </w:rPr>
              <w:t>a</w:t>
            </w:r>
          </w:p>
        </w:tc>
        <w:tc>
          <w:tcPr>
            <w:tcW w:type="dxa" w:w="920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929292"/>
                <w:sz w:val="16"/>
              </w:rPr>
              <w:t>Grants</w:t>
            </w:r>
          </w:p>
        </w:tc>
        <w:tc>
          <w:tcPr>
            <w:tcW w:type="dxa" w:w="640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Total</w:t>
            </w:r>
          </w:p>
        </w:tc>
        <w:tc>
          <w:tcPr>
            <w:tcW w:type="dxa" w:w="220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" w:after="0"/>
              <w:ind w:left="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 xml:space="preserve">Loans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808080"/>
                <w:sz w:val="10"/>
              </w:rPr>
              <w:t>a</w:t>
            </w:r>
          </w:p>
        </w:tc>
        <w:tc>
          <w:tcPr>
            <w:tcW w:type="dxa" w:w="940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Grants</w:t>
            </w:r>
          </w:p>
        </w:tc>
        <w:tc>
          <w:tcPr>
            <w:tcW w:type="dxa" w:w="576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Total</w:t>
            </w:r>
          </w:p>
        </w:tc>
        <w:tc>
          <w:tcPr>
            <w:tcW w:type="dxa" w:w="304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0"/>
            <w:tcBorders>
              <w:top w:sz="4.0" w:val="single" w:color="#7F7F7F"/>
              <w:bottom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Variance</w:t>
            </w:r>
          </w:p>
        </w:tc>
      </w:tr>
      <w:tr>
        <w:trPr>
          <w:trHeight w:hRule="exact" w:val="224"/>
        </w:trPr>
        <w:tc>
          <w:tcPr>
            <w:tcW w:type="dxa" w:w="318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224"/>
            <w:vMerge w:val="restart"/>
            <w:tcBorders>
              <w:top w:sz="4.0" w:val="single" w:color="#7F7F7F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1,398 $ </w:t>
            </w:r>
          </w:p>
        </w:tc>
        <w:tc>
          <w:tcPr>
            <w:tcW w:type="dxa" w:w="92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1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1,760 $ </w:t>
            </w:r>
          </w:p>
        </w:tc>
        <w:tc>
          <w:tcPr>
            <w:tcW w:type="dxa" w:w="64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3,158 </w:t>
            </w:r>
          </w:p>
        </w:tc>
        <w:tc>
          <w:tcPr>
            <w:tcW w:type="dxa" w:w="220"/>
            <w:vMerge w:val="restart"/>
            <w:tcBorders>
              <w:top w:sz="4.0" w:val="single" w:color="#7F7F7F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755 $ </w:t>
            </w:r>
          </w:p>
        </w:tc>
        <w:tc>
          <w:tcPr>
            <w:tcW w:type="dxa" w:w="94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631 $ </w:t>
            </w:r>
          </w:p>
        </w:tc>
        <w:tc>
          <w:tcPr>
            <w:tcW w:type="dxa" w:w="576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1,386 </w:t>
            </w:r>
          </w:p>
        </w:tc>
        <w:tc>
          <w:tcPr>
            <w:tcW w:type="dxa" w:w="304"/>
            <w:vMerge w:val="restart"/>
            <w:tcBorders>
              <w:top w:sz="4.0" w:val="single" w:color="#7F7F7F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4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1,772 </w:t>
            </w:r>
          </w:p>
        </w:tc>
      </w:tr>
      <w:tr>
        <w:trPr>
          <w:trHeight w:hRule="exact" w:val="240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757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1,044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746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251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997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 </w:t>
            </w:r>
          </w:p>
        </w:tc>
      </w:tr>
      <w:tr>
        <w:trPr>
          <w:trHeight w:hRule="exact" w:val="240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219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133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163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108 </w:t>
            </w:r>
          </w:p>
        </w:tc>
      </w:tr>
      <w:tr>
        <w:trPr>
          <w:trHeight w:hRule="exact" w:val="240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97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148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79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131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 </w:t>
            </w:r>
          </w:p>
        </w:tc>
      </w:tr>
      <w:tr>
        <w:trPr>
          <w:trHeight w:hRule="exact" w:val="240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81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105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</w:tr>
      <w:tr>
        <w:trPr>
          <w:trHeight w:hRule="exact" w:val="240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188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193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246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272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(79) </w:t>
            </w:r>
          </w:p>
        </w:tc>
      </w:tr>
      <w:tr>
        <w:trPr>
          <w:trHeight w:hRule="exact" w:val="256"/>
        </w:trPr>
        <w:tc>
          <w:tcPr>
            <w:tcW w:type="dxa" w:w="318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458 </w:t>
            </w:r>
          </w:p>
        </w:tc>
        <w:tc>
          <w:tcPr>
            <w:tcW w:type="dxa" w:w="92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6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470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8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557 </w:t>
            </w:r>
          </w:p>
        </w:tc>
        <w:tc>
          <w:tcPr>
            <w:tcW w:type="dxa" w:w="9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576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590 </w:t>
            </w:r>
          </w:p>
        </w:tc>
        <w:tc>
          <w:tcPr>
            <w:tcW w:type="dxa" w:w="865"/>
            <w:vMerge/>
            <w:tcBorders>
              <w:top w:sz="4.0" w:val="single" w:color="#7F7F7F"/>
              <w:bottom w:sz="8.0" w:val="single" w:color="#B6B6B6"/>
            </w:tcBorders>
          </w:tcPr>
          <w:p/>
        </w:tc>
        <w:tc>
          <w:tcPr>
            <w:tcW w:type="dxa" w:w="69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(120) </w:t>
            </w:r>
          </w:p>
        </w:tc>
      </w:tr>
      <w:tr>
        <w:trPr>
          <w:trHeight w:hRule="exact" w:val="220"/>
        </w:trPr>
        <w:tc>
          <w:tcPr>
            <w:tcW w:type="dxa" w:w="318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22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2,995 $ </w:t>
            </w:r>
          </w:p>
        </w:tc>
        <w:tc>
          <w:tcPr>
            <w:tcW w:type="dxa" w:w="9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2,374 $ </w:t>
            </w:r>
          </w:p>
        </w:tc>
        <w:tc>
          <w:tcPr>
            <w:tcW w:type="dxa" w:w="64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5,369 </w:t>
            </w:r>
          </w:p>
        </w:tc>
        <w:tc>
          <w:tcPr>
            <w:tcW w:type="dxa" w:w="2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2,377 $ </w:t>
            </w:r>
          </w:p>
        </w:tc>
        <w:tc>
          <w:tcPr>
            <w:tcW w:type="dxa" w:w="94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8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1,267 $ </w:t>
            </w:r>
          </w:p>
        </w:tc>
        <w:tc>
          <w:tcPr>
            <w:tcW w:type="dxa" w:w="576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3,644 </w:t>
            </w:r>
          </w:p>
        </w:tc>
        <w:tc>
          <w:tcPr>
            <w:tcW w:type="dxa" w:w="30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1,725 </w:t>
            </w:r>
          </w:p>
        </w:tc>
      </w:tr>
      <w:tr>
        <w:trPr>
          <w:trHeight w:hRule="exact" w:val="260"/>
        </w:trPr>
        <w:tc>
          <w:tcPr>
            <w:tcW w:type="dxa" w:w="318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4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76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0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32" w:after="0"/>
        <w:ind w:left="1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Excludes PSW related disbursements - $35 million (FY24 YTD - $12 million).</w:t>
      </w:r>
    </w:p>
    <w:p>
      <w:pPr>
        <w:autoSpaceDN w:val="0"/>
        <w:autoSpaceDE w:val="0"/>
        <w:widowControl/>
        <w:spacing w:line="240" w:lineRule="exact" w:before="192" w:after="0"/>
        <w:ind w:left="9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53% of loans outstanding were on regular terms (75 basis points SDR equivalent service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charge) (Table 9). For a summary of financial terms for IDA’s lending products, refer to IDA’s MD&amp;A for the fiscal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year ended June 30, 2024, Section V: Development Activities, Products and Programs.</w:t>
      </w:r>
    </w:p>
    <w:p>
      <w:pPr>
        <w:autoSpaceDN w:val="0"/>
        <w:autoSpaceDE w:val="0"/>
        <w:widowControl/>
        <w:spacing w:line="240" w:lineRule="exact" w:before="120" w:after="0"/>
        <w:ind w:left="9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increase in IDA’s revenue on loans in FY25 YTD, compared to FY24 YTD was primarily due to the higher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average balance of loans outstanding in FY25 YTD, compared to FY24 YTD.</w:t>
      </w:r>
    </w:p>
    <w:p>
      <w:pPr>
        <w:autoSpaceDN w:val="0"/>
        <w:autoSpaceDE w:val="0"/>
        <w:widowControl/>
        <w:spacing w:line="178" w:lineRule="exact" w:before="390" w:after="134"/>
        <w:ind w:left="9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9: Revenue and Loan Balances by Product Category</w:t>
      </w:r>
    </w:p>
    <w:p>
      <w:pPr>
        <w:sectPr>
          <w:pgSz w:w="12240" w:h="15840"/>
          <w:pgMar w:top="256" w:right="1370" w:bottom="210" w:left="13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142" w:right="0" w:firstLine="0"/>
        <w:jc w:val="left"/>
      </w:pPr>
      <w:r>
        <w:rPr>
          <w:rFonts w:ascii="Arial" w:hAnsi="Arial" w:eastAsia="Arial"/>
          <w:b w:val="0"/>
          <w:i/>
          <w:color w:val="808080"/>
          <w:sz w:val="16"/>
        </w:rPr>
        <w:t>In millions of U.S. dollars</w:t>
      </w:r>
    </w:p>
    <w:p>
      <w:pPr>
        <w:sectPr>
          <w:type w:val="continuous"/>
          <w:pgSz w:w="12240" w:h="15840"/>
          <w:pgMar w:top="256" w:right="1370" w:bottom="210" w:left="1350" w:header="720" w:footer="720" w:gutter="0"/>
          <w:cols w:num="2" w:equalWidth="0">
            <w:col w:w="3128" w:space="0"/>
            <w:col w:w="63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225.9999999999995" w:type="dxa"/>
      </w:tblPr>
      <w:tblGrid>
        <w:gridCol w:w="4760"/>
        <w:gridCol w:w="4760"/>
      </w:tblGrid>
      <w:tr>
        <w:trPr>
          <w:trHeight w:hRule="exact" w:val="190"/>
        </w:trPr>
        <w:tc>
          <w:tcPr>
            <w:tcW w:type="dxa" w:w="2376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Balance as of September 30,</w:t>
            </w:r>
          </w:p>
        </w:tc>
        <w:tc>
          <w:tcPr>
            <w:tcW w:type="dxa" w:w="273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7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September 30,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nextColumn"/>
          <w:pgSz w:w="12240" w:h="15840"/>
          <w:pgMar w:top="256" w:right="1370" w:bottom="210" w:left="1350" w:header="720" w:footer="720" w:gutter="0"/>
          <w:cols w:num="2" w:equalWidth="0">
            <w:col w:w="3128" w:space="0"/>
            <w:col w:w="6392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904"/>
        <w:gridCol w:w="1904"/>
        <w:gridCol w:w="1904"/>
        <w:gridCol w:w="1904"/>
        <w:gridCol w:w="1904"/>
      </w:tblGrid>
      <w:tr>
        <w:trPr>
          <w:trHeight w:hRule="exact" w:val="208"/>
        </w:trPr>
        <w:tc>
          <w:tcPr>
            <w:tcW w:type="dxa" w:w="291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Category</w:t>
            </w:r>
          </w:p>
        </w:tc>
        <w:tc>
          <w:tcPr>
            <w:tcW w:type="dxa" w:w="29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80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2023</w:t>
            </w:r>
          </w:p>
        </w:tc>
        <w:tc>
          <w:tcPr>
            <w:tcW w:type="dxa" w:w="17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5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2024</w:t>
            </w:r>
          </w:p>
        </w:tc>
        <w:tc>
          <w:tcPr>
            <w:tcW w:type="dxa" w:w="99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6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80" w:lineRule="exact" w:before="28" w:after="0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</w:t>
      </w:r>
    </w:p>
    <w:p>
      <w:pPr>
        <w:autoSpaceDN w:val="0"/>
        <w:autoSpaceDE w:val="0"/>
        <w:widowControl/>
        <w:spacing w:line="180" w:lineRule="exact" w:before="60" w:after="30"/>
        <w:ind w:left="3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Concessional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0.0" w:type="dxa"/>
      </w:tblPr>
      <w:tblGrid>
        <w:gridCol w:w="1190"/>
        <w:gridCol w:w="1190"/>
        <w:gridCol w:w="1190"/>
        <w:gridCol w:w="1190"/>
        <w:gridCol w:w="1190"/>
        <w:gridCol w:w="1190"/>
        <w:gridCol w:w="1190"/>
        <w:gridCol w:w="1190"/>
      </w:tblGrid>
      <w:tr>
        <w:trPr>
          <w:trHeight w:hRule="exact" w:val="200"/>
        </w:trPr>
        <w:tc>
          <w:tcPr>
            <w:tcW w:type="dxa" w:w="4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Regular</w:t>
            </w:r>
          </w:p>
        </w:tc>
        <w:tc>
          <w:tcPr>
            <w:tcW w:type="dxa" w:w="396"/>
            <w:vMerge w:val="restart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110,815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$ 105,617 </w:t>
            </w:r>
          </w:p>
        </w:tc>
        <w:tc>
          <w:tcPr>
            <w:tcW w:type="dxa" w:w="620"/>
            <w:vMerge w:val="restart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210 </w:t>
            </w:r>
          </w:p>
        </w:tc>
        <w:tc>
          <w:tcPr>
            <w:tcW w:type="dxa" w:w="720"/>
            <w:vMerge w:val="restart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4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206 </w:t>
            </w:r>
          </w:p>
        </w:tc>
      </w:tr>
      <w:tr>
        <w:trPr>
          <w:trHeight w:hRule="exact" w:val="240"/>
        </w:trPr>
        <w:tc>
          <w:tcPr>
            <w:tcW w:type="dxa" w:w="4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Blend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76,355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69,282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320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286 </w:t>
            </w:r>
          </w:p>
        </w:tc>
      </w:tr>
      <w:tr>
        <w:trPr>
          <w:trHeight w:hRule="exact" w:val="240"/>
        </w:trPr>
        <w:tc>
          <w:tcPr>
            <w:tcW w:type="dxa" w:w="4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Hard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1,280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1,259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</w:tr>
      <w:tr>
        <w:trPr>
          <w:trHeight w:hRule="exact" w:val="240"/>
        </w:trPr>
        <w:tc>
          <w:tcPr>
            <w:tcW w:type="dxa" w:w="4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SML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5,549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3,035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</w:t>
            </w:r>
          </w:p>
        </w:tc>
      </w:tr>
      <w:tr>
        <w:trPr>
          <w:trHeight w:hRule="exact" w:val="240"/>
        </w:trPr>
        <w:tc>
          <w:tcPr>
            <w:tcW w:type="dxa" w:w="4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50-year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2,548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1,250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NA</w:t>
            </w:r>
          </w:p>
        </w:tc>
      </w:tr>
      <w:tr>
        <w:trPr>
          <w:trHeight w:hRule="exact" w:val="240"/>
        </w:trPr>
        <w:tc>
          <w:tcPr>
            <w:tcW w:type="dxa" w:w="42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Non-concessional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12,607 </w:t>
            </w:r>
          </w:p>
        </w:tc>
        <w:tc>
          <w:tcPr>
            <w:tcW w:type="dxa" w:w="11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9,569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161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122 </w:t>
            </w:r>
          </w:p>
        </w:tc>
      </w:tr>
      <w:tr>
        <w:trPr>
          <w:trHeight w:hRule="exact" w:val="282"/>
        </w:trPr>
        <w:tc>
          <w:tcPr>
            <w:tcW w:type="dxa" w:w="4274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87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421 </w:t>
            </w:r>
          </w:p>
        </w:tc>
        <w:tc>
          <w:tcPr>
            <w:tcW w:type="dxa" w:w="111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6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190"/>
            <w:vMerge/>
            <w:tcBorders>
              <w:bottom w:sz="8.0" w:val="single" w:color="#B6B6B6"/>
            </w:tcBorders>
          </w:tcPr>
          <w:p/>
        </w:tc>
        <w:tc>
          <w:tcPr>
            <w:tcW w:type="dxa" w:w="75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20"/>
        </w:trPr>
        <w:tc>
          <w:tcPr>
            <w:tcW w:type="dxa" w:w="427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6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7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1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209,575 </w:t>
            </w:r>
          </w:p>
        </w:tc>
        <w:tc>
          <w:tcPr>
            <w:tcW w:type="dxa" w:w="111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$ 190,125 </w:t>
            </w:r>
          </w:p>
        </w:tc>
        <w:tc>
          <w:tcPr>
            <w:tcW w:type="dxa" w:w="6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709 </w:t>
            </w:r>
          </w:p>
        </w:tc>
        <w:tc>
          <w:tcPr>
            <w:tcW w:type="dxa" w:w="72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8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628 </w:t>
            </w:r>
          </w:p>
        </w:tc>
      </w:tr>
    </w:tbl>
    <w:p>
      <w:pPr>
        <w:autoSpaceDN w:val="0"/>
        <w:tabs>
          <w:tab w:pos="322" w:val="left"/>
        </w:tabs>
        <w:autoSpaceDE w:val="0"/>
        <w:widowControl/>
        <w:spacing w:line="192" w:lineRule="exact" w:before="278" w:after="0"/>
        <w:ind w:left="1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Excludes interest rate swap income or expense from loan related derivatives - $5 million of revenue in FY25 YTD ($4 million of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revenue in FY24 YTD).</w:t>
      </w:r>
    </w:p>
    <w:p>
      <w:pPr>
        <w:autoSpaceDN w:val="0"/>
        <w:autoSpaceDE w:val="0"/>
        <w:widowControl/>
        <w:spacing w:line="178" w:lineRule="exact" w:before="62" w:after="0"/>
        <w:ind w:left="14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Effective FY18, Hard-term loans are no longer offered.</w:t>
      </w:r>
    </w:p>
    <w:p>
      <w:pPr>
        <w:autoSpaceDN w:val="0"/>
        <w:tabs>
          <w:tab w:pos="322" w:val="left"/>
        </w:tabs>
        <w:autoSpaceDE w:val="0"/>
        <w:widowControl/>
        <w:spacing w:line="192" w:lineRule="exact" w:before="50" w:after="0"/>
        <w:ind w:left="1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In addition, $6 million of commitment charges were earned in FY25 YTD on undisbursed balances of non-concessional loans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($7 million in FY24 YTD).</w:t>
      </w:r>
    </w:p>
    <w:p>
      <w:pPr>
        <w:autoSpaceDN w:val="0"/>
        <w:autoSpaceDE w:val="0"/>
        <w:widowControl/>
        <w:spacing w:line="180" w:lineRule="exact" w:before="62" w:after="0"/>
        <w:ind w:left="14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Represents loans under the PSW and others.</w:t>
      </w:r>
    </w:p>
    <w:p>
      <w:pPr>
        <w:autoSpaceDN w:val="0"/>
        <w:autoSpaceDE w:val="0"/>
        <w:widowControl/>
        <w:spacing w:line="222" w:lineRule="exact" w:before="210" w:after="0"/>
        <w:ind w:left="9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Climate resilient debt clause (CRDC)</w:t>
      </w:r>
    </w:p>
    <w:p>
      <w:pPr>
        <w:autoSpaceDN w:val="0"/>
        <w:autoSpaceDE w:val="0"/>
        <w:widowControl/>
        <w:spacing w:line="240" w:lineRule="exact" w:before="122" w:after="0"/>
        <w:ind w:left="9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offers a climate resilient debt clause (CRDCs) for eligible new and existing loans (with minimum remaining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maturity of five years), for certain borrowers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5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. CRDCs allow eligible borrowing countries to defer payments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principal and/or interest (and other loan charges) for up to two years after an eligible event. After the deferral period,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borrower will restart payments of the deferred amounts according to a modified amortization schedule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maintains the original weighted average maturity of the loan, and does not extend the final maturity date.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eligible events when the clause was first offered were tropical cyclones and earthquakes. In October 2024, the Board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approved an extension of the covered events to include all natural catastrophes, including droughts, floods, and </w:t>
      </w:r>
    </w:p>
    <w:p>
      <w:pPr>
        <w:autoSpaceDN w:val="0"/>
        <w:autoSpaceDE w:val="0"/>
        <w:widowControl/>
        <w:spacing w:line="234" w:lineRule="exact" w:before="36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13"/>
        </w:rPr>
        <w:t>5</w:t>
      </w:r>
      <w:r>
        <w:rPr>
          <w:rFonts w:ascii="Arial" w:hAnsi="Arial" w:eastAsia="Arial"/>
          <w:b w:val="0"/>
          <w:i/>
          <w:color w:val="000000"/>
          <w:sz w:val="14"/>
        </w:rPr>
        <w:t>Eligible borrowers are IDA Small State Economies, members of the Small States Forum, and Small Island Developing States as defined by the United</w:t>
      </w:r>
    </w:p>
    <w:p>
      <w:pPr>
        <w:autoSpaceDN w:val="0"/>
        <w:autoSpaceDE w:val="0"/>
        <w:widowControl/>
        <w:spacing w:line="156" w:lineRule="exact" w:before="48" w:after="0"/>
        <w:ind w:left="9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4"/>
        </w:rPr>
        <w:t>Nations.</w:t>
      </w:r>
    </w:p>
    <w:p>
      <w:pPr>
        <w:autoSpaceDN w:val="0"/>
        <w:tabs>
          <w:tab w:pos="668" w:val="left"/>
        </w:tabs>
        <w:autoSpaceDE w:val="0"/>
        <w:widowControl/>
        <w:spacing w:line="224" w:lineRule="exact" w:before="666" w:after="0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September 30, 2024</w:t>
      </w:r>
    </w:p>
    <w:p>
      <w:pPr>
        <w:sectPr>
          <w:type w:val="continuous"/>
          <w:pgSz w:w="12240" w:h="15840"/>
          <w:pgMar w:top="256" w:right="1370" w:bottom="210" w:left="135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40" w:lineRule="exact" w:before="296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public health emergencies caused by a biological event. As of September 30, 2024, out of 27 eligible countries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(including Blend countries), 7 countries elected to include CRDCs in their loans, totaling $1,620 million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outstanding principal. Total loans outstanding for the 27 countries as of September 30, 2024 that are eligible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CRDCs was $4,796 million (inclusive of the $1,620 million).</w:t>
      </w:r>
    </w:p>
    <w:p>
      <w:pPr>
        <w:autoSpaceDN w:val="0"/>
        <w:autoSpaceDE w:val="0"/>
        <w:widowControl/>
        <w:spacing w:line="220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Provision for losses on loans and other exposures</w:t>
      </w:r>
    </w:p>
    <w:p>
      <w:pPr>
        <w:autoSpaceDN w:val="0"/>
        <w:autoSpaceDE w:val="0"/>
        <w:widowControl/>
        <w:spacing w:line="240" w:lineRule="exact" w:before="124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FY25 YTD, IDA recorded income from the release of provision for losses on loans and other exposures of $21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million, compared to $85 million expense in FY24 YTD. The release was primarily due to the lower loss given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default, partially offset by the impact from an increase in loan and other exposures in FY25 YTD, compared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FY24 YTD. The assumptions are reassessed quarterly. For adjusted net income purposes, the provision expense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 on loans and other exposures excludes the provision for debt relief under Heavily Indebted Poor Countries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(HIPC) / Multilateral Debt Relief Initiative (MDRI) and the provision for grant advances, since these are funded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contributions from members. 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Investing Activities</w:t>
      </w:r>
    </w:p>
    <w:p>
      <w:pPr>
        <w:autoSpaceDN w:val="0"/>
        <w:autoSpaceDE w:val="0"/>
        <w:widowControl/>
        <w:spacing w:line="220" w:lineRule="exact" w:before="146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Investment Portfolio</w:t>
      </w:r>
    </w:p>
    <w:p>
      <w:pPr>
        <w:autoSpaceDN w:val="0"/>
        <w:autoSpaceDE w:val="0"/>
        <w:widowControl/>
        <w:spacing w:line="240" w:lineRule="exact" w:before="124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net investment portfolio was $38.3 billion as of September 30, 2024, an increase of $4.7 billion from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2024. The increase was mainly driven by net cash inflows from new issuances of debt, partially offset by net cash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outflows from loan and grant disbursements during the period. See Notes to the Condensed Quarterly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Statements for the period ended September 30, 2024, Note C – Investments.</w:t>
      </w:r>
    </w:p>
    <w:p>
      <w:pPr>
        <w:autoSpaceDN w:val="0"/>
        <w:autoSpaceDE w:val="0"/>
        <w:widowControl/>
        <w:spacing w:line="220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Investment interest revenue, net of derivatives</w:t>
      </w:r>
    </w:p>
    <w:p>
      <w:pPr>
        <w:autoSpaceDN w:val="0"/>
        <w:autoSpaceDE w:val="0"/>
        <w:widowControl/>
        <w:spacing w:line="240" w:lineRule="exact" w:before="124" w:after="9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FY25 YTD, IDA’s investment interest revenue, including related derivatives, was $378 million, an increase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 $63 million compared with the same period in FY24 YTD. The increase was mainly driven by the higher average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balance in FY25 YTD, compared to FY24 YTD.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72"/>
        </w:trPr>
        <w:tc>
          <w:tcPr>
            <w:tcW w:type="dxa" w:w="2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Figure 4: Net Investment Portfolio</w:t>
            </w:r>
          </w:p>
        </w:tc>
        <w:tc>
          <w:tcPr>
            <w:tcW w:type="dxa" w:w="720"/>
            <w:vMerge w:val="restart"/>
            <w:tcBorders>
              <w:bottom w:sz="6.004811763763428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1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33.6</w:t>
            </w:r>
          </w:p>
        </w:tc>
        <w:tc>
          <w:tcPr>
            <w:tcW w:type="dxa" w:w="79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38.3</w:t>
            </w:r>
          </w:p>
        </w:tc>
        <w:tc>
          <w:tcPr>
            <w:tcW w:type="dxa" w:w="5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10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Figure 5: Investment interest revenue, net of derivatives - YTD</w:t>
            </w:r>
          </w:p>
        </w:tc>
      </w:tr>
      <w:tr>
        <w:trPr>
          <w:trHeight w:hRule="exact" w:val="360"/>
        </w:trPr>
        <w:tc>
          <w:tcPr>
            <w:tcW w:type="dxa" w:w="2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billions of U.S. dollars</w:t>
            </w:r>
          </w:p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50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2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</w:tr>
      <w:tr>
        <w:trPr>
          <w:trHeight w:hRule="exact" w:val="340"/>
        </w:trPr>
        <w:tc>
          <w:tcPr>
            <w:tcW w:type="dxa" w:w="2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2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50</w:t>
            </w:r>
          </w:p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15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50" w:after="0"/>
              <w:ind w:left="864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400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320</w:t>
            </w:r>
          </w:p>
        </w:tc>
        <w:tc>
          <w:tcPr>
            <w:tcW w:type="dxa" w:w="3530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8509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8509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28"/>
        </w:trPr>
        <w:tc>
          <w:tcPr>
            <w:tcW w:type="dxa" w:w="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40</w:t>
            </w:r>
          </w:p>
        </w:tc>
        <w:tc>
          <w:tcPr>
            <w:tcW w:type="dxa" w:w="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37.9</w:t>
            </w:r>
          </w:p>
        </w:tc>
        <w:tc>
          <w:tcPr>
            <w:tcW w:type="dxa" w:w="7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39.6</w:t>
            </w:r>
          </w:p>
        </w:tc>
        <w:tc>
          <w:tcPr>
            <w:tcW w:type="dxa" w:w="9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8" w:after="0"/>
              <w:ind w:left="0" w:right="1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30.7</w:t>
            </w:r>
          </w:p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232"/>
        </w:trPr>
        <w:tc>
          <w:tcPr>
            <w:tcW w:type="dxa" w:w="2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30</w:t>
            </w:r>
          </w:p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790"/>
            <w:vMerge w:val="restart"/>
            <w:tcBorders>
              <w:bottom w:sz="6.004811763763428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1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8" w:lineRule="exact" w:before="0" w:after="0"/>
              <w:ind w:left="864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160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80</w:t>
            </w:r>
          </w:p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300"/>
        </w:trPr>
        <w:tc>
          <w:tcPr>
            <w:tcW w:type="dxa" w:w="2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20</w:t>
            </w:r>
          </w:p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340"/>
        </w:trPr>
        <w:tc>
          <w:tcPr>
            <w:tcW w:type="dxa" w:w="280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2" w:after="0"/>
              <w:ind w:left="2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10</w:t>
            </w:r>
          </w:p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674"/>
            <w:vMerge/>
            <w:tcBorders/>
          </w:tcPr>
          <w:p/>
        </w:tc>
        <w:tc>
          <w:tcPr>
            <w:tcW w:type="dxa" w:w="3370"/>
            <w:gridSpan w:val="5"/>
            <w:vMerge/>
            <w:tcBorders/>
          </w:tcPr>
          <w:p/>
        </w:tc>
      </w:tr>
      <w:tr>
        <w:trPr>
          <w:trHeight w:hRule="exact" w:val="112"/>
        </w:trPr>
        <w:tc>
          <w:tcPr>
            <w:tcW w:type="dxa" w:w="280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674"/>
            <w:vMerge/>
            <w:tcBorders>
              <w:bottom w:sz="6.004811763763428" w:val="single" w:color="#898A89"/>
            </w:tcBorders>
          </w:tcPr>
          <w:p/>
        </w:tc>
        <w:tc>
          <w:tcPr>
            <w:tcW w:type="dxa" w:w="5040"/>
            <w:gridSpan w:val="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0</w:t>
            </w:r>
          </w:p>
        </w:tc>
      </w:tr>
      <w:tr>
        <w:trPr>
          <w:trHeight w:hRule="exact" w:val="88"/>
        </w:trPr>
        <w:tc>
          <w:tcPr>
            <w:tcW w:type="dxa" w:w="4044"/>
            <w:gridSpan w:val="6"/>
            <w:vMerge/>
            <w:tcBorders/>
          </w:tcPr>
          <w:p/>
        </w:tc>
        <w:tc>
          <w:tcPr>
            <w:tcW w:type="dxa" w:w="720"/>
            <w:vMerge w:val="restart"/>
            <w:tcBorders>
              <w:top w:sz="6.004811763763428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24</w:t>
            </w:r>
          </w:p>
        </w:tc>
        <w:tc>
          <w:tcPr>
            <w:tcW w:type="dxa" w:w="790"/>
            <w:vMerge w:val="restart"/>
            <w:tcBorders>
              <w:top w:sz="6.004811763763428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 24</w:t>
            </w:r>
          </w:p>
        </w:tc>
        <w:tc>
          <w:tcPr>
            <w:tcW w:type="dxa" w:w="4044"/>
            <w:gridSpan w:val="6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3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21</w:t>
            </w:r>
          </w:p>
        </w:tc>
        <w:tc>
          <w:tcPr>
            <w:tcW w:type="dxa" w:w="7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 23</w:t>
            </w:r>
          </w:p>
        </w:tc>
        <w:tc>
          <w:tcPr>
            <w:tcW w:type="dxa" w:w="674"/>
            <w:vMerge/>
            <w:tcBorders>
              <w:top w:sz="6.004811763763428" w:val="single" w:color="#898A89"/>
            </w:tcBorders>
          </w:tcPr>
          <w:p/>
        </w:tc>
        <w:tc>
          <w:tcPr>
            <w:tcW w:type="dxa" w:w="674"/>
            <w:vMerge/>
            <w:tcBorders>
              <w:top w:sz="6.004811763763428" w:val="single" w:color="#898A89"/>
            </w:tcBorders>
          </w:tcPr>
          <w:p/>
        </w:tc>
        <w:tc>
          <w:tcPr>
            <w:tcW w:type="dxa" w:w="21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1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FY21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FY22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FY23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FY24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20" w:lineRule="exact" w:before="58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Unrealized mark-to-market gains (losses) on investments-trading portfolio, net</w:t>
      </w:r>
    </w:p>
    <w:p>
      <w:pPr>
        <w:autoSpaceDN w:val="0"/>
        <w:autoSpaceDE w:val="0"/>
        <w:widowControl/>
        <w:spacing w:line="240" w:lineRule="exact" w:before="124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IDA's investments-trading portfolio, excluding IDA's share of returns from PEBP and PCRF assets, had unrealized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mark-to-market gains of $114 million in FY25 YTD, compared to $22 million of unrealized mark-to-market gains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FY24 YTD. The increase in unrealized mark-to-market gains was mainly driven by the decrease in yields on EUR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denominated bonds in FY25 YTD compared to FY24 YTD. </w:t>
      </w:r>
    </w:p>
    <w:p>
      <w:pPr>
        <w:autoSpaceDN w:val="0"/>
        <w:autoSpaceDE w:val="0"/>
        <w:widowControl/>
        <w:spacing w:line="244" w:lineRule="exact" w:before="1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Results from Borrowing Activities</w:t>
      </w:r>
    </w:p>
    <w:p>
      <w:pPr>
        <w:autoSpaceDN w:val="0"/>
        <w:autoSpaceDE w:val="0"/>
        <w:widowControl/>
        <w:spacing w:line="222" w:lineRule="exact" w:before="14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Borrowings Carried at Fair Value: 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the value of the market borrowings carried at fair value was $34.7 billion, an increase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$6.2 billion compared to June 30, 2024 ($28.5 billion). The increase was mainly due to the net new issuances during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period. 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1636" w:after="0"/>
        <w:ind w:left="20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September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15</w:t>
      </w:r>
    </w:p>
    <w:p>
      <w:pPr>
        <w:sectPr>
          <w:pgSz w:w="12240" w:h="15840"/>
          <w:pgMar w:top="256" w:right="1370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222" w:lineRule="exact" w:before="31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Borrowings Carried at Amortized Cost: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the market borrowings recorded at amortized cost (fixed rate debt) were $12.0 billion,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of $0.5 billion from June 30, 2024 ($11.5 billion). The increase was mainly due to the translation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adjustment losses during the period. 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Concessional Partner loans from members recorded at amortized cost were $7.5 billion as of September 30, 2024,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of $0.5 billion from June 30, 2024 ($7.0 billion). 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FY25 YTD, IDA's borrowing expenses, including related derivatives, were $0.5 billion, an increase of $0.2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billion compared with the same period in FY24 YTD. The increase in borrowing expenses was primarily due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higher average balance in FY25 YTD, compared to FY24 YTD.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See Notes to the Condensed Quarterly Financial Statements for the period ended September 30, 2024, Note E –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Borrowings.</w:t>
      </w:r>
    </w:p>
    <w:p>
      <w:pPr>
        <w:autoSpaceDN w:val="0"/>
        <w:tabs>
          <w:tab w:pos="5044" w:val="left"/>
        </w:tabs>
        <w:autoSpaceDE w:val="0"/>
        <w:widowControl/>
        <w:spacing w:line="178" w:lineRule="exact" w:before="15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Figure 6: Borrowing Portfolio </w:t>
      </w:r>
      <w:r>
        <w:tab/>
      </w:r>
      <w:r>
        <w:rPr>
          <w:rFonts w:ascii="Arial" w:hAnsi="Arial" w:eastAsia="Arial"/>
          <w:b/>
          <w:i w:val="0"/>
          <w:color w:val="000000"/>
          <w:sz w:val="16"/>
        </w:rPr>
        <w:t>Figure 7: Borrowing expenses, net - YTD</w:t>
      </w:r>
    </w:p>
    <w:p>
      <w:pPr>
        <w:autoSpaceDN w:val="0"/>
        <w:tabs>
          <w:tab w:pos="5044" w:val="left"/>
        </w:tabs>
        <w:autoSpaceDE w:val="0"/>
        <w:widowControl/>
        <w:spacing w:line="178" w:lineRule="exact" w:before="74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billions of U.S. dollars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56" w:lineRule="exact" w:before="228" w:after="2"/>
        <w:ind w:left="1012" w:right="0" w:firstLine="0"/>
        <w:jc w:val="left"/>
      </w:pPr>
      <w:r>
        <w:rPr>
          <w:rFonts w:ascii="ArialMT" w:hAnsi="ArialMT" w:eastAsia="ArialMT"/>
          <w:b w:val="0"/>
          <w:i w:val="0"/>
          <w:color w:val="595959"/>
          <w:sz w:val="14"/>
        </w:rPr>
        <w:t>Market borrowings at fair value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4.00000000000006" w:type="dxa"/>
      </w:tblPr>
      <w:tblGrid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</w:tblGrid>
      <w:tr>
        <w:trPr>
          <w:trHeight w:hRule="exact" w:val="173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78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16" w:after="0"/>
              <w:ind w:left="4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Market borrowings at amortized cost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560</w:t>
            </w:r>
          </w:p>
        </w:tc>
        <w:tc>
          <w:tcPr>
            <w:tcW w:type="dxa" w:w="3584"/>
            <w:gridSpan w:val="5"/>
            <w:vMerge w:val="restart"/>
            <w:tcBorders>
              <w:bottom w:sz="6.0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828800" cy="1016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1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173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788"/>
            <w:gridSpan w:val="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56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4"/>
              </w:rPr>
              <w:t>Concessional partner loans at amortized cost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gridSpan w:val="5"/>
            <w:vMerge/>
            <w:tcBorders>
              <w:bottom w:sz="6.0" w:val="single" w:color="#898A89"/>
            </w:tcBorders>
          </w:tcPr>
          <w:p/>
        </w:tc>
      </w:tr>
      <w:tr>
        <w:trPr>
          <w:trHeight w:hRule="exact" w:val="114"/>
        </w:trPr>
        <w:tc>
          <w:tcPr>
            <w:tcW w:type="dxa" w:w="49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50</w:t>
            </w:r>
          </w:p>
        </w:tc>
        <w:tc>
          <w:tcPr>
            <w:tcW w:type="dxa" w:w="5032"/>
            <w:gridSpan w:val="8"/>
            <w:vMerge/>
            <w:tcBorders/>
          </w:tcPr>
          <w:p/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480</w:t>
            </w:r>
          </w:p>
        </w:tc>
        <w:tc>
          <w:tcPr>
            <w:tcW w:type="dxa" w:w="3145"/>
            <w:gridSpan w:val="5"/>
            <w:vMerge/>
            <w:tcBorders>
              <w:bottom w:sz="6.0" w:val="single" w:color="#898A89"/>
            </w:tcBorders>
          </w:tcPr>
          <w:p/>
        </w:tc>
      </w:tr>
      <w:tr>
        <w:trPr>
          <w:trHeight w:hRule="exact" w:val="292"/>
        </w:trPr>
        <w:tc>
          <w:tcPr>
            <w:tcW w:type="dxa" w:w="629"/>
            <w:vMerge/>
            <w:tcBorders/>
          </w:tcPr>
          <w:p/>
        </w:tc>
        <w:tc>
          <w:tcPr>
            <w:tcW w:type="dxa" w:w="378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222.0000000000005" w:type="dxa"/>
            </w:tblPr>
            <w:tblGrid>
              <w:gridCol w:w="3788"/>
            </w:tblGrid>
            <w:tr>
              <w:trPr>
                <w:trHeight w:hRule="exact" w:val="190"/>
              </w:trPr>
              <w:tc>
                <w:tcPr>
                  <w:tcW w:type="dxa" w:w="376"/>
                  <w:tcBorders/>
                  <w:shd w:fill="dadbd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7.5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400</w:t>
            </w:r>
          </w:p>
        </w:tc>
        <w:tc>
          <w:tcPr>
            <w:tcW w:type="dxa" w:w="3145"/>
            <w:gridSpan w:val="5"/>
            <w:vMerge/>
            <w:tcBorders>
              <w:bottom w:sz="6.0" w:val="single" w:color="#898A89"/>
            </w:tcBorders>
          </w:tcPr>
          <w:p/>
        </w:tc>
      </w:tr>
      <w:tr>
        <w:trPr>
          <w:trHeight w:hRule="exact" w:val="312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40</w:t>
            </w:r>
          </w:p>
        </w:tc>
        <w:tc>
          <w:tcPr>
            <w:tcW w:type="dxa" w:w="284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66.0" w:type="dxa"/>
            </w:tblPr>
            <w:tblGrid>
              <w:gridCol w:w="2842"/>
            </w:tblGrid>
            <w:tr>
              <w:trPr>
                <w:trHeight w:hRule="exact" w:val="160"/>
              </w:trPr>
              <w:tc>
                <w:tcPr>
                  <w:tcW w:type="dxa" w:w="376"/>
                  <w:tcBorders/>
                  <w:shd w:fill="dadbd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7.0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6"/>
            <w:tcBorders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0.0" w:type="dxa"/>
            </w:tblPr>
            <w:tblGrid>
              <w:gridCol w:w="946"/>
            </w:tblGrid>
            <w:tr>
              <w:trPr>
                <w:trHeight w:hRule="exact" w:val="294"/>
              </w:trPr>
              <w:tc>
                <w:tcPr>
                  <w:tcW w:type="dxa" w:w="376"/>
                  <w:tcBorders/>
                  <w:shd w:fill="919191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9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12.0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320</w:t>
            </w:r>
          </w:p>
        </w:tc>
        <w:tc>
          <w:tcPr>
            <w:tcW w:type="dxa" w:w="3145"/>
            <w:gridSpan w:val="5"/>
            <w:vMerge/>
            <w:tcBorders>
              <w:bottom w:sz="6.0" w:val="single" w:color="#898A89"/>
            </w:tcBorders>
          </w:tcPr>
          <w:p/>
        </w:tc>
      </w:tr>
      <w:tr>
        <w:trPr>
          <w:trHeight w:hRule="exact" w:val="181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30</w:t>
            </w:r>
          </w:p>
        </w:tc>
        <w:tc>
          <w:tcPr>
            <w:tcW w:type="dxa" w:w="133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57.9999999999998" w:type="dxa"/>
            </w:tblPr>
            <w:tblGrid>
              <w:gridCol w:w="1334"/>
            </w:tblGrid>
            <w:tr>
              <w:trPr>
                <w:trHeight w:hRule="exact" w:val="174"/>
              </w:trPr>
              <w:tc>
                <w:tcPr>
                  <w:tcW w:type="dxa" w:w="376"/>
                  <w:tcBorders/>
                  <w:shd w:fill="dadbd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4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7.0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754"/>
            </w:tblGrid>
            <w:tr>
              <w:trPr>
                <w:trHeight w:hRule="exact" w:val="160"/>
              </w:trPr>
              <w:tc>
                <w:tcPr>
                  <w:tcW w:type="dxa" w:w="376"/>
                  <w:tcBorders/>
                  <w:shd w:fill="dadbd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7.2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7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4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11.5</w:t>
            </w:r>
          </w:p>
        </w:tc>
        <w:tc>
          <w:tcPr>
            <w:tcW w:type="dxa" w:w="1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240</w:t>
            </w:r>
          </w:p>
        </w:tc>
        <w:tc>
          <w:tcPr>
            <w:tcW w:type="dxa" w:w="3145"/>
            <w:gridSpan w:val="5"/>
            <w:vMerge/>
            <w:tcBorders>
              <w:bottom w:sz="6.0" w:val="single" w:color="#898A89"/>
            </w:tcBorders>
          </w:tcPr>
          <w:p/>
        </w:tc>
      </w:tr>
      <w:tr>
        <w:trPr>
          <w:trHeight w:hRule="exact" w:val="76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4.00000000000006" w:type="dxa"/>
            </w:tblPr>
            <w:tblGrid>
              <w:gridCol w:w="580"/>
            </w:tblGrid>
            <w:tr>
              <w:trPr>
                <w:trHeight w:hRule="exact" w:val="190"/>
              </w:trPr>
              <w:tc>
                <w:tcPr>
                  <w:tcW w:type="dxa" w:w="376"/>
                  <w:tcBorders/>
                  <w:shd w:fill="dadbd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3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000000"/>
                      <w:sz w:val="16"/>
                    </w:rPr>
                    <w:t>7.7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6.2</w:t>
            </w:r>
          </w:p>
        </w:tc>
        <w:tc>
          <w:tcPr>
            <w:tcW w:type="dxa" w:w="2454"/>
            <w:gridSpan w:val="5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44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FFFFFF"/>
                <w:sz w:val="16"/>
              </w:rPr>
              <w:t>8.6</w:t>
            </w:r>
          </w:p>
        </w:tc>
        <w:tc>
          <w:tcPr>
            <w:tcW w:type="dxa" w:w="14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160</w:t>
            </w:r>
          </w:p>
        </w:tc>
        <w:tc>
          <w:tcPr>
            <w:tcW w:type="dxa" w:w="3145"/>
            <w:gridSpan w:val="5"/>
            <w:vMerge/>
            <w:tcBorders>
              <w:bottom w:sz="6.0" w:val="single" w:color="#898A89"/>
            </w:tcBorders>
          </w:tcPr>
          <w:p/>
        </w:tc>
      </w:tr>
      <w:tr>
        <w:trPr>
          <w:trHeight w:hRule="exact" w:val="134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/>
        </w:tc>
        <w:tc>
          <w:tcPr>
            <w:tcW w:type="dxa" w:w="629"/>
            <w:vMerge/>
            <w:tcBorders/>
          </w:tcPr>
          <w:p/>
        </w:tc>
        <w:tc>
          <w:tcPr>
            <w:tcW w:type="dxa" w:w="1258"/>
            <w:gridSpan w:val="2"/>
            <w:vMerge/>
            <w:tcBorders/>
          </w:tcPr>
          <w:p/>
        </w:tc>
        <w:tc>
          <w:tcPr>
            <w:tcW w:type="dxa" w:w="3145"/>
            <w:gridSpan w:val="5"/>
            <w:vMerge/>
            <w:tcBorders/>
          </w:tcPr>
          <w:p/>
        </w:tc>
        <w:tc>
          <w:tcPr>
            <w:tcW w:type="dxa" w:w="629"/>
            <w:vMerge/>
            <w:tcBorders/>
          </w:tcPr>
          <w:p/>
        </w:tc>
        <w:tc>
          <w:tcPr>
            <w:tcW w:type="dxa" w:w="3145"/>
            <w:gridSpan w:val="5"/>
            <w:vMerge/>
            <w:tcBorders>
              <w:bottom w:sz="6.0" w:val="single" w:color="#898A89"/>
            </w:tcBorders>
          </w:tcPr>
          <w:p/>
        </w:tc>
      </w:tr>
      <w:tr>
        <w:trPr>
          <w:trHeight w:hRule="exact" w:val="126"/>
        </w:trPr>
        <w:tc>
          <w:tcPr>
            <w:tcW w:type="dxa" w:w="49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</w:t>
            </w:r>
          </w:p>
        </w:tc>
        <w:tc>
          <w:tcPr>
            <w:tcW w:type="dxa" w:w="580"/>
            <w:vMerge w:val="restart"/>
            <w:tcBorders>
              <w:bottom w:sz="6.0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4.00000000000006" w:type="dxa"/>
            </w:tblPr>
            <w:tblGrid>
              <w:gridCol w:w="580"/>
            </w:tblGrid>
            <w:tr>
              <w:trPr>
                <w:trHeight w:hRule="exact" w:val="396"/>
              </w:trPr>
              <w:tc>
                <w:tcPr>
                  <w:tcW w:type="dxa" w:w="376"/>
                  <w:tcBorders/>
                  <w:shd w:fill="48494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19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20.6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"/>
            <w:gridSpan w:val="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0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7.99999999999983" w:type="dxa"/>
            </w:tblPr>
            <w:tblGrid>
              <w:gridCol w:w="754"/>
            </w:tblGrid>
            <w:tr>
              <w:trPr>
                <w:trHeight w:hRule="exact" w:val="268"/>
              </w:trPr>
              <w:tc>
                <w:tcPr>
                  <w:tcW w:type="dxa" w:w="376"/>
                  <w:tcBorders/>
                  <w:shd w:fill="48494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6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21.9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"/>
            <w:gridSpan w:val="2"/>
            <w:vMerge w:val="restart"/>
            <w:tcBorders>
              <w:bottom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754"/>
            </w:tblGrid>
            <w:tr>
              <w:trPr>
                <w:trHeight w:hRule="exact" w:val="506"/>
              </w:trPr>
              <w:tc>
                <w:tcPr>
                  <w:tcW w:type="dxa" w:w="376"/>
                  <w:tcBorders/>
                  <w:shd w:fill="48494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196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19.6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754"/>
            <w:gridSpan w:val="2"/>
            <w:vMerge w:val="restart"/>
            <w:tcBorders>
              <w:bottom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754"/>
            </w:tblGrid>
            <w:tr>
              <w:trPr>
                <w:trHeight w:hRule="exact" w:val="470"/>
              </w:trPr>
              <w:tc>
                <w:tcPr>
                  <w:tcW w:type="dxa" w:w="376"/>
                  <w:tcBorders/>
                  <w:shd w:fill="48494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80" w:lineRule="exact" w:before="40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28.5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46"/>
            <w:vMerge w:val="restart"/>
            <w:tcBorders>
              <w:bottom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80.0" w:type="dxa"/>
            </w:tblPr>
            <w:tblGrid>
              <w:gridCol w:w="946"/>
            </w:tblGrid>
            <w:tr>
              <w:trPr>
                <w:trHeight w:hRule="exact" w:val="506"/>
              </w:trPr>
              <w:tc>
                <w:tcPr>
                  <w:tcW w:type="dxa" w:w="376"/>
                  <w:tcBorders/>
                  <w:shd w:fill="48494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78" w:lineRule="exact" w:before="2" w:after="0"/>
                    <w:ind w:left="0" w:right="0" w:firstLine="0"/>
                    <w:jc w:val="center"/>
                  </w:pP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34.7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8" w:after="0"/>
              <w:ind w:left="0" w:right="2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80</w:t>
            </w:r>
          </w:p>
        </w:tc>
        <w:tc>
          <w:tcPr>
            <w:tcW w:type="dxa" w:w="3145"/>
            <w:gridSpan w:val="5"/>
            <w:vMerge/>
            <w:tcBorders>
              <w:bottom w:sz="6.0" w:val="single" w:color="#898A89"/>
            </w:tcBorders>
          </w:tcPr>
          <w:p/>
        </w:tc>
      </w:tr>
      <w:tr>
        <w:trPr>
          <w:trHeight w:hRule="exact" w:val="200"/>
        </w:trPr>
        <w:tc>
          <w:tcPr>
            <w:tcW w:type="dxa" w:w="494"/>
            <w:vMerge w:val="restart"/>
            <w:tcBorders>
              <w:bottom w:sz="6.0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</w:t>
            </w:r>
          </w:p>
        </w:tc>
        <w:tc>
          <w:tcPr>
            <w:tcW w:type="dxa" w:w="629"/>
            <w:vMerge/>
            <w:tcBorders>
              <w:bottom w:sz="6.0" w:val="single" w:color="#898A89"/>
            </w:tcBorders>
          </w:tcPr>
          <w:p/>
        </w:tc>
        <w:tc>
          <w:tcPr>
            <w:tcW w:type="dxa" w:w="1258"/>
            <w:gridSpan w:val="2"/>
            <w:vMerge/>
            <w:tcBorders/>
          </w:tcPr>
          <w:p/>
        </w:tc>
        <w:tc>
          <w:tcPr>
            <w:tcW w:type="dxa" w:w="1258"/>
            <w:gridSpan w:val="2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1258"/>
            <w:gridSpan w:val="2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629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629"/>
            <w:vMerge/>
            <w:tcBorders/>
          </w:tcPr>
          <w:p/>
        </w:tc>
        <w:tc>
          <w:tcPr>
            <w:tcW w:type="dxa" w:w="3145"/>
            <w:gridSpan w:val="5"/>
            <w:vMerge/>
            <w:tcBorders>
              <w:bottom w:sz="6.0" w:val="single" w:color="#898A89"/>
            </w:tcBorders>
          </w:tcPr>
          <w:p/>
        </w:tc>
      </w:tr>
      <w:tr>
        <w:trPr>
          <w:trHeight w:hRule="exact" w:val="118"/>
        </w:trPr>
        <w:tc>
          <w:tcPr>
            <w:tcW w:type="dxa" w:w="629"/>
            <w:vMerge/>
            <w:tcBorders>
              <w:bottom w:sz="6.0" w:val="single" w:color="#898A89"/>
            </w:tcBorders>
          </w:tcPr>
          <w:p/>
        </w:tc>
        <w:tc>
          <w:tcPr>
            <w:tcW w:type="dxa" w:w="629"/>
            <w:vMerge/>
            <w:tcBorders>
              <w:bottom w:sz="6.0" w:val="single" w:color="#898A89"/>
            </w:tcBorders>
          </w:tcPr>
          <w:p/>
        </w:tc>
        <w:tc>
          <w:tcPr>
            <w:tcW w:type="dxa" w:w="1258"/>
            <w:gridSpan w:val="2"/>
            <w:vMerge/>
            <w:tcBorders/>
          </w:tcPr>
          <w:p/>
        </w:tc>
        <w:tc>
          <w:tcPr>
            <w:tcW w:type="dxa" w:w="1258"/>
            <w:gridSpan w:val="2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1258"/>
            <w:gridSpan w:val="2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629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1416"/>
            <w:tcBorders>
              <w:bottom w:sz="6.0" w:val="single" w:color="#898A8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45"/>
            <w:gridSpan w:val="5"/>
            <w:vMerge/>
            <w:tcBorders>
              <w:bottom w:sz="6.0" w:val="single" w:color="#898A89"/>
            </w:tcBorders>
          </w:tcPr>
          <w:p/>
        </w:tc>
      </w:tr>
      <w:tr>
        <w:trPr>
          <w:trHeight w:hRule="exact" w:val="76"/>
        </w:trPr>
        <w:tc>
          <w:tcPr>
            <w:tcW w:type="dxa" w:w="494"/>
            <w:tcBorders>
              <w:top w:sz="6.0" w:val="single" w:color="#898A89"/>
              <w:bottom w:sz="6.006068229675293" w:val="single" w:color="#898A8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80"/>
            <w:tcBorders>
              <w:top w:sz="6.0" w:val="single" w:color="#898A89"/>
              <w:bottom w:sz="6.006068229675293" w:val="single" w:color="#898A8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54"/>
            <w:gridSpan w:val="2"/>
            <w:tcBorders>
              <w:bottom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58"/>
            <w:gridSpan w:val="2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1258"/>
            <w:gridSpan w:val="2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629"/>
            <w:vMerge/>
            <w:tcBorders>
              <w:bottom w:sz="6.006068229675293" w:val="single" w:color="#898A89"/>
            </w:tcBorders>
          </w:tcPr>
          <w:p/>
        </w:tc>
        <w:tc>
          <w:tcPr>
            <w:tcW w:type="dxa" w:w="1416"/>
            <w:tcBorders>
              <w:top w:sz="6.0" w:val="single" w:color="#898A89"/>
              <w:bottom w:sz="6.006068229675293" w:val="single" w:color="#898A8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584"/>
            <w:gridSpan w:val="5"/>
            <w:tcBorders>
              <w:top w:sz="6.0" w:val="single" w:color="#898A89"/>
              <w:bottom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8"/>
        </w:trPr>
        <w:tc>
          <w:tcPr>
            <w:tcW w:type="dxa" w:w="494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726"/>
            <w:gridSpan w:val="2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21</w:t>
            </w:r>
          </w:p>
        </w:tc>
        <w:tc>
          <w:tcPr>
            <w:tcW w:type="dxa" w:w="760"/>
            <w:gridSpan w:val="2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22</w:t>
            </w:r>
          </w:p>
        </w:tc>
        <w:tc>
          <w:tcPr>
            <w:tcW w:type="dxa" w:w="760"/>
            <w:gridSpan w:val="2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23</w:t>
            </w:r>
          </w:p>
        </w:tc>
        <w:tc>
          <w:tcPr>
            <w:tcW w:type="dxa" w:w="596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Jun 24</w:t>
            </w:r>
          </w:p>
        </w:tc>
        <w:tc>
          <w:tcPr>
            <w:tcW w:type="dxa" w:w="946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0" w:after="0"/>
              <w:ind w:left="0" w:right="1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Sep 24</w:t>
            </w:r>
          </w:p>
        </w:tc>
        <w:tc>
          <w:tcPr>
            <w:tcW w:type="dxa" w:w="1416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2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FY21</w:t>
            </w:r>
          </w:p>
        </w:tc>
        <w:tc>
          <w:tcPr>
            <w:tcW w:type="dxa" w:w="720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FY22</w:t>
            </w:r>
          </w:p>
        </w:tc>
        <w:tc>
          <w:tcPr>
            <w:tcW w:type="dxa" w:w="720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FY23</w:t>
            </w:r>
          </w:p>
        </w:tc>
        <w:tc>
          <w:tcPr>
            <w:tcW w:type="dxa" w:w="720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FY24</w:t>
            </w:r>
          </w:p>
        </w:tc>
        <w:tc>
          <w:tcPr>
            <w:tcW w:type="dxa" w:w="742"/>
            <w:tcBorders>
              <w:top w:sz="6.006068229675293" w:val="single" w:color="#898A8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FY25</w:t>
            </w:r>
          </w:p>
        </w:tc>
      </w:tr>
    </w:tbl>
    <w:p>
      <w:pPr>
        <w:autoSpaceDN w:val="0"/>
        <w:autoSpaceDE w:val="0"/>
        <w:widowControl/>
        <w:spacing w:line="244" w:lineRule="exact" w:before="63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Transfers from Affiliated Organizations</w:t>
      </w:r>
    </w:p>
    <w:p>
      <w:pPr>
        <w:autoSpaceDN w:val="0"/>
        <w:autoSpaceDE w:val="0"/>
        <w:widowControl/>
        <w:spacing w:line="240" w:lineRule="exact" w:before="13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Since 1964, IBRD has made transfers to IDA, upon approval by the Board of Governors. Under a formula-based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approach for IBRD's income support to IDA, the amount of income transfer recommended for IDA is a function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IBRD's financial results. On September 18, 2024, IBRD’s Board of Governors approved a transfer of $515 million,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was received by IDA on September 30, 2024. </w:t>
      </w:r>
    </w:p>
    <w:p>
      <w:pPr>
        <w:autoSpaceDN w:val="0"/>
        <w:autoSpaceDE w:val="0"/>
        <w:widowControl/>
        <w:spacing w:line="244" w:lineRule="exact" w:before="490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Net Non-Interest Expenses</w:t>
      </w:r>
    </w:p>
    <w:p>
      <w:pPr>
        <w:autoSpaceDN w:val="0"/>
        <w:autoSpaceDE w:val="0"/>
        <w:widowControl/>
        <w:spacing w:line="240" w:lineRule="exact" w:before="13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net non-interest expenses are primarily comprised of administrative expenses, net of revenue from externally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funded activities. IBRD and IDA's administrative budget is a single resource envelope that funds the combined work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programs of both entities. The allocation of administrative expenses between IBRD and IDA is based on an agreed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cost and revenue sharing methodology, approved by their Boards. The allocation is primarily driven by the relative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level of activities relating to lending, knowledge services and other services between the two institutions.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administrative expenses shown in the table below include costs related to IDA-executed trust funds and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externally funded activities.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increase in net non-interest expenses from FY24 YTD to FY25 YTD, on a U.S. GAAP basis and on an adjusted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income basis, was primarily driven by higher staff costs in FY25 YTD (Table 10). </w:t>
      </w:r>
    </w:p>
    <w:p>
      <w:pPr>
        <w:autoSpaceDN w:val="0"/>
        <w:tabs>
          <w:tab w:pos="582" w:val="left"/>
        </w:tabs>
        <w:autoSpaceDE w:val="0"/>
        <w:widowControl/>
        <w:spacing w:line="224" w:lineRule="exact" w:before="2568" w:after="0"/>
        <w:ind w:left="5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September 30, 2024</w:t>
      </w:r>
    </w:p>
    <w:p>
      <w:pPr>
        <w:sectPr>
          <w:pgSz w:w="12240" w:h="15840"/>
          <w:pgMar w:top="256" w:right="1370" w:bottom="21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178" w:lineRule="exact" w:before="32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10: Net Non-Interest Expense</w:t>
      </w:r>
    </w:p>
    <w:p>
      <w:pPr>
        <w:autoSpaceDN w:val="0"/>
        <w:autoSpaceDE w:val="0"/>
        <w:widowControl/>
        <w:spacing w:line="178" w:lineRule="exact" w:before="74" w:after="7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60"/>
        <w:gridCol w:w="2360"/>
        <w:gridCol w:w="2360"/>
        <w:gridCol w:w="2360"/>
      </w:tblGrid>
      <w:tr>
        <w:trPr>
          <w:trHeight w:hRule="exact" w:val="272"/>
        </w:trPr>
        <w:tc>
          <w:tcPr>
            <w:tcW w:type="dxa" w:w="493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three months ended September 30,</w:t>
            </w:r>
          </w:p>
        </w:tc>
        <w:tc>
          <w:tcPr>
            <w:tcW w:type="dxa" w:w="25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96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22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2023</w:t>
            </w:r>
          </w:p>
        </w:tc>
        <w:tc>
          <w:tcPr>
            <w:tcW w:type="dxa" w:w="936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Administrative expenses: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4"/>
        </w:trPr>
        <w:tc>
          <w:tcPr>
            <w:tcW w:type="dxa" w:w="6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Staff costs</w:t>
            </w:r>
          </w:p>
        </w:tc>
        <w:tc>
          <w:tcPr>
            <w:tcW w:type="dxa" w:w="470"/>
            <w:vMerge w:val="restart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341 $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320 $ </w:t>
            </w:r>
          </w:p>
        </w:tc>
        <w:tc>
          <w:tcPr>
            <w:tcW w:type="dxa" w:w="5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240"/>
        </w:trPr>
        <w:tc>
          <w:tcPr>
            <w:tcW w:type="dxa" w:w="6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Travel</w:t>
            </w:r>
          </w:p>
        </w:tc>
        <w:tc>
          <w:tcPr>
            <w:tcW w:type="dxa" w:w="1888"/>
            <w:vMerge/>
            <w:tcBorders>
              <w:bottom w:sz="8.0" w:val="single" w:color="#B6B6B6"/>
            </w:tcBorders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6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Consultant and contractual services</w:t>
            </w:r>
          </w:p>
        </w:tc>
        <w:tc>
          <w:tcPr>
            <w:tcW w:type="dxa" w:w="1888"/>
            <w:vMerge/>
            <w:tcBorders>
              <w:bottom w:sz="8.0" w:val="single" w:color="#B6B6B6"/>
            </w:tcBorders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 </w:t>
            </w:r>
          </w:p>
        </w:tc>
        <w:tc>
          <w:tcPr>
            <w:tcW w:type="dxa" w:w="5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240"/>
        </w:trPr>
        <w:tc>
          <w:tcPr>
            <w:tcW w:type="dxa" w:w="6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and other post-retirement benefits</w:t>
            </w:r>
          </w:p>
        </w:tc>
        <w:tc>
          <w:tcPr>
            <w:tcW w:type="dxa" w:w="1888"/>
            <w:vMerge/>
            <w:tcBorders>
              <w:bottom w:sz="8.0" w:val="single" w:color="#B6B6B6"/>
            </w:tcBorders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5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  <w:tr>
        <w:trPr>
          <w:trHeight w:hRule="exact" w:val="240"/>
        </w:trPr>
        <w:tc>
          <w:tcPr>
            <w:tcW w:type="dxa" w:w="6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Communications and technology</w:t>
            </w:r>
          </w:p>
        </w:tc>
        <w:tc>
          <w:tcPr>
            <w:tcW w:type="dxa" w:w="1888"/>
            <w:vMerge/>
            <w:tcBorders>
              <w:bottom w:sz="8.0" w:val="single" w:color="#B6B6B6"/>
            </w:tcBorders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5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40"/>
        </w:trPr>
        <w:tc>
          <w:tcPr>
            <w:tcW w:type="dxa" w:w="6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Premises and equipment</w:t>
            </w:r>
          </w:p>
        </w:tc>
        <w:tc>
          <w:tcPr>
            <w:tcW w:type="dxa" w:w="1888"/>
            <w:vMerge/>
            <w:tcBorders>
              <w:bottom w:sz="8.0" w:val="single" w:color="#B6B6B6"/>
            </w:tcBorders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59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</w:tr>
      <w:tr>
        <w:trPr>
          <w:trHeight w:hRule="exact" w:val="256"/>
        </w:trPr>
        <w:tc>
          <w:tcPr>
            <w:tcW w:type="dxa" w:w="603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expenses</w:t>
            </w:r>
          </w:p>
        </w:tc>
        <w:tc>
          <w:tcPr>
            <w:tcW w:type="dxa" w:w="1888"/>
            <w:vMerge/>
            <w:tcBorders>
              <w:bottom w:sz="8.0" w:val="single" w:color="#B6B6B6"/>
            </w:tcBorders>
          </w:tcPr>
          <w:p/>
        </w:tc>
        <w:tc>
          <w:tcPr>
            <w:tcW w:type="dxa" w:w="110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 </w:t>
            </w:r>
          </w:p>
        </w:tc>
        <w:tc>
          <w:tcPr>
            <w:tcW w:type="dxa" w:w="11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 </w:t>
            </w:r>
          </w:p>
        </w:tc>
        <w:tc>
          <w:tcPr>
            <w:tcW w:type="dxa" w:w="596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  <w:tr>
        <w:trPr>
          <w:trHeight w:hRule="exact" w:val="344"/>
        </w:trPr>
        <w:tc>
          <w:tcPr>
            <w:tcW w:type="dxa" w:w="603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administrative expenses</w:t>
            </w:r>
          </w:p>
        </w:tc>
        <w:tc>
          <w:tcPr>
            <w:tcW w:type="dxa" w:w="470"/>
            <w:vMerge w:val="restart"/>
            <w:tcBorders>
              <w:top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584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541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43 </w:t>
            </w:r>
          </w:p>
        </w:tc>
      </w:tr>
      <w:tr>
        <w:trPr>
          <w:trHeight w:hRule="exact" w:val="406"/>
        </w:trPr>
        <w:tc>
          <w:tcPr>
            <w:tcW w:type="dxa" w:w="60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Contributions to special programs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8"/>
            <w:vMerge/>
            <w:tcBorders>
              <w:top w:sz="8.0" w:val="single" w:color="#B6B6B6"/>
            </w:tcBorders>
          </w:tcPr>
          <w:p/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178" w:lineRule="exact" w:before="24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Revenue from externally funded activities: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2"/>
        </w:trPr>
        <w:tc>
          <w:tcPr>
            <w:tcW w:type="dxa" w:w="6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Reimbursable revenue – Bank-executed activities for trust funds</w:t>
            </w:r>
          </w:p>
        </w:tc>
        <w:tc>
          <w:tcPr>
            <w:tcW w:type="dxa" w:w="450"/>
            <w:vMerge w:val="restart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(122) </w:t>
            </w:r>
          </w:p>
        </w:tc>
        <w:tc>
          <w:tcPr>
            <w:tcW w:type="dxa" w:w="11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(113) </w:t>
            </w:r>
          </w:p>
        </w:tc>
        <w:tc>
          <w:tcPr>
            <w:tcW w:type="dxa" w:w="61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</w:t>
            </w:r>
          </w:p>
        </w:tc>
      </w:tr>
      <w:tr>
        <w:trPr>
          <w:trHeight w:hRule="exact" w:val="256"/>
        </w:trPr>
        <w:tc>
          <w:tcPr>
            <w:tcW w:type="dxa" w:w="603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revenue</w:t>
            </w:r>
          </w:p>
        </w:tc>
        <w:tc>
          <w:tcPr>
            <w:tcW w:type="dxa" w:w="1888"/>
            <w:vMerge/>
            <w:tcBorders>
              <w:bottom w:sz="8.0" w:val="single" w:color="#B6B6B6"/>
            </w:tcBorders>
          </w:tcPr>
          <w:p/>
        </w:tc>
        <w:tc>
          <w:tcPr>
            <w:tcW w:type="dxa" w:w="110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(68) </w:t>
            </w:r>
          </w:p>
        </w:tc>
        <w:tc>
          <w:tcPr>
            <w:tcW w:type="dxa" w:w="114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(60) </w:t>
            </w:r>
          </w:p>
        </w:tc>
        <w:tc>
          <w:tcPr>
            <w:tcW w:type="dxa" w:w="616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(8) </w:t>
            </w:r>
          </w:p>
        </w:tc>
      </w:tr>
      <w:tr>
        <w:trPr>
          <w:trHeight w:hRule="exact" w:val="240"/>
        </w:trPr>
        <w:tc>
          <w:tcPr>
            <w:tcW w:type="dxa" w:w="603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9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revenue from externally funded activities</w:t>
            </w:r>
          </w:p>
        </w:tc>
        <w:tc>
          <w:tcPr>
            <w:tcW w:type="dxa" w:w="45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(190) $ </w:t>
            </w:r>
          </w:p>
        </w:tc>
        <w:tc>
          <w:tcPr>
            <w:tcW w:type="dxa" w:w="114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(173) $ </w:t>
            </w:r>
          </w:p>
        </w:tc>
        <w:tc>
          <w:tcPr>
            <w:tcW w:type="dxa" w:w="616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(17) </w:t>
            </w:r>
          </w:p>
        </w:tc>
      </w:tr>
      <w:tr>
        <w:trPr>
          <w:trHeight w:hRule="exact" w:val="220"/>
        </w:trPr>
        <w:tc>
          <w:tcPr>
            <w:tcW w:type="dxa" w:w="603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Net Non-Interest Expenses (Table 3) - GAAP basis</w:t>
            </w:r>
          </w:p>
        </w:tc>
        <w:tc>
          <w:tcPr>
            <w:tcW w:type="dxa" w:w="45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395 $ </w:t>
            </w:r>
          </w:p>
        </w:tc>
        <w:tc>
          <w:tcPr>
            <w:tcW w:type="dxa" w:w="114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368 $ </w:t>
            </w:r>
          </w:p>
        </w:tc>
        <w:tc>
          <w:tcPr>
            <w:tcW w:type="dxa" w:w="616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27 </w:t>
            </w:r>
          </w:p>
        </w:tc>
      </w:tr>
      <w:tr>
        <w:trPr>
          <w:trHeight w:hRule="exact" w:val="50"/>
        </w:trPr>
        <w:tc>
          <w:tcPr>
            <w:tcW w:type="dxa" w:w="6030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450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616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242" w:after="2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Adjustments to arrive at Net non-interest expenses - adjusted net income basis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50"/>
        </w:trPr>
        <w:tc>
          <w:tcPr>
            <w:tcW w:type="dxa" w:w="606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2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Pension, RAMP and EFO adjustments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47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114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5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  <w:tc>
          <w:tcPr>
            <w:tcW w:type="dxa" w:w="596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20"/>
        </w:trPr>
        <w:tc>
          <w:tcPr>
            <w:tcW w:type="dxa" w:w="606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non-interest expenses - adjusted net income basis</w:t>
            </w:r>
          </w:p>
        </w:tc>
        <w:tc>
          <w:tcPr>
            <w:tcW w:type="dxa" w:w="47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437 $ </w:t>
            </w:r>
          </w:p>
        </w:tc>
        <w:tc>
          <w:tcPr>
            <w:tcW w:type="dxa" w:w="114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416 $ </w:t>
            </w:r>
          </w:p>
        </w:tc>
        <w:tc>
          <w:tcPr>
            <w:tcW w:type="dxa" w:w="596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260"/>
        </w:trPr>
        <w:tc>
          <w:tcPr>
            <w:tcW w:type="dxa" w:w="606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4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80" w:lineRule="exact" w:before="11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Included in Non-interest expenses – Other in the Statements of Income. </w:t>
      </w:r>
    </w:p>
    <w:p>
      <w:pPr>
        <w:autoSpaceDN w:val="0"/>
        <w:autoSpaceDE w:val="0"/>
        <w:widowControl/>
        <w:spacing w:line="178" w:lineRule="exact" w:before="4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Adjustments are included in the Pension and other adjustments line in Table 4.</w:t>
      </w:r>
    </w:p>
    <w:p>
      <w:pPr>
        <w:autoSpaceDN w:val="0"/>
        <w:autoSpaceDE w:val="0"/>
        <w:widowControl/>
        <w:spacing w:line="240" w:lineRule="exact" w:before="25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FY25 YTD, IDA’s net other revenue was $12 million compared to $16 million net other expenses in FY24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YTD. The change was due to lower Project Preparation Advances (PPA) grant expenses, net of cancellations,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conversion of previously approved PPA grants into loans. Converted PPA grants are included in loans outstanding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provided to the borrower, and correspondingly, prior grant expenses are reversed.</w:t>
      </w:r>
    </w:p>
    <w:p>
      <w:pPr>
        <w:autoSpaceDN w:val="0"/>
        <w:autoSpaceDE w:val="0"/>
        <w:widowControl/>
        <w:spacing w:line="178" w:lineRule="exact" w:before="27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11: Other Revenue (Expenses), net</w:t>
      </w:r>
    </w:p>
    <w:p>
      <w:pPr>
        <w:autoSpaceDN w:val="0"/>
        <w:autoSpaceDE w:val="0"/>
        <w:widowControl/>
        <w:spacing w:line="178" w:lineRule="exact" w:before="74" w:after="7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72"/>
        </w:trPr>
        <w:tc>
          <w:tcPr>
            <w:tcW w:type="dxa" w:w="603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three months ended September 30,</w:t>
            </w:r>
          </w:p>
        </w:tc>
        <w:tc>
          <w:tcPr>
            <w:tcW w:type="dxa" w:w="4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8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45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100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2023</w:t>
            </w:r>
          </w:p>
        </w:tc>
        <w:tc>
          <w:tcPr>
            <w:tcW w:type="dxa" w:w="83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30"/>
        </w:trPr>
        <w:tc>
          <w:tcPr>
            <w:tcW w:type="dxa" w:w="6030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PPA grants and others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440"/>
            <w:vMerge w:val="restart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$ </w:t>
            </w:r>
          </w:p>
        </w:tc>
        <w:tc>
          <w:tcPr>
            <w:tcW w:type="dxa" w:w="1000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(24) $ </w:t>
            </w:r>
          </w:p>
        </w:tc>
        <w:tc>
          <w:tcPr>
            <w:tcW w:type="dxa" w:w="830"/>
            <w:tcBorders>
              <w:top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 </w:t>
            </w:r>
          </w:p>
        </w:tc>
      </w:tr>
      <w:tr>
        <w:trPr>
          <w:trHeight w:hRule="exact" w:val="240"/>
        </w:trPr>
        <w:tc>
          <w:tcPr>
            <w:tcW w:type="dxa" w:w="60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Guarantee fees and others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88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0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10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83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 </w:t>
            </w:r>
          </w:p>
        </w:tc>
      </w:tr>
      <w:tr>
        <w:trPr>
          <w:trHeight w:hRule="exact" w:val="250"/>
        </w:trPr>
        <w:tc>
          <w:tcPr>
            <w:tcW w:type="dxa" w:w="603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Commitment charges</w:t>
            </w:r>
          </w:p>
        </w:tc>
        <w:tc>
          <w:tcPr>
            <w:tcW w:type="dxa" w:w="1888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08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00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830"/>
            <w:tcBorders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</w:tr>
      <w:tr>
        <w:trPr>
          <w:trHeight w:hRule="exact" w:val="220"/>
        </w:trPr>
        <w:tc>
          <w:tcPr>
            <w:tcW w:type="dxa" w:w="603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Other revenue (expenses), net (Table 3)</w:t>
            </w:r>
          </w:p>
        </w:tc>
        <w:tc>
          <w:tcPr>
            <w:tcW w:type="dxa" w:w="44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8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12 $ </w:t>
            </w:r>
          </w:p>
        </w:tc>
        <w:tc>
          <w:tcPr>
            <w:tcW w:type="dxa" w:w="100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(16) $ </w:t>
            </w:r>
          </w:p>
        </w:tc>
        <w:tc>
          <w:tcPr>
            <w:tcW w:type="dxa" w:w="830"/>
            <w:tcBorders>
              <w:top w:sz="8.0" w:val="single" w:color="#B6B6B6"/>
              <w:bottom w:sz="8.0" w:val="single" w:color="#B6B6B6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28 </w:t>
            </w:r>
          </w:p>
        </w:tc>
      </w:tr>
    </w:tbl>
    <w:p>
      <w:pPr>
        <w:autoSpaceDN w:val="0"/>
        <w:autoSpaceDE w:val="0"/>
        <w:widowControl/>
        <w:spacing w:line="192" w:lineRule="exact" w:before="338" w:after="0"/>
        <w:ind w:left="10" w:right="3168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 Included in Non-interest expenses – Other in the Condensed Statements of Income. </w:t>
      </w:r>
      <w:r>
        <w:rPr>
          <w:rFonts w:ascii="Arial" w:hAnsi="Arial" w:eastAsia="Arial"/>
          <w:b w:val="0"/>
          <w:i/>
          <w:color w:val="000000"/>
          <w:sz w:val="16"/>
        </w:rPr>
        <w:t>b.  Included in Non-interest revenue – Other in the Condensed Statements of Income.</w:t>
      </w:r>
    </w:p>
    <w:p>
      <w:pPr>
        <w:autoSpaceDN w:val="0"/>
        <w:autoSpaceDE w:val="0"/>
        <w:widowControl/>
        <w:spacing w:line="244" w:lineRule="exact" w:before="11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Unrealized mark-to-market gains (losses) on non-trading portfolios, net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FY25 YTD, the non-trading portfolios had $134 million unrealized mark-to-market losses compared to $656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million of unrealized mark-to-market gains in FY24 YTD. This was mainly driven by $150 million unrealized mark-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to-market losses from the derivatives held for the Capital Value Protection Program (CVP), managed as part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Asset-Liability management (ALM), as a result of a decrease in the interest rates for long tenors in FY25 YTD,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compared to unrealized mark-to-market gains from CVP, due to the increase in the interest rates for long tenors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FY24 YTD. IDA also recorded $32 million of net unrealized mark-to-market losses on IDA’s loan-related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derivatives in FY25 YTD, primarily driven by the decrease in the relevant discount rates between September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2024 and June 30, 2024.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1164" w:after="0"/>
        <w:ind w:left="21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September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17</w:t>
      </w:r>
    </w:p>
    <w:p>
      <w:pPr>
        <w:sectPr>
          <w:pgSz w:w="12240" w:h="15840"/>
          <w:pgMar w:top="256" w:right="1370" w:bottom="21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IV: Financial Results</w:t>
            </w:r>
          </w:p>
        </w:tc>
      </w:tr>
    </w:tbl>
    <w:p>
      <w:pPr>
        <w:autoSpaceDN w:val="0"/>
        <w:autoSpaceDE w:val="0"/>
        <w:widowControl/>
        <w:spacing w:line="192" w:lineRule="exact" w:before="312" w:after="70"/>
        <w:ind w:left="10" w:right="3168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Table 12: Unrealized Mark-to-Market (losses) gains on non-trading portfolios, net </w:t>
      </w: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72"/>
        </w:trPr>
        <w:tc>
          <w:tcPr>
            <w:tcW w:type="dxa" w:w="59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For the three months ended September 30,</w:t>
            </w:r>
          </w:p>
        </w:tc>
        <w:tc>
          <w:tcPr>
            <w:tcW w:type="dxa" w:w="51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52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2024</w:t>
            </w:r>
          </w:p>
        </w:tc>
        <w:tc>
          <w:tcPr>
            <w:tcW w:type="dxa" w:w="96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2023</w:t>
            </w:r>
          </w:p>
        </w:tc>
        <w:tc>
          <w:tcPr>
            <w:tcW w:type="dxa" w:w="77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Variance</w:t>
            </w:r>
          </w:p>
        </w:tc>
      </w:tr>
      <w:tr>
        <w:trPr>
          <w:trHeight w:hRule="exact" w:val="224"/>
        </w:trPr>
        <w:tc>
          <w:tcPr>
            <w:tcW w:type="dxa" w:w="59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Asset-liability management (ALM)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510"/>
            <w:vMerge w:val="restart"/>
            <w:tcBorders>
              <w:top w:sz="8.0" w:val="single" w:color="#B6B6B6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(90) $ </w:t>
            </w:r>
          </w:p>
        </w:tc>
        <w:tc>
          <w:tcPr>
            <w:tcW w:type="dxa" w:w="96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628 $ </w:t>
            </w:r>
          </w:p>
        </w:tc>
        <w:tc>
          <w:tcPr>
            <w:tcW w:type="dxa" w:w="77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(718) </w:t>
            </w:r>
          </w:p>
        </w:tc>
      </w:tr>
      <w:tr>
        <w:trPr>
          <w:trHeight w:hRule="exact" w:val="24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 portfolio</w:t>
            </w:r>
          </w:p>
        </w:tc>
        <w:tc>
          <w:tcPr>
            <w:tcW w:type="dxa" w:w="1888"/>
            <w:vMerge/>
            <w:tcBorders>
              <w:top w:sz="8.0" w:val="single" w:color="#B6B6B6"/>
              <w:bottom w:sz="8.0" w:val="single" w:color="#000000"/>
            </w:tcBorders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</w:tr>
      <w:tr>
        <w:trPr>
          <w:trHeight w:hRule="exact" w:val="24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 portfolio</w:t>
            </w:r>
          </w:p>
        </w:tc>
        <w:tc>
          <w:tcPr>
            <w:tcW w:type="dxa" w:w="1888"/>
            <w:vMerge/>
            <w:tcBorders>
              <w:top w:sz="8.0" w:val="single" w:color="#B6B6B6"/>
              <w:bottom w:sz="8.0" w:val="single" w:color="#000000"/>
            </w:tcBorders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</w:t>
            </w:r>
          </w:p>
        </w:tc>
      </w:tr>
      <w:tr>
        <w:trPr>
          <w:trHeight w:hRule="exact" w:val="240"/>
        </w:trPr>
        <w:tc>
          <w:tcPr>
            <w:tcW w:type="dxa" w:w="5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</w:t>
            </w:r>
          </w:p>
        </w:tc>
        <w:tc>
          <w:tcPr>
            <w:tcW w:type="dxa" w:w="1888"/>
            <w:vMerge/>
            <w:tcBorders>
              <w:top w:sz="8.0" w:val="single" w:color="#B6B6B6"/>
              <w:bottom w:sz="8.0" w:val="single" w:color="#000000"/>
            </w:tcBorders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(32)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(64) </w:t>
            </w:r>
          </w:p>
        </w:tc>
      </w:tr>
      <w:tr>
        <w:trPr>
          <w:trHeight w:hRule="exact" w:val="256"/>
        </w:trPr>
        <w:tc>
          <w:tcPr>
            <w:tcW w:type="dxa" w:w="59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888"/>
            <w:vMerge/>
            <w:tcBorders>
              <w:top w:sz="8.0" w:val="single" w:color="#B6B6B6"/>
              <w:bottom w:sz="8.0" w:val="single" w:color="#000000"/>
            </w:tcBorders>
          </w:tcPr>
          <w:p/>
        </w:tc>
        <w:tc>
          <w:tcPr>
            <w:tcW w:type="dxa" w:w="12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(8) </w:t>
            </w:r>
          </w:p>
        </w:tc>
        <w:tc>
          <w:tcPr>
            <w:tcW w:type="dxa" w:w="9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2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7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(6) </w:t>
            </w:r>
          </w:p>
        </w:tc>
      </w:tr>
      <w:tr>
        <w:trPr>
          <w:trHeight w:hRule="exact" w:val="220"/>
        </w:trPr>
        <w:tc>
          <w:tcPr>
            <w:tcW w:type="dxa" w:w="59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(134) $ </w:t>
            </w:r>
          </w:p>
        </w:tc>
        <w:tc>
          <w:tcPr>
            <w:tcW w:type="dxa" w:w="9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656 $ </w:t>
            </w:r>
          </w:p>
        </w:tc>
        <w:tc>
          <w:tcPr>
            <w:tcW w:type="dxa" w:w="7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(790) </w:t>
            </w:r>
          </w:p>
        </w:tc>
      </w:tr>
      <w:tr>
        <w:trPr>
          <w:trHeight w:hRule="exact" w:val="244"/>
        </w:trPr>
        <w:tc>
          <w:tcPr>
            <w:tcW w:type="dxa" w:w="5940"/>
            <w:tcBorders>
              <w:top w:sz="8.0" w:val="single" w:color="#000000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8.0" w:val="single" w:color="#000000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0"/>
            <w:tcBorders>
              <w:top w:sz="8.0" w:val="single" w:color="#000000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60"/>
            <w:tcBorders>
              <w:top w:sz="8.0" w:val="single" w:color="#000000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70"/>
            <w:tcBorders>
              <w:top w:sz="8.0" w:val="single" w:color="#000000"/>
              <w:bottom w:sz="8.0" w:val="single" w:color="#B6B6B6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2" w:lineRule="exact" w:before="60" w:after="0"/>
        <w:ind w:left="10" w:right="230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unrealized mark-to-market gains (losses) on the CVP portfolio and other ALM portfolios. </w:t>
      </w:r>
      <w:r>
        <w:rPr>
          <w:rFonts w:ascii="Arial" w:hAnsi="Arial" w:eastAsia="Arial"/>
          <w:b w:val="0"/>
          <w:i/>
          <w:color w:val="000000"/>
          <w:sz w:val="16"/>
        </w:rPr>
        <w:t>b. Represents unrealized mark-to-market gains (losses) on PSW associated instruments.</w:t>
      </w:r>
    </w:p>
    <w:p>
      <w:pPr>
        <w:autoSpaceDN w:val="0"/>
        <w:autoSpaceDE w:val="0"/>
        <w:widowControl/>
        <w:spacing w:line="244" w:lineRule="exact" w:before="234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Non-functional currency translation adjustment gains (losses), net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Non-functional currency translation adjustment gains or losses represent unrealized exchange rate gains or losses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resulting from the economic hedging of exchange rate risk related to future donor contributions, borrowings, and 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other assets and liabilities held on IDA’s Balance Sheets, that are denominated in currencies other than the SDR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its component currencies. The translation adjustment losses in FY25 YTD and gains in FY24 YTD were primarily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driven by the hedging of exchange rate risk related to future donor contributions. Certain members pledge their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future equity contributions in non-SDR currencies. These future cash flows are economically hedged using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forwards. The economic offset is inherent in the future contribution inflows. The payable portion of the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forward contracts are denominated in non-functional currencies. The depreciation or appreciation of these currencies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against the U.S. dollar results in exchange rate gains or losses which are recorded in the income statements.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Accordingly, the translation adjustment losses on non-functional currencies were $125 million in FY25 YTD,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compared to translation adjustment gains of $17 million in FY24 YTD. The translation adjustment losses in FY25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YTD were primarily driven by the appreciation of certain non-functional currencies against the U.S. dollar when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compared to FY24 YTD. The translation adjustment gains in FY24 YTD were primarily driven by the depreciation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 certain non-functional currencies against the U.S. dollar.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728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September 30, 2024</w:t>
      </w:r>
    </w:p>
    <w:p>
      <w:pPr>
        <w:sectPr>
          <w:pgSz w:w="12240" w:h="15840"/>
          <w:pgMar w:top="256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Risk Management</w:t>
            </w:r>
          </w:p>
        </w:tc>
      </w:tr>
    </w:tbl>
    <w:p>
      <w:pPr>
        <w:autoSpaceDN w:val="0"/>
        <w:autoSpaceDE w:val="0"/>
        <w:widowControl/>
        <w:spacing w:line="314" w:lineRule="exact" w:before="356" w:after="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Section V: Risk Management</w:t>
      </w:r>
    </w:p>
    <w:p>
      <w:pPr>
        <w:autoSpaceDN w:val="0"/>
        <w:autoSpaceDE w:val="0"/>
        <w:widowControl/>
        <w:spacing w:line="268" w:lineRule="exact" w:before="22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 xml:space="preserve">Risk Governance 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risk management processes and practices continually evolve to reflect changes in activities in response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market, credit, product, operational, and other developments. The Board, particularly the Audit Committee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members, periodically reviews trends in IDA’s risk profiles and performance, and any major developments in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management policies and controls.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believes that effective risk management is critical for IDA’s overall operations. Accordingly, the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management governance structure is designed to manage the principal risks IDA assumes in its activities.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Risk Oversight and Coverage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Vice President and WBG Chief Risk Officer (CRO) oversees both financial and operational risks. These risks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include (i) country credit risks in the core sovereign lending business, (ii) market and counterparty risks including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liquidity and model risks, and (iii) operational risks relating to people, processes, and systems, or from external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events.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risk of IDA’s operations not meeting the expected development outcomes (development outcome risks)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lending activities is monitored at the corporate level by Operations Policy and Country Services (OPCS).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Where fraud and corruption risks may impact IDA-financed projects, OPCS, the Regions and Practice Groups,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Integrity Vice Presidency jointly address such issues.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a detailed discussion of the risk governance and risk oversight and coverage, see IDA's MD&amp;A for the fiscal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year ended June 30, 2024, Section IX: Risk Management.</w:t>
      </w:r>
    </w:p>
    <w:p>
      <w:pPr>
        <w:autoSpaceDN w:val="0"/>
        <w:autoSpaceDE w:val="0"/>
        <w:widowControl/>
        <w:spacing w:line="268" w:lineRule="exact" w:before="136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4"/>
        </w:rPr>
        <w:t>Management of IDA’s Risks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assumes financial risks in order to achieve its development and strategic objectives. IDA’s financial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framework is designed to enable and support the institution in achieving its goals in a financially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sustainable manner. IDA manages credit, market, and operational risks in its financial activities, which include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lending, borrowing, and investing. The primary financial risk to IDA is the country credit risk inherent in its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guarantee portfolio. IDA is also exposed to risks in its liquid asset and derivative portfolios, where the major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risks are interest rate, exchange rate, commercial counterparty, and liquidity risks. IDA’s operational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framework is based on a structured and uniform approach to identify, assess, and monitor key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operational risks across business units.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Capital Adequacy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uses a solvency-based capital adequacy model, which mandates that IDA hold capital for credit risk, market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and operational risk covering all activities and assets on its books. IDA's main measure of capital adequacy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Deployable Strategic Capital (DSC), which represents the capital available to support future commitments, over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above the current portfolio. IDA is required, based on a Board-approved policy, to keep the DSC at no lower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than zero. The DSC is calculated as the amount by which Total Resources Available (TRA) exceed Total Resources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Required (TRR) and a Conservation Buffer (CB). TRA represents IDA’s available equity plus accumulated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provision for losses on loans and other exposures. The TRR is the minimum capital required to cover expected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unexpected losses in connection with all of IDA’s operations and assets. The Conservation Buffer is calculated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10% of TRA.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April 2024, the Board approved enhancements to the DSC, as part of the review of IDA’s Capital Adequacy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Framework (CAF), to increase the efficiency of IDA’s capital utilization while continuing to protect IDA’s triple-A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rating and long-term financial sustainability. The review built on IDA’s experience with implementing the hybrid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financial model since its introduction in 2018. The main  adjustment to DSC included reclassifying two items from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TRR to TRA (as a subtraction to equity) to more accurately reflect equity available for leveraging and risk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absorption. These two reclassified items that now decrease TRA are: a) the present value adjustment of IDA’s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concessional loan portfolio based on the prevailing interest rates and b) the balance of development grants approved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but not yet expensed. 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center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addition, the TRA has been refined to include the expected encashment of donor contributions in IDA’s 3-year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horizon, and exclude pension-related adjustments and other restricted assets. The TRR now also includes a </w:t>
      </w:r>
    </w:p>
    <w:p>
      <w:pPr>
        <w:autoSpaceDN w:val="0"/>
        <w:tabs>
          <w:tab w:pos="9094" w:val="left"/>
        </w:tabs>
        <w:autoSpaceDE w:val="0"/>
        <w:widowControl/>
        <w:spacing w:line="224" w:lineRule="exact" w:before="646" w:after="0"/>
        <w:ind w:left="210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September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19</w:t>
      </w:r>
    </w:p>
    <w:p>
      <w:pPr>
        <w:sectPr>
          <w:pgSz w:w="12240" w:h="15840"/>
          <w:pgMar w:top="256" w:right="1370" w:bottom="216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29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capital charge required for interest rate risk on the expected net disbursements of concessional loans in IDA’s 3-year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horizon (capital charge required for credit risk on the outstanding balances was already incorporated).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addition, the capital charges for the components of the PSW have also been updated based on actual transaction data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since the creation of the PSW in 2018. These changes were implemented beginning with the reporting for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2024. </w:t>
      </w:r>
    </w:p>
    <w:p>
      <w:pPr>
        <w:autoSpaceDN w:val="0"/>
        <w:autoSpaceDE w:val="0"/>
        <w:widowControl/>
        <w:spacing w:line="224" w:lineRule="exact" w:before="13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the DSC ratio was 32.1% (34.8% as of June 30, 2024). IDA's capital continues to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adequate to support its operations. See Table 13. The decrease was mainly due to a larger percentage increase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TRR compared to the percentage increase in TRA. The increase in TRR was primarily due to the higher capital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requirements for the increase in total exposure. The increase in TRA was mainly due to a lower interest rate risk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fixed rate concessional loans at prevailing market interest rates, and the increase in equity during the period.</w:t>
      </w:r>
    </w:p>
    <w:p>
      <w:pPr>
        <w:autoSpaceDN w:val="0"/>
        <w:autoSpaceDE w:val="0"/>
        <w:widowControl/>
        <w:spacing w:line="178" w:lineRule="exact" w:before="238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13: Deployable Strategic Capital Ratio</w:t>
      </w:r>
    </w:p>
    <w:p>
      <w:pPr>
        <w:autoSpaceDN w:val="0"/>
        <w:autoSpaceDE w:val="0"/>
        <w:widowControl/>
        <w:spacing w:line="178" w:lineRule="exact" w:before="74" w:after="412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 except ratios in percentages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320"/>
        </w:trPr>
        <w:tc>
          <w:tcPr>
            <w:tcW w:type="dxa" w:w="4130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As of </w:t>
            </w:r>
          </w:p>
        </w:tc>
        <w:tc>
          <w:tcPr>
            <w:tcW w:type="dxa" w:w="256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4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Sep-24</w:t>
            </w:r>
          </w:p>
        </w:tc>
        <w:tc>
          <w:tcPr>
            <w:tcW w:type="dxa" w:w="2316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39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Jun-24</w:t>
            </w:r>
          </w:p>
        </w:tc>
        <w:tc>
          <w:tcPr>
            <w:tcW w:type="dxa" w:w="1034"/>
            <w:tcBorders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0" w:right="6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Change</w:t>
            </w:r>
          </w:p>
        </w:tc>
      </w:tr>
      <w:tr>
        <w:trPr>
          <w:trHeight w:hRule="exact" w:val="270"/>
        </w:trPr>
        <w:tc>
          <w:tcPr>
            <w:tcW w:type="dxa" w:w="4130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Resources Available (TRA)</w:t>
            </w:r>
          </w:p>
        </w:tc>
        <w:tc>
          <w:tcPr>
            <w:tcW w:type="dxa" w:w="256"/>
            <w:vMerge w:val="restart"/>
            <w:tcBorders>
              <w:top w:sz="8.0" w:val="single" w:color="#7F7F7F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644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159.4 </w:t>
            </w:r>
          </w:p>
        </w:tc>
        <w:tc>
          <w:tcPr>
            <w:tcW w:type="dxa" w:w="2316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149.5 </w:t>
            </w:r>
          </w:p>
        </w:tc>
        <w:tc>
          <w:tcPr>
            <w:tcW w:type="dxa" w:w="1034"/>
            <w:tcBorders>
              <w:top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9.9 </w:t>
            </w:r>
          </w:p>
        </w:tc>
      </w:tr>
      <w:tr>
        <w:trPr>
          <w:trHeight w:hRule="exact" w:val="360"/>
        </w:trPr>
        <w:tc>
          <w:tcPr>
            <w:tcW w:type="dxa" w:w="4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Resources Required (TRR)</w:t>
            </w:r>
          </w:p>
        </w:tc>
        <w:tc>
          <w:tcPr>
            <w:tcW w:type="dxa" w:w="1888"/>
            <w:vMerge/>
            <w:tcBorders>
              <w:top w:sz="8.0" w:val="single" w:color="#7F7F7F"/>
              <w:bottom w:sz="4.0" w:val="single" w:color="#000000"/>
            </w:tcBorders>
          </w:tcPr>
          <w:p/>
        </w:tc>
        <w:tc>
          <w:tcPr>
            <w:tcW w:type="dxa" w:w="1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92.3 </w:t>
            </w:r>
          </w:p>
        </w:tc>
        <w:tc>
          <w:tcPr>
            <w:tcW w:type="dxa" w:w="23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82.5 </w:t>
            </w:r>
          </w:p>
        </w:tc>
        <w:tc>
          <w:tcPr>
            <w:tcW w:type="dxa" w:w="10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9.8 </w:t>
            </w:r>
          </w:p>
        </w:tc>
      </w:tr>
      <w:tr>
        <w:trPr>
          <w:trHeight w:hRule="exact" w:val="404"/>
        </w:trPr>
        <w:tc>
          <w:tcPr>
            <w:tcW w:type="dxa" w:w="413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Conservation Buffer (CB)</w:t>
            </w:r>
          </w:p>
        </w:tc>
        <w:tc>
          <w:tcPr>
            <w:tcW w:type="dxa" w:w="1888"/>
            <w:vMerge/>
            <w:tcBorders>
              <w:top w:sz="8.0" w:val="single" w:color="#7F7F7F"/>
              <w:bottom w:sz="4.0" w:val="single" w:color="#000000"/>
            </w:tcBorders>
          </w:tcPr>
          <w:p/>
        </w:tc>
        <w:tc>
          <w:tcPr>
            <w:tcW w:type="dxa" w:w="164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15.9 </w:t>
            </w:r>
          </w:p>
        </w:tc>
        <w:tc>
          <w:tcPr>
            <w:tcW w:type="dxa" w:w="2316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15.0 </w:t>
            </w:r>
          </w:p>
        </w:tc>
        <w:tc>
          <w:tcPr>
            <w:tcW w:type="dxa" w:w="103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4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0.9 </w:t>
            </w:r>
          </w:p>
        </w:tc>
      </w:tr>
      <w:tr>
        <w:trPr>
          <w:trHeight w:hRule="exact" w:val="346"/>
        </w:trPr>
        <w:tc>
          <w:tcPr>
            <w:tcW w:type="dxa" w:w="4130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Deployable Strategic Capital (DSC = TRA-TRR-CB)</w:t>
            </w:r>
          </w:p>
        </w:tc>
        <w:tc>
          <w:tcPr>
            <w:tcW w:type="dxa" w:w="25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$</w:t>
            </w:r>
          </w:p>
        </w:tc>
        <w:tc>
          <w:tcPr>
            <w:tcW w:type="dxa" w:w="164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51.2 </w:t>
            </w:r>
          </w:p>
        </w:tc>
        <w:tc>
          <w:tcPr>
            <w:tcW w:type="dxa" w:w="2316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52.0 </w:t>
            </w:r>
          </w:p>
        </w:tc>
        <w:tc>
          <w:tcPr>
            <w:tcW w:type="dxa" w:w="1034"/>
            <w:tcBorders>
              <w:top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(0.8) </w:t>
            </w:r>
          </w:p>
        </w:tc>
      </w:tr>
      <w:tr>
        <w:trPr>
          <w:trHeight w:hRule="exact" w:val="344"/>
        </w:trPr>
        <w:tc>
          <w:tcPr>
            <w:tcW w:type="dxa" w:w="4130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4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Deployable Strategic Capital as a percentage of TRA</w:t>
            </w:r>
          </w:p>
        </w:tc>
        <w:tc>
          <w:tcPr>
            <w:tcW w:type="dxa" w:w="256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44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0" w:right="2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32.1 %</w:t>
            </w:r>
          </w:p>
        </w:tc>
        <w:tc>
          <w:tcPr>
            <w:tcW w:type="dxa" w:w="2316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0" w:right="35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34.8 %</w:t>
            </w:r>
          </w:p>
        </w:tc>
        <w:tc>
          <w:tcPr>
            <w:tcW w:type="dxa" w:w="1034"/>
            <w:tcBorders>
              <w:top w:sz="4.0" w:val="single" w:color="#000000"/>
              <w:bottom w:sz="8.0" w:val="single" w:color="#7F7F7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(2.7) %</w:t>
            </w:r>
          </w:p>
        </w:tc>
      </w:tr>
    </w:tbl>
    <w:p>
      <w:pPr>
        <w:autoSpaceDN w:val="0"/>
        <w:autoSpaceDE w:val="0"/>
        <w:widowControl/>
        <w:spacing w:line="244" w:lineRule="exact" w:before="33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Asset - Liability Management (ALM)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Since FY22, IDA’s interim ALM policy allows, under specific criteria, funding fixed rate loans with long-term fixed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rate market debt and CPLs (both reported at amortized cost), as part of IDA’s interest rate risk management to align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interest rate and maturities of the debt with those of the loan portfolio. For more details, see Notes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Condensed Quarterly Financial Statements for the period ended September 30, 2024, Note E: Borrowings.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Capital Value Protection Program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part of IDA’s ALM policies, IDA executed pay fixed, receive floating forward-starting swaps with a notional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$15.0 billion under a Board-approved Capital Value Protection Program. The objective of the program is to partially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reduce the sensitivity of IDA’s capital adequacy model to changes in long-term interest rates and allow for more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resources to be available for lending under the capital adequacy framework. For more details, see Notes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Condensed Quarterly Financial Statements for the period ended September 30, 2024, Note F: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Instruments.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Management of Credit and Market Risks</w:t>
      </w:r>
    </w:p>
    <w:p>
      <w:pPr>
        <w:autoSpaceDN w:val="0"/>
        <w:autoSpaceDE w:val="0"/>
        <w:widowControl/>
        <w:spacing w:line="220" w:lineRule="exact" w:before="14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Credit Risk</w:t>
      </w:r>
    </w:p>
    <w:p>
      <w:pPr>
        <w:autoSpaceDN w:val="0"/>
        <w:autoSpaceDE w:val="0"/>
        <w:widowControl/>
        <w:spacing w:line="240" w:lineRule="exact" w:before="12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faces two types of credit risk: country credit risk and counterparty credit risk. Country credit risk is the risk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 due to a country not meeting its contractual obligations, and counterparty credit risk is the risk of loss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attributable to a counterparty not honoring its contractual obligations. IDA is exposed to commercial as well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noncommercial counterparty credit risk.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Country Credit Risk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lending management framework encompasses the long-standing PBA mechanism and allocation framework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agreed at each replenishment, complemented by additional considerations required when accessing debt markets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ensure adherence to risk management (capital adequacy) requirements.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regularly assesses the country credit risk of all its borrowers. IDA produces credit risk ratings for all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borrowing countries, which reflect country economic, financial, and political circumstances, and also considers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environmental, social and governance (ESG) risk factors. Based on these risk ratings, to manage overall portfolio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risk, the allocation outcomes of the PBA and other mechanisms are reviewed to ensure that they are compatible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Deployable Strategic Capital Framework and Single Borrower Limit (SBL).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588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September 30, 2024</w:t>
      </w:r>
    </w:p>
    <w:p>
      <w:pPr>
        <w:sectPr>
          <w:pgSz w:w="12240" w:h="15840"/>
          <w:pgMar w:top="256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296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SBL has been set at $47.5 billion (25% of $190.3 billion of equity as of June 30, 2024) for FY25, a marginal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increase compared to $46.0 billion for FY24. Currently, the maximum country exposure levels compatible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overall capital adequacy target are lower than the SBL for all IDA borrowing countries. As a consequence,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SBL is currently not a constraining factor.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the ten countries with the highest exposures accounted for 63% of IDA’s total exposure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(Figure 8). Monitoring these exposures relative to the SBL requires consideration of the repayment profiles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existing loans, as well as disbursement profiles and projected new loans and guarantees.</w:t>
      </w:r>
    </w:p>
    <w:p>
      <w:pPr>
        <w:autoSpaceDN w:val="0"/>
        <w:autoSpaceDE w:val="0"/>
        <w:widowControl/>
        <w:spacing w:line="178" w:lineRule="exact" w:before="150" w:after="0"/>
        <w:ind w:left="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Figure 8: Country Exposures as of September 30, 2024</w:t>
      </w:r>
    </w:p>
    <w:p>
      <w:pPr>
        <w:autoSpaceDN w:val="0"/>
        <w:autoSpaceDE w:val="0"/>
        <w:widowControl/>
        <w:spacing w:line="178" w:lineRule="exact" w:before="74" w:after="0"/>
        <w:ind w:left="4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billions of U.S. dollars</w:t>
      </w:r>
    </w:p>
    <w:p>
      <w:pPr>
        <w:autoSpaceDN w:val="0"/>
        <w:autoSpaceDE w:val="0"/>
        <w:widowControl/>
        <w:spacing w:line="222" w:lineRule="exact" w:before="292" w:after="210"/>
        <w:ind w:left="0" w:right="3492" w:firstLine="0"/>
        <w:jc w:val="right"/>
      </w:pPr>
      <w:r>
        <w:rPr>
          <w:rFonts w:ascii="Arial" w:hAnsi="Arial" w:eastAsia="Arial"/>
          <w:b/>
          <w:i w:val="0"/>
          <w:color w:val="595959"/>
          <w:sz w:val="20"/>
        </w:rPr>
        <w:t>Top Ten Country Exposures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4.00000000000006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35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Bangladesh</w:t>
            </w:r>
          </w:p>
        </w:tc>
        <w:tc>
          <w:tcPr>
            <w:tcW w:type="dxa" w:w="8080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3.99999999999977" w:type="dxa"/>
            </w:tblPr>
            <w:tblGrid>
              <w:gridCol w:w="8080"/>
            </w:tblGrid>
            <w:tr>
              <w:trPr>
                <w:trHeight w:hRule="exact" w:val="326"/>
              </w:trPr>
              <w:tc>
                <w:tcPr>
                  <w:tcW w:type="dxa" w:w="7694"/>
                  <w:tcBorders>
                    <w:start w:sz="6.000010967254639" w:val="single" w:color="#898A89"/>
                    <w:bottom w:sz="6.000010967254639" w:val="single" w:color="#898A89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2114" w:val="left"/>
                      <w:tab w:pos="3854" w:val="left"/>
                      <w:tab w:pos="3914" w:val="left"/>
                      <w:tab w:pos="4168" w:val="left"/>
                      <w:tab w:pos="5128" w:val="left"/>
                      <w:tab w:pos="5564" w:val="left"/>
                      <w:tab w:pos="6044" w:val="left"/>
                      <w:tab w:pos="6944" w:val="left"/>
                    </w:tabs>
                    <w:autoSpaceDE w:val="0"/>
                    <w:widowControl/>
                    <w:spacing w:line="324" w:lineRule="exact" w:before="0" w:after="0"/>
                    <w:ind w:left="1438" w:right="432" w:firstLine="0"/>
                    <w:jc w:val="left"/>
                  </w:pP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21.0 </w:t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18.5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17.1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15.9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13.1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12.4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12.2 </w:t>
                  </w:r>
                  <w:r>
                    <w:br/>
                  </w:r>
                  <w:r>
                    <w:tab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12.2 </w:t>
                  </w:r>
                  <w:r>
                    <w:br/>
                  </w:r>
                  <w:r>
                    <w:tab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 xml:space="preserve">7.0 </w:t>
                  </w:r>
                  <w:r>
                    <w:br/>
                  </w:r>
                  <w:r>
                    <w:rPr>
                      <w:rFonts w:ascii="ArialMT" w:hAnsi="ArialMT" w:eastAsia="ArialMT"/>
                      <w:b w:val="0"/>
                      <w:i w:val="0"/>
                      <w:color w:val="FFFFFF"/>
                      <w:sz w:val="16"/>
                    </w:rPr>
                    <w:t>5.0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2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Pakistan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2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Nigeria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2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India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Ethiopia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30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Kenya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0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Tanzania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2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Viet Nam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28"/>
        </w:trPr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4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Ghana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444"/>
        </w:trPr>
        <w:tc>
          <w:tcPr>
            <w:tcW w:type="dxa" w:w="10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6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Uganda</w:t>
            </w:r>
          </w:p>
        </w:tc>
        <w:tc>
          <w:tcPr>
            <w:tcW w:type="dxa" w:w="8712"/>
            <w:gridSpan w:val="12"/>
            <w:vMerge/>
            <w:tcBorders/>
          </w:tcPr>
          <w:p/>
        </w:tc>
      </w:tr>
      <w:tr>
        <w:trPr>
          <w:trHeight w:hRule="exact" w:val="306"/>
        </w:trPr>
        <w:tc>
          <w:tcPr>
            <w:tcW w:type="dxa" w:w="726"/>
            <w:vMerge/>
            <w:tcBorders/>
          </w:tcPr>
          <w:p/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0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</w:t>
            </w:r>
          </w:p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4</w:t>
            </w:r>
          </w:p>
        </w:tc>
        <w:tc>
          <w:tcPr>
            <w:tcW w:type="dxa" w:w="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6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8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10</w:t>
            </w:r>
          </w:p>
        </w:tc>
        <w:tc>
          <w:tcPr>
            <w:tcW w:type="dxa" w:w="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12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14</w:t>
            </w:r>
          </w:p>
        </w:tc>
        <w:tc>
          <w:tcPr>
            <w:tcW w:type="dxa" w:w="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16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18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2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20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595959"/>
                <w:sz w:val="16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222" w:lineRule="exact" w:before="33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Expected Losses, Overdue Payments, and Non-Performing Loans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When a borrower fails to make payments on any principal, interest, or other charges due to IDA, IDA may suspend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disbursements immediately on all loans and grants to that borrower. IDA’s current practice is to exercise this option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using a gradual approach. These practices also apply to member countries eligible to borrow from both IDA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IBRD, and whose payments on IBRD loans may become overdue. It is IDA’s practice not to reschedule service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charges, interest or principal payments on its loans or participate in debt rescheduling agreements with respect to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loans. As of September 30, 2024, none of the IDA sovereign borrowing countries in the accrual portfolio had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overdue payments beyond three months.</w:t>
      </w:r>
    </w:p>
    <w:p>
      <w:pPr>
        <w:autoSpaceDN w:val="0"/>
        <w:autoSpaceDE w:val="0"/>
        <w:widowControl/>
        <w:spacing w:line="222" w:lineRule="exact" w:before="13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94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IDA had $209.6 billion of loans outstanding, of which loans in nonaccrual status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represent 0.4%. IDA’s accumulated provision for losses on loans and other exposures was $5.8 billion,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represents a provisioning rate of 2.0% of the underlying exposures as of September 30, 2024 ($5.6 billion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June 30, 2024, 2.0% of the underlying exposure). See Notes to the Condensed Quarterly Financial Statements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period ended September 30, 2024, Note D – Loans and Other Exposures.</w:t>
      </w:r>
    </w:p>
    <w:p>
      <w:pPr>
        <w:autoSpaceDN w:val="0"/>
        <w:autoSpaceDE w:val="0"/>
        <w:widowControl/>
        <w:spacing w:line="222" w:lineRule="exact" w:before="13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Commercial Counterparty Credit Risk Exposure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Commercial counterparty credit risk is the risk that counterparties fail to meet their payment obligations under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terms of the contract or other financial instruments. Effective management of counterparty credit risk is vital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success of IDA’s funding, investment, and asset/liability management activities. The monitoring and management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risks is continuous as the market environment evolves.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a result of IDA’s use of mark-to-market collateral arrangements for swap transactions, its residual commercial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counterparty credit risk exposure is concentrated in the investment portfolio comprised of instruments issued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sovereign governments and non-sovereign holdings (including Agencies, Asset-backed securities, Corporates,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Time Deposits). Total commercial counterparty credit exposure, net of collateral held, was $39.8 billion as of 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732" w:after="0"/>
        <w:ind w:left="20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September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21</w:t>
      </w:r>
    </w:p>
    <w:p>
      <w:pPr>
        <w:sectPr>
          <w:pgSz w:w="12240" w:h="15840"/>
          <w:pgMar w:top="256" w:right="1370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Risk Management</w:t>
            </w:r>
          </w:p>
        </w:tc>
      </w:tr>
    </w:tbl>
    <w:p>
      <w:pPr>
        <w:autoSpaceDN w:val="0"/>
        <w:autoSpaceDE w:val="0"/>
        <w:widowControl/>
        <w:spacing w:line="240" w:lineRule="exact" w:before="296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September 30, 2024. As of September 30, 2024, 77% of IDA’s investment portfolio is rated AA or above, reflecting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preference for highly rated securities and counterparties across all categories of financial instruments (Table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14</w:t>
      </w:r>
      <w:r>
        <w:rPr>
          <w:rFonts w:ascii="TimesNewRoman" w:hAnsi="TimesNewRoman" w:eastAsia="TimesNewRoman"/>
          <w:b/>
          <w:i w:val="0"/>
          <w:color w:val="000000"/>
          <w:sz w:val="20"/>
        </w:rPr>
        <w:t>)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contractual value, notional amounts and related credit risk exposure amounts by instrument, see Notes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Condensed Quarterly Financial Statements for the period ended September 30, 2024, Note F: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Instruments.</w:t>
      </w:r>
    </w:p>
    <w:p>
      <w:pPr>
        <w:autoSpaceDN w:val="0"/>
        <w:autoSpaceDE w:val="0"/>
        <w:widowControl/>
        <w:spacing w:line="178" w:lineRule="exact" w:before="15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Table 14: Commercial Credit Exposure, Net of Collateral Held, by Counterparty Rating</w:t>
      </w:r>
    </w:p>
    <w:p>
      <w:pPr>
        <w:autoSpaceDN w:val="0"/>
        <w:autoSpaceDE w:val="0"/>
        <w:widowControl/>
        <w:spacing w:line="178" w:lineRule="exact" w:before="74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dollars, except rates in percentages</w:t>
      </w:r>
    </w:p>
    <w:p>
      <w:pPr>
        <w:autoSpaceDN w:val="0"/>
        <w:autoSpaceDE w:val="0"/>
        <w:widowControl/>
        <w:spacing w:line="178" w:lineRule="exact" w:before="194" w:after="20"/>
        <w:ind w:left="0" w:right="2082" w:firstLine="0"/>
        <w:jc w:val="right"/>
      </w:pPr>
      <w:r>
        <w:rPr>
          <w:rFonts w:ascii="Arial" w:hAnsi="Arial" w:eastAsia="Arial"/>
          <w:b w:val="0"/>
          <w:i/>
          <w:color w:val="808080"/>
          <w:sz w:val="16"/>
        </w:rPr>
        <w:t>As of September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40"/>
        </w:trPr>
        <w:tc>
          <w:tcPr>
            <w:tcW w:type="dxa" w:w="3526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Counterparty Rating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808080"/>
                <w:sz w:val="10"/>
              </w:rPr>
              <w:t>a</w:t>
            </w:r>
          </w:p>
        </w:tc>
        <w:tc>
          <w:tcPr>
            <w:tcW w:type="dxa" w:w="2258"/>
            <w:gridSpan w:val="3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Sovereigns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Non-Sovereigns</w:t>
            </w:r>
          </w:p>
        </w:tc>
        <w:tc>
          <w:tcPr>
            <w:tcW w:type="dxa" w:w="3550"/>
            <w:gridSpan w:val="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Net Swap Exposure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Total Exposure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</w:tr>
      <w:tr>
        <w:trPr>
          <w:trHeight w:hRule="exact" w:val="224"/>
        </w:trPr>
        <w:tc>
          <w:tcPr>
            <w:tcW w:type="dxa" w:w="3526"/>
            <w:vMerge w:val="restart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62" w:right="3024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AAA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</w:t>
            </w:r>
          </w:p>
        </w:tc>
        <w:tc>
          <w:tcPr>
            <w:tcW w:type="dxa" w:w="304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6,298 $ </w:t>
            </w:r>
          </w:p>
        </w:tc>
        <w:tc>
          <w:tcPr>
            <w:tcW w:type="dxa" w:w="1500"/>
            <w:gridSpan w:val="2"/>
            <w:tcBorders>
              <w:top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3,417 $ </w:t>
            </w:r>
          </w:p>
        </w:tc>
        <w:tc>
          <w:tcPr>
            <w:tcW w:type="dxa" w:w="126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9,715 </w:t>
            </w:r>
          </w:p>
        </w:tc>
        <w:tc>
          <w:tcPr>
            <w:tcW w:type="dxa" w:w="684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24 %</w:t>
            </w:r>
          </w:p>
        </w:tc>
      </w:tr>
      <w:tr>
        <w:trPr>
          <w:trHeight w:hRule="exact" w:val="240"/>
        </w:trPr>
        <w:tc>
          <w:tcPr>
            <w:tcW w:type="dxa" w:w="1180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4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8,461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2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12,495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21,041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53 </w:t>
            </w:r>
          </w:p>
        </w:tc>
      </w:tr>
      <w:tr>
        <w:trPr>
          <w:trHeight w:hRule="exact" w:val="256"/>
        </w:trPr>
        <w:tc>
          <w:tcPr>
            <w:tcW w:type="dxa" w:w="1180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424"/>
            <w:gridSpan w:val="2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3,821 </w:t>
            </w:r>
          </w:p>
        </w:tc>
        <w:tc>
          <w:tcPr>
            <w:tcW w:type="dxa" w:w="1500"/>
            <w:gridSpan w:val="2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3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4,935 </w:t>
            </w:r>
          </w:p>
        </w:tc>
        <w:tc>
          <w:tcPr>
            <w:tcW w:type="dxa" w:w="126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287 </w:t>
            </w:r>
          </w:p>
        </w:tc>
        <w:tc>
          <w:tcPr>
            <w:tcW w:type="dxa" w:w="9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9,043 </w:t>
            </w:r>
          </w:p>
        </w:tc>
        <w:tc>
          <w:tcPr>
            <w:tcW w:type="dxa" w:w="684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220"/>
        </w:trPr>
        <w:tc>
          <w:tcPr>
            <w:tcW w:type="dxa" w:w="3526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04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18,580 $ </w:t>
            </w:r>
          </w:p>
        </w:tc>
        <w:tc>
          <w:tcPr>
            <w:tcW w:type="dxa" w:w="1500"/>
            <w:gridSpan w:val="2"/>
            <w:tcBorders>
              <w:top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20,847 $ </w:t>
            </w:r>
          </w:p>
        </w:tc>
        <w:tc>
          <w:tcPr>
            <w:tcW w:type="dxa" w:w="126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10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372 $ </w:t>
            </w:r>
          </w:p>
        </w:tc>
        <w:tc>
          <w:tcPr>
            <w:tcW w:type="dxa" w:w="9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39,799 </w:t>
            </w:r>
          </w:p>
        </w:tc>
        <w:tc>
          <w:tcPr>
            <w:tcW w:type="dxa" w:w="684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178" w:lineRule="exact" w:before="502" w:after="20"/>
        <w:ind w:left="0" w:right="2254" w:firstLine="0"/>
        <w:jc w:val="right"/>
      </w:pPr>
      <w:r>
        <w:rPr>
          <w:rFonts w:ascii="Arial" w:hAnsi="Arial" w:eastAsia="Arial"/>
          <w:b w:val="0"/>
          <w:i/>
          <w:color w:val="808080"/>
          <w:sz w:val="16"/>
        </w:rPr>
        <w:t>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40"/>
        </w:trPr>
        <w:tc>
          <w:tcPr>
            <w:tcW w:type="dxa" w:w="357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 xml:space="preserve">Counterparty Rating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808080"/>
                <w:sz w:val="10"/>
              </w:rPr>
              <w:t>a</w:t>
            </w:r>
          </w:p>
        </w:tc>
        <w:tc>
          <w:tcPr>
            <w:tcW w:type="dxa" w:w="920"/>
            <w:gridSpan w:val="2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Sovereigns</w:t>
            </w:r>
          </w:p>
        </w:tc>
        <w:tc>
          <w:tcPr>
            <w:tcW w:type="dxa" w:w="4890"/>
            <w:gridSpan w:val="5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Non-Sovereigns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Net Swap Exposure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Total Exposure</w:t>
            </w:r>
            <w:r>
              <w:rPr>
                <w:rFonts w:ascii="Arial" w:hAnsi="Arial" w:eastAsia="Arial"/>
                <w:b w:val="0"/>
                <w:i/>
                <w:color w:val="808080"/>
                <w:sz w:val="16"/>
              </w:rPr>
              <w:t>% of Total</w:t>
            </w:r>
          </w:p>
        </w:tc>
      </w:tr>
      <w:tr>
        <w:trPr>
          <w:trHeight w:hRule="exact" w:val="224"/>
        </w:trPr>
        <w:tc>
          <w:tcPr>
            <w:tcW w:type="dxa" w:w="3570"/>
            <w:vMerge w:val="restart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62" w:right="316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AAA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BBB</w:t>
            </w:r>
          </w:p>
        </w:tc>
        <w:tc>
          <w:tcPr>
            <w:tcW w:type="dxa" w:w="30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gridSpan w:val="2"/>
            <w:tcBorders>
              <w:top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6,815 $ </w:t>
            </w:r>
          </w:p>
        </w:tc>
        <w:tc>
          <w:tcPr>
            <w:tcW w:type="dxa" w:w="152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2,774 $ </w:t>
            </w:r>
          </w:p>
        </w:tc>
        <w:tc>
          <w:tcPr>
            <w:tcW w:type="dxa" w:w="12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9,589 </w:t>
            </w:r>
          </w:p>
        </w:tc>
        <w:tc>
          <w:tcPr>
            <w:tcW w:type="dxa" w:w="69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28 %</w:t>
            </w:r>
          </w:p>
        </w:tc>
      </w:tr>
      <w:tr>
        <w:trPr>
          <w:trHeight w:hRule="exact" w:val="240"/>
        </w:trPr>
        <w:tc>
          <w:tcPr>
            <w:tcW w:type="dxa" w:w="1180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7,411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9,528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160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17,099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49 </w:t>
            </w:r>
          </w:p>
        </w:tc>
      </w:tr>
      <w:tr>
        <w:trPr>
          <w:trHeight w:hRule="exact" w:val="240"/>
        </w:trPr>
        <w:tc>
          <w:tcPr>
            <w:tcW w:type="dxa" w:w="1180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4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3,200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4,622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291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8,113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23 </w:t>
            </w:r>
          </w:p>
        </w:tc>
      </w:tr>
      <w:tr>
        <w:trPr>
          <w:trHeight w:hRule="exact" w:val="256"/>
        </w:trPr>
        <w:tc>
          <w:tcPr>
            <w:tcW w:type="dxa" w:w="1180"/>
            <w:vMerge/>
            <w:tcBorders>
              <w:top w:sz="8.0" w:val="single" w:color="#B6B6B6"/>
              <w:bottom w:sz="8.0" w:val="single" w:color="#B6B6B6"/>
            </w:tcBorders>
          </w:tcPr>
          <w:p/>
        </w:tc>
        <w:tc>
          <w:tcPr>
            <w:tcW w:type="dxa" w:w="1420"/>
            <w:gridSpan w:val="3"/>
            <w:tcBorders>
              <w:bottom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52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12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4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4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168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690"/>
            <w:tcBorders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*</w:t>
            </w:r>
          </w:p>
        </w:tc>
      </w:tr>
      <w:tr>
        <w:trPr>
          <w:trHeight w:hRule="exact" w:val="220"/>
        </w:trPr>
        <w:tc>
          <w:tcPr>
            <w:tcW w:type="dxa" w:w="357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00"/>
            <w:tcBorders>
              <w:top w:sz="8.0" w:val="single" w:color="#B6B6B6"/>
              <w:bottom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0"/>
            <w:gridSpan w:val="2"/>
            <w:tcBorders>
              <w:top w:sz="8.0" w:val="single" w:color="#B6B6B6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17,426 $ </w:t>
            </w:r>
          </w:p>
        </w:tc>
        <w:tc>
          <w:tcPr>
            <w:tcW w:type="dxa" w:w="152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16,931 $ </w:t>
            </w:r>
          </w:p>
        </w:tc>
        <w:tc>
          <w:tcPr>
            <w:tcW w:type="dxa" w:w="12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4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451 $ </w:t>
            </w:r>
          </w:p>
        </w:tc>
        <w:tc>
          <w:tcPr>
            <w:tcW w:type="dxa" w:w="94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34,808 </w:t>
            </w:r>
          </w:p>
        </w:tc>
        <w:tc>
          <w:tcPr>
            <w:tcW w:type="dxa" w:w="690"/>
            <w:tcBorders>
              <w:top w:sz="8.0" w:val="single" w:color="#B6B6B6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" w:firstLine="0"/>
              <w:jc w:val="righ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 100 %</w:t>
            </w:r>
          </w:p>
        </w:tc>
      </w:tr>
    </w:tbl>
    <w:p>
      <w:pPr>
        <w:autoSpaceDN w:val="0"/>
        <w:autoSpaceDE w:val="0"/>
        <w:widowControl/>
        <w:spacing w:line="192" w:lineRule="exact" w:before="260" w:after="0"/>
        <w:ind w:left="242" w:right="78" w:hanging="180"/>
        <w:jc w:val="both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Average rating is calculated using available ratings from the three major rating agencies; however, if ratings are not available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from each of the three rating agencies, IDA uses the average of the ratings available from any of such rating agencies or a </w:t>
      </w:r>
      <w:r>
        <w:rPr>
          <w:rFonts w:ascii="Arial" w:hAnsi="Arial" w:eastAsia="Arial"/>
          <w:b w:val="0"/>
          <w:i/>
          <w:color w:val="000000"/>
          <w:sz w:val="16"/>
        </w:rPr>
        <w:t>single rating to the extent that an instrument or issuer (as applicable) is rated by only one rating agency.</w:t>
      </w:r>
    </w:p>
    <w:p>
      <w:pPr>
        <w:autoSpaceDN w:val="0"/>
        <w:autoSpaceDE w:val="0"/>
        <w:widowControl/>
        <w:spacing w:line="180" w:lineRule="exact" w:before="9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 percentage less than 0.5%.</w:t>
      </w:r>
    </w:p>
    <w:p>
      <w:pPr>
        <w:autoSpaceDN w:val="0"/>
        <w:autoSpaceDE w:val="0"/>
        <w:widowControl/>
        <w:spacing w:line="222" w:lineRule="exact" w:before="20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Market Risk</w:t>
      </w:r>
    </w:p>
    <w:p>
      <w:pPr>
        <w:autoSpaceDN w:val="0"/>
        <w:autoSpaceDE w:val="0"/>
        <w:widowControl/>
        <w:spacing w:line="240" w:lineRule="exact" w:before="12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is exposed to changes in interest and exchange rates and uses derivatives to manage its exposure to market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risks. Derivatives are used to align the interest and currency composition of its assets (loan and investment trading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portfolios) with that of its liabilities (borrowing portfolio) and equity, with the exception of the long-term fixed 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debt that is used to fund fixed rate loans. The loan, investment and borrowing portfolios are largely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maintained in SDR and its component currencies.</w:t>
      </w:r>
    </w:p>
    <w:p>
      <w:pPr>
        <w:autoSpaceDN w:val="0"/>
        <w:autoSpaceDE w:val="0"/>
        <w:widowControl/>
        <w:spacing w:line="222" w:lineRule="exact" w:before="14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Interest Rate Risk</w:t>
      </w:r>
    </w:p>
    <w:p>
      <w:pPr>
        <w:autoSpaceDN w:val="0"/>
        <w:autoSpaceDE w:val="0"/>
        <w:widowControl/>
        <w:spacing w:line="240" w:lineRule="exact" w:before="11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is exposed to interest rate risk due to mismatches between its assets (loan and investment portfolios) and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liabilities (borrowing portfolio) both in terms of maturity and instrument type. Given IDA’s lengthy repayment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profile, the remaining weighted average maturity of IDA’s loans is relatively long (11 years), compared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investment portfolio. This long maturity, combined with volatility in market interest rates, results in significant year-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on-year variability in the fair value of loans. However, since the loan portfolio is not reported at fair value under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U.S. GAAP, the impact of this variability on IDA’s Balance Sheet is not fully evident. IDA’s investment-trading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(liquid asset portfolio) has a relatively low sensitivity to interest rates with a duration of 5 months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September 30, 2024.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297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September 30, 2024</w:t>
      </w:r>
    </w:p>
    <w:p>
      <w:pPr>
        <w:sectPr>
          <w:pgSz w:w="12240" w:h="15840"/>
          <w:pgMar w:top="256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17"/>
        <w:gridCol w:w="4717"/>
      </w:tblGrid>
      <w:tr>
        <w:trPr>
          <w:trHeight w:hRule="exact" w:val="286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1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V: Risk Management</w:t>
            </w:r>
          </w:p>
        </w:tc>
      </w:tr>
    </w:tbl>
    <w:p>
      <w:pPr>
        <w:autoSpaceDN w:val="0"/>
        <w:autoSpaceDE w:val="0"/>
        <w:widowControl/>
        <w:spacing w:line="222" w:lineRule="exact" w:before="31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its integrated financing model, IDA employs the following strategies to manage interest rate risk: </w:t>
      </w:r>
    </w:p>
    <w:p>
      <w:pPr>
        <w:autoSpaceDN w:val="0"/>
        <w:autoSpaceDE w:val="0"/>
        <w:widowControl/>
        <w:spacing w:line="222" w:lineRule="exact" w:before="13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capital adequacy policies factor in the sensitivity to interest rates. </w:t>
      </w:r>
    </w:p>
    <w:p>
      <w:pPr>
        <w:autoSpaceDN w:val="0"/>
        <w:autoSpaceDE w:val="0"/>
        <w:widowControl/>
        <w:spacing w:line="222" w:lineRule="exact" w:before="7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Matching interest rates between assets and related funding to minimize open interest rate positions. </w:t>
      </w:r>
    </w:p>
    <w:p>
      <w:pPr>
        <w:autoSpaceDN w:val="0"/>
        <w:tabs>
          <w:tab w:pos="190" w:val="left"/>
        </w:tabs>
        <w:autoSpaceDE w:val="0"/>
        <w:widowControl/>
        <w:spacing w:line="240" w:lineRule="exact" w:before="6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•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funding risk related to the mismatch between the maturity profile of the debt funding and the related assets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monitored through duration measurements and adjustments to capital requirements to cover this risk.</w:t>
      </w:r>
    </w:p>
    <w:p>
      <w:pPr>
        <w:autoSpaceDN w:val="0"/>
        <w:autoSpaceDE w:val="0"/>
        <w:widowControl/>
        <w:spacing w:line="222" w:lineRule="exact" w:before="13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Exchange Rate Risk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Changes in exchange rates affect the capital adequacy of IDA when the currency of the equity supporting the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and other assets is different from that of the risk exposure. Accordingly, the primary objective of IDA’s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currency risk management is to protect IDA’s financial capacity from exchange rate movements, as measured by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capital adequacy framework. To achieve this, IDA’s balance sheet is managed in multiple currencies: SDR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currencies comprising the SDR basket. The exchange rate risk management methodology encompasses the hedging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 currency risk arising from the various inflows and outflows inherent in IDA’s business model.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uses currency forward contracts to convert future inflows from members’ receivables provided in national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currencies into the five currencies of the SDR basket, thereby aligning the currency composition of member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contributions with the net cash outflows relating to loans and grants, which are primarily denominated in the SDR. 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payable leg of the currency forward contracts economically hedging member equity contribution pledges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denominated in non-functional currencies. IDA pays the market counterparty in a non-SDR currency. Accordingly,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depreciation or appreciation of the non-SDR currencies against the U.S. dollar results in exchange rate gains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losses, which are reported in the Statements of Income. The translation adjustment on future inflows from members,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even though they are not recorded in the balance sheet, is the economic offset to the translation adjustment on non-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functional currencies of currency forward contracts.</w:t>
      </w:r>
    </w:p>
    <w:p>
      <w:pPr>
        <w:autoSpaceDN w:val="0"/>
        <w:autoSpaceDE w:val="0"/>
        <w:widowControl/>
        <w:spacing w:line="222" w:lineRule="exact" w:before="138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Liquidity Risk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Liquidity risk arises in the general funding of IDA’s activities and in managing its financial position. It includes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risk of IDA being unable to fund its portfolio of assets at appropriate maturities and rates, and the risk of being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unable to liquidate a position in a timely manner at a reasonable price. </w:t>
      </w:r>
    </w:p>
    <w:p>
      <w:pPr>
        <w:autoSpaceDN w:val="0"/>
        <w:autoSpaceDE w:val="0"/>
        <w:widowControl/>
        <w:spacing w:line="240" w:lineRule="exact" w:before="120" w:after="0"/>
        <w:ind w:left="4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aggregate liquid asset holdings are kept above a specified prudential minimum to safeguard against cash flow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interruptions. The prudential minimum is equal to 80% of 24 months of projected net outflows. For FY25,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prudential minimum has been set at $29.5 billion. As of September 30, 2024, IDA’s liquid assets were $38.2 billion,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130% of the FY25 prudential minimum.</w:t>
      </w:r>
    </w:p>
    <w:p>
      <w:pPr>
        <w:autoSpaceDN w:val="0"/>
        <w:autoSpaceDE w:val="0"/>
        <w:widowControl/>
        <w:spacing w:line="240" w:lineRule="exact" w:before="120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will hold liquidity above the prudential minimum to ensure sufficient liquidity under a wide range of shock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scenarios as well as to give it flexibility in timing its borrowing transactions and to meet working capital needs. </w:t>
      </w:r>
    </w:p>
    <w:p>
      <w:pPr>
        <w:autoSpaceDN w:val="0"/>
        <w:autoSpaceDE w:val="0"/>
        <w:widowControl/>
        <w:spacing w:line="220" w:lineRule="exact" w:before="136" w:after="0"/>
        <w:ind w:left="4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Operational Risk</w:t>
      </w:r>
    </w:p>
    <w:p>
      <w:pPr>
        <w:autoSpaceDN w:val="0"/>
        <w:autoSpaceDE w:val="0"/>
        <w:widowControl/>
        <w:spacing w:line="240" w:lineRule="exact" w:before="124" w:after="0"/>
        <w:ind w:left="4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Operational risk is defined as the risk of financial loss, or damage to IDA’s reputation resulting from inadequate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failed internal processes, people, and systems, or from external events. </w:t>
      </w:r>
    </w:p>
    <w:p>
      <w:pPr>
        <w:autoSpaceDN w:val="0"/>
        <w:autoSpaceDE w:val="0"/>
        <w:widowControl/>
        <w:spacing w:line="240" w:lineRule="exact" w:before="120" w:after="0"/>
        <w:ind w:left="4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recognizes the importance of operational risk management activities, which are embedded in its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operations. As part of its business activities, IDA is exposed to a range of operational risks including physical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security, staff health and safety, information security and data privacy, business continuity, and third party risks.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approach to identifying and managing operational risk includes a dedicated program for these risks and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robust process that includes identifying, assessing, and prioritizing operational risks, monitoring, and reporting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relevant key risk indicators, aggregating, and analyzing internal and external events, and identifying emerging risks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that may affect business units and developing risk response and mitigating actions.</w:t>
      </w:r>
    </w:p>
    <w:p>
      <w:pPr>
        <w:autoSpaceDN w:val="0"/>
        <w:tabs>
          <w:tab w:pos="9088" w:val="left"/>
        </w:tabs>
        <w:autoSpaceDE w:val="0"/>
        <w:widowControl/>
        <w:spacing w:line="224" w:lineRule="exact" w:before="2690" w:after="0"/>
        <w:ind w:left="2096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IDA Management's Discussion and Analysis: September 30, 2024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23</w:t>
      </w:r>
    </w:p>
    <w:p>
      <w:pPr>
        <w:sectPr>
          <w:pgSz w:w="12240" w:h="15840"/>
          <w:pgMar w:top="256" w:right="1370" w:bottom="21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720"/>
        <w:gridCol w:w="4720"/>
      </w:tblGrid>
      <w:tr>
        <w:trPr>
          <w:trHeight w:hRule="exact" w:val="284"/>
        </w:trPr>
        <w:tc>
          <w:tcPr>
            <w:tcW w:type="dxa" w:w="3964"/>
            <w:tcBorders>
              <w:bottom w:sz="4.0" w:val="single" w:color="#000000"/>
            </w:tcBorders>
            <w:shd w:fill="7f7f7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8" w:after="0"/>
              <w:ind w:left="56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Management’s Discussion and Analysis</w:t>
            </w:r>
          </w:p>
        </w:tc>
        <w:tc>
          <w:tcPr>
            <w:tcW w:type="dxa" w:w="540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4" w:lineRule="exact" w:before="24" w:after="0"/>
              <w:ind w:left="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808080"/>
                <w:sz w:val="20"/>
              </w:rPr>
              <w:t>Section VI: Governance</w:t>
            </w:r>
          </w:p>
        </w:tc>
      </w:tr>
    </w:tbl>
    <w:p>
      <w:pPr>
        <w:autoSpaceDN w:val="0"/>
        <w:autoSpaceDE w:val="0"/>
        <w:widowControl/>
        <w:spacing w:line="362" w:lineRule="exact" w:before="262" w:after="0"/>
        <w:ind w:left="10" w:right="0" w:firstLine="52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 xml:space="preserve">Section VI: Governance </w:t>
      </w:r>
      <w:r>
        <w:br/>
      </w:r>
      <w:r>
        <w:rPr>
          <w:rFonts w:ascii="Arial" w:hAnsi="Arial" w:eastAsia="Arial"/>
          <w:b/>
          <w:i w:val="0"/>
          <w:color w:val="000000"/>
          <w:sz w:val="24"/>
        </w:rPr>
        <w:t xml:space="preserve">Senior Management Changes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Lakshmi Shyam-Sunder, WBG Chief Risk Officer and Vice President, will be retiring and leaving the Bank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January 2025. Dennis McLaughlin was appointed to this role effective January 2, 2025.</w:t>
      </w:r>
    </w:p>
    <w:p>
      <w:pPr>
        <w:autoSpaceDN w:val="0"/>
        <w:tabs>
          <w:tab w:pos="588" w:val="left"/>
        </w:tabs>
        <w:autoSpaceDE w:val="0"/>
        <w:widowControl/>
        <w:spacing w:line="224" w:lineRule="exact" w:before="12646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20"/>
        </w:rPr>
        <w:t>IDA Management's Discussion and Analysis: September 30, 2024</w:t>
      </w:r>
    </w:p>
    <w:p>
      <w:pPr>
        <w:sectPr>
          <w:pgSz w:w="12240" w:h="15840"/>
          <w:pgMar w:top="280" w:right="1370" w:bottom="21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144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8"/>
        </w:rPr>
        <w:t>INTERNATIONAL DEVELOPMENT ASSOCIATION (IDA)</w:t>
      </w:r>
    </w:p>
    <w:p>
      <w:pPr>
        <w:autoSpaceDN w:val="0"/>
        <w:autoSpaceDE w:val="0"/>
        <w:widowControl/>
        <w:spacing w:line="314" w:lineRule="exact" w:before="50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CONTENTS</w:t>
      </w:r>
    </w:p>
    <w:p>
      <w:pPr>
        <w:autoSpaceDN w:val="0"/>
        <w:autoSpaceDE w:val="0"/>
        <w:widowControl/>
        <w:spacing w:line="224" w:lineRule="exact" w:before="15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September 30, 2024</w:t>
      </w:r>
    </w:p>
    <w:p>
      <w:pPr>
        <w:autoSpaceDN w:val="0"/>
        <w:autoSpaceDE w:val="0"/>
        <w:widowControl/>
        <w:spacing w:line="314" w:lineRule="exact" w:before="48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CONDENSED QUARTERLY FINANCIAL STATEMENTS 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34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ONDENSED </w:t>
      </w:r>
      <w:r>
        <w:rPr>
          <w:rFonts w:ascii="Arial" w:hAnsi="Arial" w:eastAsia="Arial"/>
          <w:b/>
          <w:i w:val="0"/>
          <w:color w:val="000000"/>
          <w:sz w:val="22"/>
        </w:rPr>
        <w:t>B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ALANCE </w:t>
      </w:r>
      <w:r>
        <w:rPr>
          <w:rFonts w:ascii="Arial" w:hAnsi="Arial" w:eastAsia="Arial"/>
          <w:b/>
          <w:i w:val="0"/>
          <w:color w:val="000000"/>
          <w:sz w:val="22"/>
        </w:rPr>
        <w:t>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HEETS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26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58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ONDENSED </w:t>
      </w:r>
      <w:r>
        <w:rPr>
          <w:rFonts w:ascii="Arial" w:hAnsi="Arial" w:eastAsia="Arial"/>
          <w:b/>
          <w:i w:val="0"/>
          <w:color w:val="000000"/>
          <w:sz w:val="22"/>
        </w:rPr>
        <w:t>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TATEMENTS OF </w:t>
      </w:r>
      <w:r>
        <w:rPr>
          <w:rFonts w:ascii="Arial" w:hAnsi="Arial" w:eastAsia="Arial"/>
          <w:b/>
          <w:i w:val="0"/>
          <w:color w:val="000000"/>
          <w:sz w:val="22"/>
        </w:rPr>
        <w:t>I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28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6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>ONDENSED</w:t>
      </w:r>
      <w:r>
        <w:rPr>
          <w:rFonts w:ascii="Arial" w:hAnsi="Arial" w:eastAsia="Arial"/>
          <w:b/>
          <w:i w:val="0"/>
          <w:color w:val="000000"/>
          <w:sz w:val="22"/>
        </w:rPr>
        <w:t>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TATEMENTS OF </w:t>
      </w: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OMPREHENSIVE </w:t>
      </w:r>
      <w:r>
        <w:rPr>
          <w:rFonts w:ascii="Arial" w:hAnsi="Arial" w:eastAsia="Arial"/>
          <w:b/>
          <w:i w:val="0"/>
          <w:color w:val="000000"/>
          <w:sz w:val="22"/>
        </w:rPr>
        <w:t>I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NCOME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29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58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ONDENSED </w:t>
      </w:r>
      <w:r>
        <w:rPr>
          <w:rFonts w:ascii="Arial" w:hAnsi="Arial" w:eastAsia="Arial"/>
          <w:b/>
          <w:i w:val="0"/>
          <w:color w:val="000000"/>
          <w:sz w:val="22"/>
        </w:rPr>
        <w:t>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TATEMENTS OF </w:t>
      </w: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HANGES IN </w:t>
      </w:r>
      <w:r>
        <w:rPr>
          <w:rFonts w:ascii="Arial" w:hAnsi="Arial" w:eastAsia="Arial"/>
          <w:b/>
          <w:i w:val="0"/>
          <w:color w:val="000000"/>
          <w:sz w:val="22"/>
        </w:rPr>
        <w:t>A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CCUMULATED </w:t>
      </w:r>
      <w:r>
        <w:rPr>
          <w:rFonts w:ascii="Arial" w:hAnsi="Arial" w:eastAsia="Arial"/>
          <w:b/>
          <w:i w:val="0"/>
          <w:color w:val="000000"/>
          <w:sz w:val="22"/>
        </w:rPr>
        <w:t>D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EFICIT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29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6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ONDENSED </w:t>
      </w:r>
      <w:r>
        <w:rPr>
          <w:rFonts w:ascii="Arial" w:hAnsi="Arial" w:eastAsia="Arial"/>
          <w:b/>
          <w:i w:val="0"/>
          <w:color w:val="000000"/>
          <w:sz w:val="22"/>
        </w:rPr>
        <w:t>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TATEMENTS OF </w:t>
      </w: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ASH </w:t>
      </w:r>
      <w:r>
        <w:rPr>
          <w:rFonts w:ascii="Arial" w:hAnsi="Arial" w:eastAsia="Arial"/>
          <w:b/>
          <w:i w:val="0"/>
          <w:color w:val="000000"/>
          <w:sz w:val="22"/>
        </w:rPr>
        <w:t>F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LOWS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30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58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N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OTES TO </w:t>
      </w:r>
      <w:r>
        <w:rPr>
          <w:rFonts w:ascii="Arial" w:hAnsi="Arial" w:eastAsia="Arial"/>
          <w:b/>
          <w:i w:val="0"/>
          <w:color w:val="000000"/>
          <w:sz w:val="22"/>
        </w:rPr>
        <w:t>C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ONDENSED </w:t>
      </w:r>
      <w:r>
        <w:rPr>
          <w:rFonts w:ascii="Arial" w:hAnsi="Arial" w:eastAsia="Arial"/>
          <w:b/>
          <w:i w:val="0"/>
          <w:color w:val="000000"/>
          <w:sz w:val="22"/>
        </w:rPr>
        <w:t>Q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UARTERLY </w:t>
      </w:r>
      <w:r>
        <w:rPr>
          <w:rFonts w:ascii="Arial" w:hAnsi="Arial" w:eastAsia="Arial"/>
          <w:b/>
          <w:i w:val="0"/>
          <w:color w:val="000000"/>
          <w:sz w:val="22"/>
        </w:rPr>
        <w:t>F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INANCIAL </w:t>
      </w:r>
      <w:r>
        <w:rPr>
          <w:rFonts w:ascii="Arial" w:hAnsi="Arial" w:eastAsia="Arial"/>
          <w:b/>
          <w:i w:val="0"/>
          <w:color w:val="000000"/>
          <w:sz w:val="22"/>
        </w:rPr>
        <w:t>S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TATEMENTS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31</w:t>
      </w:r>
    </w:p>
    <w:p>
      <w:pPr>
        <w:autoSpaceDN w:val="0"/>
        <w:tabs>
          <w:tab w:pos="9084" w:val="left"/>
        </w:tabs>
        <w:autoSpaceDE w:val="0"/>
        <w:widowControl/>
        <w:spacing w:line="246" w:lineRule="exact" w:before="160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2"/>
        </w:rPr>
        <w:t>I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NDEPENDENT </w:t>
      </w:r>
      <w:r>
        <w:rPr>
          <w:rFonts w:ascii="Arial" w:hAnsi="Arial" w:eastAsia="Arial"/>
          <w:b/>
          <w:i w:val="0"/>
          <w:color w:val="000000"/>
          <w:sz w:val="22"/>
        </w:rPr>
        <w:t>A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UDITOR'S </w:t>
      </w:r>
      <w:r>
        <w:rPr>
          <w:rFonts w:ascii="Arial" w:hAnsi="Arial" w:eastAsia="Arial"/>
          <w:b/>
          <w:i w:val="0"/>
          <w:color w:val="000000"/>
          <w:sz w:val="22"/>
        </w:rPr>
        <w:t>R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EVIEW </w:t>
      </w:r>
      <w:r>
        <w:rPr>
          <w:rFonts w:ascii="Arial" w:hAnsi="Arial" w:eastAsia="Arial"/>
          <w:b/>
          <w:i w:val="0"/>
          <w:color w:val="000000"/>
          <w:sz w:val="22"/>
        </w:rPr>
        <w:t>R</w:t>
      </w:r>
      <w:r>
        <w:rPr>
          <w:rFonts w:ascii="Arial" w:hAnsi="Arial" w:eastAsia="Arial"/>
          <w:b/>
          <w:i w:val="0"/>
          <w:color w:val="000000"/>
          <w:sz w:val="20"/>
        </w:rPr>
        <w:t xml:space="preserve">EPORT </w:t>
      </w:r>
      <w:r>
        <w:tab/>
      </w:r>
      <w:r>
        <w:rPr>
          <w:rFonts w:ascii="Arial" w:hAnsi="Arial" w:eastAsia="Arial"/>
          <w:b/>
          <w:i w:val="0"/>
          <w:color w:val="000000"/>
          <w:sz w:val="20"/>
        </w:rPr>
        <w:t>53</w:t>
      </w:r>
    </w:p>
    <w:p>
      <w:pPr>
        <w:autoSpaceDN w:val="0"/>
        <w:autoSpaceDE w:val="0"/>
        <w:widowControl/>
        <w:spacing w:line="224" w:lineRule="exact" w:before="772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25</w:t>
      </w:r>
    </w:p>
    <w:p>
      <w:pPr>
        <w:sectPr>
          <w:pgSz w:w="12240" w:h="15840"/>
          <w:pgMar w:top="516" w:right="1420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CONDENSED BALANCE SHEETS</w:t>
      </w:r>
    </w:p>
    <w:p>
      <w:pPr>
        <w:autoSpaceDN w:val="0"/>
        <w:autoSpaceDE w:val="0"/>
        <w:widowControl/>
        <w:spacing w:line="202" w:lineRule="exact" w:before="336" w:after="318"/>
        <w:ind w:left="5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8"/>
        </w:rPr>
        <w:t>Expressed 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916.0" w:type="dxa"/>
      </w:tblPr>
      <w:tblGrid>
        <w:gridCol w:w="4708"/>
        <w:gridCol w:w="4708"/>
      </w:tblGrid>
      <w:tr>
        <w:trPr>
          <w:trHeight w:hRule="exact" w:val="506"/>
        </w:trPr>
        <w:tc>
          <w:tcPr>
            <w:tcW w:type="dxa" w:w="17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September 30,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  <w:tc>
          <w:tcPr>
            <w:tcW w:type="dxa" w:w="16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6" w:lineRule="exact" w:before="44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June 30,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Assets</w:t>
      </w:r>
    </w:p>
    <w:p>
      <w:pPr>
        <w:autoSpaceDN w:val="0"/>
        <w:autoSpaceDE w:val="0"/>
        <w:widowControl/>
        <w:spacing w:line="200" w:lineRule="exact" w:before="54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Due from banks—Notes C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46"/>
        </w:trPr>
        <w:tc>
          <w:tcPr>
            <w:tcW w:type="dxa" w:w="58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Unrestricted cash</w:t>
            </w:r>
          </w:p>
        </w:tc>
        <w:tc>
          <w:tcPr>
            <w:tcW w:type="dxa" w:w="8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5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689 $ </w:t>
            </w:r>
          </w:p>
        </w:tc>
        <w:tc>
          <w:tcPr>
            <w:tcW w:type="dxa" w:w="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563 </w:t>
            </w:r>
          </w:p>
        </w:tc>
      </w:tr>
      <w:tr>
        <w:trPr>
          <w:trHeight w:hRule="exact" w:val="266"/>
        </w:trPr>
        <w:tc>
          <w:tcPr>
            <w:tcW w:type="dxa" w:w="58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Restricted cash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7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 </w:t>
            </w:r>
          </w:p>
        </w:tc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23 </w:t>
            </w:r>
          </w:p>
        </w:tc>
      </w:tr>
      <w:tr>
        <w:trPr>
          <w:trHeight w:hRule="exact" w:val="254"/>
        </w:trPr>
        <w:tc>
          <w:tcPr>
            <w:tcW w:type="dxa" w:w="58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7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713 </w:t>
            </w:r>
          </w:p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586 </w:t>
            </w:r>
          </w:p>
        </w:tc>
      </w:tr>
    </w:tbl>
    <w:p>
      <w:pPr>
        <w:autoSpaceDN w:val="0"/>
        <w:tabs>
          <w:tab w:pos="142" w:val="left"/>
        </w:tabs>
        <w:autoSpaceDE w:val="0"/>
        <w:widowControl/>
        <w:spacing w:line="216" w:lineRule="exact" w:before="344" w:after="8"/>
        <w:ind w:left="52" w:right="360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Investments (including securities transferred under repurchase or </w:t>
      </w:r>
      <w:r>
        <w:rPr>
          <w:rFonts w:ascii="Arial" w:hAnsi="Arial" w:eastAsia="Arial"/>
          <w:b/>
          <w:i/>
          <w:color w:val="000000"/>
          <w:sz w:val="18"/>
        </w:rPr>
        <w:t xml:space="preserve">securities lending agreements of Nil—September 30, 2024; $69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376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million—June 30, 2024) —Notes C, H and J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39,190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34,377 </w:t>
            </w:r>
          </w:p>
        </w:tc>
      </w:tr>
      <w:tr>
        <w:trPr>
          <w:trHeight w:hRule="exact" w:val="580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Securities Purchased Under Resale Agreements—Notes C and J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188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 </w:t>
            </w:r>
          </w:p>
        </w:tc>
      </w:tr>
      <w:tr>
        <w:trPr>
          <w:trHeight w:hRule="exact" w:val="560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Derivative assets, net—Notes C, F, H and J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399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9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363 </w:t>
            </w:r>
          </w:p>
        </w:tc>
      </w:tr>
      <w:tr>
        <w:trPr>
          <w:trHeight w:hRule="exact" w:val="462"/>
        </w:trPr>
        <w:tc>
          <w:tcPr>
            <w:tcW w:type="dxa" w:w="6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Receivable from affiliated organization—Note H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0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1,516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00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1,395 </w:t>
            </w:r>
          </w:p>
        </w:tc>
      </w:tr>
    </w:tbl>
    <w:p>
      <w:pPr>
        <w:autoSpaceDN w:val="0"/>
        <w:autoSpaceDE w:val="0"/>
        <w:widowControl/>
        <w:spacing w:line="200" w:lineRule="exact" w:before="294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Loans outstanding—Notes D, H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0.0" w:type="dxa"/>
      </w:tblPr>
      <w:tblGrid>
        <w:gridCol w:w="3139"/>
        <w:gridCol w:w="3139"/>
        <w:gridCol w:w="3139"/>
      </w:tblGrid>
      <w:tr>
        <w:trPr>
          <w:trHeight w:hRule="exact" w:val="266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 loans approved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286,946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278,107 </w:t>
            </w:r>
          </w:p>
        </w:tc>
      </w:tr>
    </w:tbl>
    <w:p>
      <w:pPr>
        <w:autoSpaceDN w:val="0"/>
        <w:tabs>
          <w:tab w:pos="452" w:val="left"/>
        </w:tabs>
        <w:autoSpaceDE w:val="0"/>
        <w:widowControl/>
        <w:spacing w:line="216" w:lineRule="exact" w:before="20" w:after="8"/>
        <w:ind w:left="152" w:right="360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Less: Undisbursed balance (including signed loan commitments of     </w:t>
      </w:r>
      <w:r>
        <w:tab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$71,177 million—September 30, 2024; $68,851 million—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39"/>
        <w:gridCol w:w="3139"/>
        <w:gridCol w:w="3139"/>
      </w:tblGrid>
      <w:tr>
        <w:trPr>
          <w:trHeight w:hRule="exact" w:val="238"/>
        </w:trPr>
        <w:tc>
          <w:tcPr>
            <w:tcW w:type="dxa" w:w="56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2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June 30, 2024) </w:t>
            </w:r>
          </w:p>
        </w:tc>
        <w:tc>
          <w:tcPr>
            <w:tcW w:type="dxa" w:w="182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(77,371) </w:t>
            </w:r>
          </w:p>
        </w:tc>
        <w:tc>
          <w:tcPr>
            <w:tcW w:type="dxa" w:w="16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(75,559) </w:t>
            </w:r>
          </w:p>
        </w:tc>
      </w:tr>
      <w:tr>
        <w:trPr>
          <w:trHeight w:hRule="exact" w:val="254"/>
        </w:trPr>
        <w:tc>
          <w:tcPr>
            <w:tcW w:type="dxa" w:w="56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5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182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209,575 </w:t>
            </w:r>
          </w:p>
        </w:tc>
        <w:tc>
          <w:tcPr>
            <w:tcW w:type="dxa" w:w="16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202,548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1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 Less: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48"/>
        </w:trPr>
        <w:tc>
          <w:tcPr>
            <w:tcW w:type="dxa" w:w="58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4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Accumulated provision for loan losses</w:t>
            </w:r>
          </w:p>
        </w:tc>
        <w:tc>
          <w:tcPr>
            <w:tcW w:type="dxa" w:w="6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(4,181)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(4,065) </w:t>
            </w:r>
          </w:p>
        </w:tc>
      </w:tr>
      <w:tr>
        <w:trPr>
          <w:trHeight w:hRule="exact" w:val="266"/>
        </w:trPr>
        <w:tc>
          <w:tcPr>
            <w:tcW w:type="dxa" w:w="58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4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Deferred loan income 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5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(27) </w:t>
            </w:r>
          </w:p>
        </w:tc>
        <w:tc>
          <w:tcPr>
            <w:tcW w:type="dxa" w:w="1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(26) </w:t>
            </w:r>
          </w:p>
        </w:tc>
      </w:tr>
      <w:tr>
        <w:trPr>
          <w:trHeight w:hRule="exact" w:val="254"/>
        </w:trPr>
        <w:tc>
          <w:tcPr>
            <w:tcW w:type="dxa" w:w="58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7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loans outstanding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4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205,367 </w:t>
            </w:r>
          </w:p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198,457 </w:t>
            </w:r>
          </w:p>
        </w:tc>
      </w:tr>
      <w:tr>
        <w:trPr>
          <w:trHeight w:hRule="exact" w:val="886"/>
        </w:trPr>
        <w:tc>
          <w:tcPr>
            <w:tcW w:type="dxa" w:w="58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Other assets—Notes C, D, G and H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7,265 </w:t>
            </w:r>
          </w:p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6,114 </w:t>
            </w:r>
          </w:p>
        </w:tc>
      </w:tr>
      <w:tr>
        <w:trPr>
          <w:trHeight w:hRule="exact" w:val="234"/>
        </w:trPr>
        <w:tc>
          <w:tcPr>
            <w:tcW w:type="dxa" w:w="58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assets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4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254,638 $ </w:t>
            </w:r>
          </w:p>
        </w:tc>
        <w:tc>
          <w:tcPr>
            <w:tcW w:type="dxa" w:w="1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241,350 </w:t>
            </w:r>
          </w:p>
        </w:tc>
      </w:tr>
      <w:tr>
        <w:trPr>
          <w:trHeight w:hRule="exact" w:val="52"/>
        </w:trPr>
        <w:tc>
          <w:tcPr>
            <w:tcW w:type="dxa" w:w="58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24" w:lineRule="exact" w:before="4404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26     IDA Quarterly Financial Statements: September 30, 2024 (Unaudited)</w:t>
      </w:r>
    </w:p>
    <w:p>
      <w:pPr>
        <w:sectPr>
          <w:pgSz w:w="12240" w:h="15840"/>
          <w:pgMar w:top="516" w:right="1384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976.0" w:type="dxa"/>
      </w:tblPr>
      <w:tblGrid>
        <w:gridCol w:w="4708"/>
        <w:gridCol w:w="4708"/>
      </w:tblGrid>
      <w:tr>
        <w:trPr>
          <w:trHeight w:hRule="exact" w:val="446"/>
        </w:trPr>
        <w:tc>
          <w:tcPr>
            <w:tcW w:type="dxa" w:w="1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September 30,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  <w:tc>
          <w:tcPr>
            <w:tcW w:type="dxa" w:w="16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0" w:after="0"/>
              <w:ind w:left="144" w:right="144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 xml:space="preserve">June 30, 2024 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(Unaudited)</w:t>
            </w:r>
          </w:p>
        </w:tc>
      </w:tr>
    </w:tbl>
    <w:p>
      <w:pPr>
        <w:autoSpaceDN w:val="0"/>
        <w:autoSpaceDE w:val="0"/>
        <w:widowControl/>
        <w:spacing w:line="202" w:lineRule="exact" w:before="2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Liabilities</w:t>
      </w:r>
    </w:p>
    <w:p>
      <w:pPr>
        <w:autoSpaceDN w:val="0"/>
        <w:autoSpaceDE w:val="0"/>
        <w:widowControl/>
        <w:spacing w:line="200" w:lineRule="exact" w:before="54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Borrowings—Notes E and J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2354"/>
        <w:gridCol w:w="2354"/>
        <w:gridCol w:w="2354"/>
        <w:gridCol w:w="2354"/>
      </w:tblGrid>
      <w:tr>
        <w:trPr>
          <w:trHeight w:hRule="exact" w:val="254"/>
        </w:trPr>
        <w:tc>
          <w:tcPr>
            <w:tcW w:type="dxa" w:w="5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Market borrowings, at fair value</w:t>
            </w:r>
          </w:p>
        </w:tc>
        <w:tc>
          <w:tcPr>
            <w:tcW w:type="dxa" w:w="6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7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33,284 $ 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26,425 </w:t>
            </w:r>
          </w:p>
        </w:tc>
      </w:tr>
      <w:tr>
        <w:trPr>
          <w:trHeight w:hRule="exact" w:val="240"/>
        </w:trPr>
        <w:tc>
          <w:tcPr>
            <w:tcW w:type="dxa" w:w="58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Market borrowings, at amortized cost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6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12,012 </w:t>
            </w:r>
          </w:p>
        </w:tc>
        <w:tc>
          <w:tcPr>
            <w:tcW w:type="dxa" w:w="10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11,494 </w:t>
            </w:r>
          </w:p>
        </w:tc>
      </w:tr>
      <w:tr>
        <w:trPr>
          <w:trHeight w:hRule="exact" w:val="274"/>
        </w:trPr>
        <w:tc>
          <w:tcPr>
            <w:tcW w:type="dxa" w:w="58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Concessional partner loans, at amortized cost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6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7,470 </w:t>
            </w:r>
          </w:p>
        </w:tc>
        <w:tc>
          <w:tcPr>
            <w:tcW w:type="dxa" w:w="10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7,004 </w:t>
            </w:r>
          </w:p>
        </w:tc>
      </w:tr>
      <w:tr>
        <w:trPr>
          <w:trHeight w:hRule="exact" w:val="256"/>
        </w:trPr>
        <w:tc>
          <w:tcPr>
            <w:tcW w:type="dxa" w:w="58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6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52,766 </w:t>
            </w:r>
          </w:p>
        </w:tc>
        <w:tc>
          <w:tcPr>
            <w:tcW w:type="dxa" w:w="10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44,923 </w:t>
            </w:r>
          </w:p>
        </w:tc>
      </w:tr>
    </w:tbl>
    <w:p>
      <w:pPr>
        <w:autoSpaceDN w:val="0"/>
        <w:tabs>
          <w:tab w:pos="142" w:val="left"/>
        </w:tabs>
        <w:autoSpaceDE w:val="0"/>
        <w:widowControl/>
        <w:spacing w:line="216" w:lineRule="exact" w:before="252" w:after="8"/>
        <w:ind w:left="52" w:right="3456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 xml:space="preserve">Securities sold under repurchase agreements, securities lent under </w:t>
      </w:r>
      <w:r>
        <w:rPr>
          <w:rFonts w:ascii="Arial" w:hAnsi="Arial" w:eastAsia="Arial"/>
          <w:b/>
          <w:i/>
          <w:color w:val="000000"/>
          <w:sz w:val="18"/>
        </w:rPr>
        <w:t xml:space="preserve">securities lending agreements, and payable for cash collateral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3139"/>
        <w:gridCol w:w="3139"/>
        <w:gridCol w:w="3139"/>
      </w:tblGrid>
      <w:tr>
        <w:trPr>
          <w:trHeight w:hRule="exact" w:val="358"/>
        </w:trPr>
        <w:tc>
          <w:tcPr>
            <w:tcW w:type="dxa" w:w="5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12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received—Notes C and J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71 </w:t>
            </w:r>
          </w:p>
        </w:tc>
      </w:tr>
      <w:tr>
        <w:trPr>
          <w:trHeight w:hRule="exact" w:val="520"/>
        </w:trPr>
        <w:tc>
          <w:tcPr>
            <w:tcW w:type="dxa" w:w="5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Derivative liabilities, net—Notes C, F, H and J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704 </w:t>
            </w:r>
          </w:p>
        </w:tc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667 </w:t>
            </w:r>
          </w:p>
        </w:tc>
      </w:tr>
      <w:tr>
        <w:trPr>
          <w:trHeight w:hRule="exact" w:val="540"/>
        </w:trPr>
        <w:tc>
          <w:tcPr>
            <w:tcW w:type="dxa" w:w="5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Payable for development grants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1,584 </w:t>
            </w:r>
          </w:p>
        </w:tc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1,706 </w:t>
            </w:r>
          </w:p>
        </w:tc>
      </w:tr>
      <w:tr>
        <w:trPr>
          <w:trHeight w:hRule="exact" w:val="540"/>
        </w:trPr>
        <w:tc>
          <w:tcPr>
            <w:tcW w:type="dxa" w:w="5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Payable to affiliated organization—Note H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563 </w:t>
            </w:r>
          </w:p>
        </w:tc>
        <w:tc>
          <w:tcPr>
            <w:tcW w:type="dxa" w:w="163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279 </w:t>
            </w:r>
          </w:p>
        </w:tc>
      </w:tr>
      <w:tr>
        <w:trPr>
          <w:trHeight w:hRule="exact" w:val="410"/>
        </w:trPr>
        <w:tc>
          <w:tcPr>
            <w:tcW w:type="dxa" w:w="59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Other liabilities—Notes C and D</w:t>
            </w:r>
          </w:p>
        </w:tc>
        <w:tc>
          <w:tcPr>
            <w:tcW w:type="dxa" w:w="1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4,342 </w:t>
            </w:r>
          </w:p>
        </w:tc>
        <w:tc>
          <w:tcPr>
            <w:tcW w:type="dxa" w:w="16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8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3,403 </w:t>
            </w:r>
          </w:p>
        </w:tc>
      </w:tr>
      <w:tr>
        <w:trPr>
          <w:trHeight w:hRule="exact" w:val="256"/>
        </w:trPr>
        <w:tc>
          <w:tcPr>
            <w:tcW w:type="dxa" w:w="5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</w:t>
            </w:r>
          </w:p>
        </w:tc>
        <w:tc>
          <w:tcPr>
            <w:tcW w:type="dxa" w:w="1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59,959 </w:t>
            </w:r>
          </w:p>
        </w:tc>
        <w:tc>
          <w:tcPr>
            <w:tcW w:type="dxa" w:w="16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51,049 </w:t>
            </w:r>
          </w:p>
        </w:tc>
      </w:tr>
    </w:tbl>
    <w:p>
      <w:pPr>
        <w:autoSpaceDN w:val="0"/>
        <w:autoSpaceDE w:val="0"/>
        <w:widowControl/>
        <w:spacing w:line="202" w:lineRule="exact" w:before="338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Equity</w:t>
      </w:r>
    </w:p>
    <w:p>
      <w:pPr>
        <w:autoSpaceDN w:val="0"/>
        <w:autoSpaceDE w:val="0"/>
        <w:widowControl/>
        <w:spacing w:line="200" w:lineRule="exact" w:before="54" w:after="28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Members' subscriptions and contributions—Note B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39"/>
        <w:gridCol w:w="3139"/>
        <w:gridCol w:w="3139"/>
      </w:tblGrid>
      <w:tr>
        <w:trPr>
          <w:trHeight w:hRule="exact" w:val="254"/>
        </w:trPr>
        <w:tc>
          <w:tcPr>
            <w:tcW w:type="dxa" w:w="5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Subscriptions and contributions committed</w:t>
            </w:r>
          </w:p>
        </w:tc>
        <w:tc>
          <w:tcPr>
            <w:tcW w:type="dxa" w:w="2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312,581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310,983 </w:t>
            </w:r>
          </w:p>
        </w:tc>
      </w:tr>
    </w:tbl>
    <w:p>
      <w:pPr>
        <w:autoSpaceDN w:val="0"/>
        <w:autoSpaceDE w:val="0"/>
        <w:widowControl/>
        <w:spacing w:line="200" w:lineRule="exact" w:before="28" w:after="28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4"/>
        <w:gridCol w:w="2354"/>
        <w:gridCol w:w="2354"/>
        <w:gridCol w:w="2354"/>
      </w:tblGrid>
      <w:tr>
        <w:trPr>
          <w:trHeight w:hRule="exact" w:val="242"/>
        </w:trPr>
        <w:tc>
          <w:tcPr>
            <w:tcW w:type="dxa" w:w="5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Subscriptions and contributions receivable</w:t>
            </w:r>
          </w:p>
        </w:tc>
        <w:tc>
          <w:tcPr>
            <w:tcW w:type="dxa" w:w="6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5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(27,506)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(26,690) </w:t>
            </w:r>
          </w:p>
        </w:tc>
      </w:tr>
      <w:tr>
        <w:trPr>
          <w:trHeight w:hRule="exact" w:val="270"/>
        </w:trPr>
        <w:tc>
          <w:tcPr>
            <w:tcW w:type="dxa" w:w="59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Cumulative discounts/credits on subscriptions and contributions, net</w:t>
            </w:r>
          </w:p>
        </w:tc>
        <w:tc>
          <w:tcPr>
            <w:tcW w:type="dxa" w:w="2354"/>
            <w:vMerge/>
            <w:tcBorders>
              <w:bottom w:sz="8.0" w:val="single" w:color="#000000"/>
            </w:tcBorders>
          </w:tcPr>
          <w:p/>
        </w:tc>
        <w:tc>
          <w:tcPr>
            <w:tcW w:type="dxa" w:w="1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(4,220) 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(4,220) </w:t>
            </w:r>
          </w:p>
        </w:tc>
      </w:tr>
      <w:tr>
        <w:trPr>
          <w:trHeight w:hRule="exact" w:val="390"/>
        </w:trPr>
        <w:tc>
          <w:tcPr>
            <w:tcW w:type="dxa" w:w="59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Subscriptions and contributions paid-in</w:t>
            </w:r>
          </w:p>
        </w:tc>
        <w:tc>
          <w:tcPr>
            <w:tcW w:type="dxa" w:w="6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4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280,855 </w:t>
            </w:r>
          </w:p>
        </w:tc>
        <w:tc>
          <w:tcPr>
            <w:tcW w:type="dxa" w:w="1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280,073 </w:t>
            </w:r>
          </w:p>
        </w:tc>
      </w:tr>
      <w:tr>
        <w:trPr>
          <w:trHeight w:hRule="exact" w:val="720"/>
        </w:trPr>
        <w:tc>
          <w:tcPr>
            <w:tcW w:type="dxa" w:w="5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06" w:val="left"/>
              </w:tabs>
              <w:autoSpaceDE w:val="0"/>
              <w:widowControl/>
              <w:spacing w:line="180" w:lineRule="exact" w:before="19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 xml:space="preserve">Nonnegotiable, non-interest-bearing demand obligations on account </w:t>
            </w: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of members' subscriptions and contributions</w:t>
            </w:r>
          </w:p>
        </w:tc>
        <w:tc>
          <w:tcPr>
            <w:tcW w:type="dxa" w:w="235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54" w:after="0"/>
              <w:ind w:left="0" w:right="5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(12,591)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5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(12,553) </w:t>
            </w:r>
          </w:p>
        </w:tc>
      </w:tr>
      <w:tr>
        <w:trPr>
          <w:trHeight w:hRule="exact" w:val="540"/>
        </w:trPr>
        <w:tc>
          <w:tcPr>
            <w:tcW w:type="dxa" w:w="5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Deferred amounts to maintain value of currency holdings</w:t>
            </w:r>
          </w:p>
        </w:tc>
        <w:tc>
          <w:tcPr>
            <w:tcW w:type="dxa" w:w="235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5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(247)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(248) </w:t>
            </w:r>
          </w:p>
        </w:tc>
      </w:tr>
      <w:tr>
        <w:trPr>
          <w:trHeight w:hRule="exact" w:val="540"/>
        </w:trPr>
        <w:tc>
          <w:tcPr>
            <w:tcW w:type="dxa" w:w="59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Accumulated deficit</w:t>
            </w:r>
          </w:p>
        </w:tc>
        <w:tc>
          <w:tcPr>
            <w:tcW w:type="dxa" w:w="235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5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(67,661)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(66,379) </w:t>
            </w:r>
          </w:p>
        </w:tc>
      </w:tr>
      <w:tr>
        <w:trPr>
          <w:trHeight w:hRule="exact" w:val="660"/>
        </w:trPr>
        <w:tc>
          <w:tcPr>
            <w:tcW w:type="dxa" w:w="59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Accumulated other comprehensive loss—Note I</w:t>
            </w:r>
          </w:p>
        </w:tc>
        <w:tc>
          <w:tcPr>
            <w:tcW w:type="dxa" w:w="235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(5,677) </w:t>
            </w:r>
          </w:p>
        </w:tc>
        <w:tc>
          <w:tcPr>
            <w:tcW w:type="dxa" w:w="11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(10,592) </w:t>
            </w:r>
          </w:p>
        </w:tc>
      </w:tr>
      <w:tr>
        <w:trPr>
          <w:trHeight w:hRule="exact" w:val="254"/>
        </w:trPr>
        <w:tc>
          <w:tcPr>
            <w:tcW w:type="dxa" w:w="5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equity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4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194,679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190,301 </w:t>
            </w:r>
          </w:p>
        </w:tc>
      </w:tr>
      <w:tr>
        <w:trPr>
          <w:trHeight w:hRule="exact" w:val="552"/>
        </w:trPr>
        <w:tc>
          <w:tcPr>
            <w:tcW w:type="dxa" w:w="59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Total liabilities and equity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7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4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254,638 $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3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241,350 </w:t>
            </w:r>
          </w:p>
        </w:tc>
      </w:tr>
      <w:tr>
        <w:trPr>
          <w:trHeight w:hRule="exact" w:val="50"/>
        </w:trPr>
        <w:tc>
          <w:tcPr>
            <w:tcW w:type="dxa" w:w="59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2" w:lineRule="exact" w:before="832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18"/>
        </w:rPr>
        <w:t>The Notes to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1526" w:after="0"/>
        <w:ind w:left="0" w:right="56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27</w:t>
      </w:r>
    </w:p>
    <w:p>
      <w:pPr>
        <w:sectPr>
          <w:pgSz w:w="12240" w:h="15840"/>
          <w:pgMar w:top="836" w:right="1384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CONDENSED STATEMENTS OF INCOME</w:t>
      </w:r>
    </w:p>
    <w:p>
      <w:pPr>
        <w:autoSpaceDN w:val="0"/>
        <w:autoSpaceDE w:val="0"/>
        <w:widowControl/>
        <w:spacing w:line="224" w:lineRule="exact" w:before="27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p>
      <w:pPr>
        <w:autoSpaceDN w:val="0"/>
        <w:autoSpaceDE w:val="0"/>
        <w:widowControl/>
        <w:spacing w:line="216" w:lineRule="exact" w:before="80" w:after="18"/>
        <w:ind w:left="7344" w:right="144" w:firstLine="0"/>
        <w:jc w:val="center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Three Months Ended </w:t>
      </w:r>
      <w:r>
        <w:br/>
      </w:r>
      <w:r>
        <w:rPr>
          <w:rFonts w:ascii="Arial" w:hAnsi="Arial" w:eastAsia="Arial"/>
          <w:b w:val="0"/>
          <w:i/>
          <w:color w:val="000000"/>
          <w:sz w:val="18"/>
        </w:rPr>
        <w:t xml:space="preserve">September 30, </w:t>
      </w:r>
      <w:r>
        <w:br/>
      </w:r>
      <w:r>
        <w:rPr>
          <w:rFonts w:ascii="Arial" w:hAnsi="Arial" w:eastAsia="Arial"/>
          <w:b w:val="0"/>
          <w:i/>
          <w:color w:val="000000"/>
          <w:sz w:val="18"/>
        </w:rPr>
        <w:t>(Unaudited)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176.0" w:type="dxa"/>
      </w:tblPr>
      <w:tblGrid>
        <w:gridCol w:w="4680"/>
        <w:gridCol w:w="4680"/>
      </w:tblGrid>
      <w:tr>
        <w:trPr>
          <w:trHeight w:hRule="exact" w:val="256"/>
        </w:trPr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1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9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2" w:lineRule="exact" w:before="254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52"/>
        </w:trPr>
        <w:tc>
          <w:tcPr>
            <w:tcW w:type="dxa" w:w="7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D</w:t>
            </w:r>
          </w:p>
        </w:tc>
        <w:tc>
          <w:tcPr>
            <w:tcW w:type="dxa" w:w="3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714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632 </w:t>
            </w:r>
          </w:p>
        </w:tc>
      </w:tr>
      <w:tr>
        <w:trPr>
          <w:trHeight w:hRule="exact" w:val="240"/>
        </w:trPr>
        <w:tc>
          <w:tcPr>
            <w:tcW w:type="dxa" w:w="7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Investments,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C, F, H and J</w:t>
            </w:r>
          </w:p>
        </w:tc>
        <w:tc>
          <w:tcPr>
            <w:tcW w:type="dxa" w:w="1872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378 </w:t>
            </w:r>
          </w:p>
        </w:tc>
        <w:tc>
          <w:tcPr>
            <w:tcW w:type="dxa" w:w="1872"/>
            <w:vMerge/>
            <w:tcBorders>
              <w:bottom w:sz="8.0" w:val="single" w:color="#000000"/>
            </w:tcBorders>
          </w:tcPr>
          <w:p/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315 </w:t>
            </w:r>
          </w:p>
        </w:tc>
      </w:tr>
      <w:tr>
        <w:trPr>
          <w:trHeight w:hRule="exact" w:val="420"/>
        </w:trPr>
        <w:tc>
          <w:tcPr>
            <w:tcW w:type="dxa" w:w="7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Asset-liability management derivatives, net—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Notes F and J</w:t>
            </w:r>
          </w:p>
        </w:tc>
        <w:tc>
          <w:tcPr>
            <w:tcW w:type="dxa" w:w="1872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 </w:t>
            </w:r>
          </w:p>
        </w:tc>
        <w:tc>
          <w:tcPr>
            <w:tcW w:type="dxa" w:w="1872"/>
            <w:vMerge/>
            <w:tcBorders>
              <w:bottom w:sz="8.0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 </w:t>
            </w:r>
          </w:p>
        </w:tc>
      </w:tr>
      <w:tr>
        <w:trPr>
          <w:trHeight w:hRule="exact" w:val="680"/>
        </w:trPr>
        <w:tc>
          <w:tcPr>
            <w:tcW w:type="dxa" w:w="7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Borrowing expenses, net—Note E</w:t>
            </w:r>
          </w:p>
        </w:tc>
        <w:tc>
          <w:tcPr>
            <w:tcW w:type="dxa" w:w="1872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(528) </w:t>
            </w:r>
          </w:p>
        </w:tc>
        <w:tc>
          <w:tcPr>
            <w:tcW w:type="dxa" w:w="1872"/>
            <w:vMerge/>
            <w:tcBorders>
              <w:bottom w:sz="8.0" w:val="single" w:color="#000000"/>
            </w:tcBorders>
          </w:tcPr>
          <w:p/>
        </w:tc>
        <w:tc>
          <w:tcPr>
            <w:tcW w:type="dxa" w:w="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(339) </w:t>
            </w:r>
          </w:p>
        </w:tc>
      </w:tr>
      <w:tr>
        <w:trPr>
          <w:trHeight w:hRule="exact" w:val="256"/>
        </w:trPr>
        <w:tc>
          <w:tcPr>
            <w:tcW w:type="dxa" w:w="71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Interest revenue, net of borrowing expenses</w:t>
            </w:r>
          </w:p>
        </w:tc>
        <w:tc>
          <w:tcPr>
            <w:tcW w:type="dxa" w:w="3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586 </w:t>
            </w:r>
          </w:p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622 </w:t>
            </w:r>
          </w:p>
        </w:tc>
      </w:tr>
      <w:tr>
        <w:trPr>
          <w:trHeight w:hRule="exact" w:val="540"/>
        </w:trPr>
        <w:tc>
          <w:tcPr>
            <w:tcW w:type="dxa" w:w="71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Provision for losses on loans and other exposures, release (charge)—Note D</w:t>
            </w:r>
          </w:p>
        </w:tc>
        <w:tc>
          <w:tcPr>
            <w:tcW w:type="dxa" w:w="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21 </w:t>
            </w:r>
          </w:p>
        </w:tc>
        <w:tc>
          <w:tcPr>
            <w:tcW w:type="dxa" w:w="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7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(85) </w:t>
            </w:r>
          </w:p>
        </w:tc>
      </w:tr>
    </w:tbl>
    <w:p>
      <w:pPr>
        <w:autoSpaceDN w:val="0"/>
        <w:autoSpaceDE w:val="0"/>
        <w:widowControl/>
        <w:spacing w:line="200" w:lineRule="exact" w:before="250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Non-interest revenue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0.0" w:type="dxa"/>
      </w:tblPr>
      <w:tblGrid>
        <w:gridCol w:w="3120"/>
        <w:gridCol w:w="3120"/>
        <w:gridCol w:w="3120"/>
      </w:tblGrid>
      <w:tr>
        <w:trPr>
          <w:trHeight w:hRule="exact" w:val="248"/>
        </w:trPr>
        <w:tc>
          <w:tcPr>
            <w:tcW w:type="dxa" w:w="7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Revenue from externally funded activities—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H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190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173 </w:t>
            </w:r>
          </w:p>
        </w:tc>
      </w:tr>
      <w:tr>
        <w:trPr>
          <w:trHeight w:hRule="exact" w:val="260"/>
        </w:trPr>
        <w:tc>
          <w:tcPr>
            <w:tcW w:type="dxa" w:w="7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Commitment charges—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D</w:t>
            </w:r>
          </w:p>
        </w:tc>
        <w:tc>
          <w:tcPr>
            <w:tcW w:type="dxa" w:w="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 </w:t>
            </w:r>
          </w:p>
        </w:tc>
      </w:tr>
      <w:tr>
        <w:trPr>
          <w:trHeight w:hRule="exact" w:val="260"/>
        </w:trPr>
        <w:tc>
          <w:tcPr>
            <w:tcW w:type="dxa" w:w="7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</w:t>
            </w:r>
          </w:p>
        </w:tc>
        <w:tc>
          <w:tcPr>
            <w:tcW w:type="dxa" w:w="98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 </w:t>
            </w:r>
          </w:p>
        </w:tc>
        <w:tc>
          <w:tcPr>
            <w:tcW w:type="dxa" w:w="11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 </w:t>
            </w:r>
          </w:p>
        </w:tc>
      </w:tr>
      <w:tr>
        <w:trPr>
          <w:trHeight w:hRule="exact" w:val="256"/>
        </w:trPr>
        <w:tc>
          <w:tcPr>
            <w:tcW w:type="dxa" w:w="7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205 </w:t>
            </w:r>
          </w:p>
        </w:tc>
        <w:tc>
          <w:tcPr>
            <w:tcW w:type="dxa" w:w="11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181 </w:t>
            </w:r>
          </w:p>
        </w:tc>
      </w:tr>
    </w:tbl>
    <w:p>
      <w:pPr>
        <w:autoSpaceDN w:val="0"/>
        <w:autoSpaceDE w:val="0"/>
        <w:widowControl/>
        <w:spacing w:line="200" w:lineRule="exact" w:before="340" w:after="26"/>
        <w:ind w:left="52" w:right="0" w:firstLine="0"/>
        <w:jc w:val="left"/>
      </w:pPr>
      <w:r>
        <w:rPr>
          <w:rFonts w:ascii="Arial" w:hAnsi="Arial" w:eastAsia="Arial"/>
          <w:b/>
          <w:i/>
          <w:color w:val="000000"/>
          <w:sz w:val="18"/>
        </w:rPr>
        <w:t>Non-interest expenses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872"/>
        <w:gridCol w:w="1872"/>
        <w:gridCol w:w="1872"/>
        <w:gridCol w:w="1872"/>
        <w:gridCol w:w="1872"/>
      </w:tblGrid>
      <w:tr>
        <w:trPr>
          <w:trHeight w:hRule="exact" w:val="238"/>
        </w:trPr>
        <w:tc>
          <w:tcPr>
            <w:tcW w:type="dxa" w:w="7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Administrative—</w:t>
            </w: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Note H</w:t>
            </w:r>
          </w:p>
        </w:tc>
        <w:tc>
          <w:tcPr>
            <w:tcW w:type="dxa" w:w="284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(584)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(541) </w:t>
            </w:r>
          </w:p>
        </w:tc>
      </w:tr>
      <w:tr>
        <w:trPr>
          <w:trHeight w:hRule="exact" w:val="276"/>
        </w:trPr>
        <w:tc>
          <w:tcPr>
            <w:tcW w:type="dxa" w:w="7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</w:t>
            </w:r>
          </w:p>
        </w:tc>
        <w:tc>
          <w:tcPr>
            <w:tcW w:type="dxa" w:w="1872"/>
            <w:vMerge/>
            <w:tcBorders>
              <w:bottom w:sz="8.0" w:val="single" w:color="#000000"/>
            </w:tcBorders>
          </w:tcPr>
          <w:p/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(4) </w:t>
            </w:r>
          </w:p>
        </w:tc>
        <w:tc>
          <w:tcPr>
            <w:tcW w:type="dxa" w:w="1872"/>
            <w:vMerge/>
            <w:tcBorders>
              <w:bottom w:sz="8.0" w:val="single" w:color="#000000"/>
            </w:tcBorders>
          </w:tcPr>
          <w:p/>
        </w:tc>
        <w:tc>
          <w:tcPr>
            <w:tcW w:type="dxa" w:w="6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(24) </w:t>
            </w:r>
          </w:p>
        </w:tc>
      </w:tr>
      <w:tr>
        <w:trPr>
          <w:trHeight w:hRule="exact" w:val="254"/>
        </w:trPr>
        <w:tc>
          <w:tcPr>
            <w:tcW w:type="dxa" w:w="71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(588) </w:t>
            </w:r>
          </w:p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(565) </w:t>
            </w:r>
          </w:p>
        </w:tc>
      </w:tr>
      <w:tr>
        <w:trPr>
          <w:trHeight w:hRule="exact" w:val="630"/>
        </w:trPr>
        <w:tc>
          <w:tcPr>
            <w:tcW w:type="dxa" w:w="71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7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Transfers from affiliated organizations and others—Note H</w:t>
            </w:r>
          </w:p>
        </w:tc>
        <w:tc>
          <w:tcPr>
            <w:tcW w:type="dxa" w:w="28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7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515 </w:t>
            </w:r>
          </w:p>
        </w:tc>
        <w:tc>
          <w:tcPr>
            <w:tcW w:type="dxa" w:w="3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7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— </w:t>
            </w:r>
          </w:p>
        </w:tc>
      </w:tr>
      <w:tr>
        <w:trPr>
          <w:trHeight w:hRule="exact" w:val="500"/>
        </w:trPr>
        <w:tc>
          <w:tcPr>
            <w:tcW w:type="dxa" w:w="7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Development grants—Note G</w:t>
            </w:r>
          </w:p>
        </w:tc>
        <w:tc>
          <w:tcPr>
            <w:tcW w:type="dxa" w:w="18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(1,932) </w:t>
            </w:r>
          </w:p>
        </w:tc>
        <w:tc>
          <w:tcPr>
            <w:tcW w:type="dxa" w:w="18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0" w:after="0"/>
              <w:ind w:left="0" w:right="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(776) </w:t>
            </w:r>
          </w:p>
        </w:tc>
      </w:tr>
      <w:tr>
        <w:trPr>
          <w:trHeight w:hRule="exact" w:val="540"/>
        </w:trPr>
        <w:tc>
          <w:tcPr>
            <w:tcW w:type="dxa" w:w="7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Non-functional currency translation adjustment (losses) gains, net</w:t>
            </w:r>
          </w:p>
        </w:tc>
        <w:tc>
          <w:tcPr>
            <w:tcW w:type="dxa" w:w="18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(125) </w:t>
            </w:r>
          </w:p>
        </w:tc>
        <w:tc>
          <w:tcPr>
            <w:tcW w:type="dxa" w:w="18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 </w:t>
            </w:r>
          </w:p>
        </w:tc>
      </w:tr>
      <w:tr>
        <w:trPr>
          <w:trHeight w:hRule="exact" w:val="720"/>
        </w:trPr>
        <w:tc>
          <w:tcPr>
            <w:tcW w:type="dxa" w:w="71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" w:val="left"/>
              </w:tabs>
              <w:autoSpaceDE w:val="0"/>
              <w:widowControl/>
              <w:spacing w:line="180" w:lineRule="exact" w:before="222" w:after="0"/>
              <w:ind w:left="32" w:right="144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 xml:space="preserve">Unrealized mark-to-market gains on Investments-Trading portfolio, net—Notes F </w:t>
            </w: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and J</w:t>
            </w:r>
          </w:p>
        </w:tc>
        <w:tc>
          <w:tcPr>
            <w:tcW w:type="dxa" w:w="18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170 </w:t>
            </w:r>
          </w:p>
        </w:tc>
        <w:tc>
          <w:tcPr>
            <w:tcW w:type="dxa" w:w="18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8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 </w:t>
            </w:r>
          </w:p>
        </w:tc>
      </w:tr>
      <w:tr>
        <w:trPr>
          <w:trHeight w:hRule="exact" w:val="400"/>
        </w:trPr>
        <w:tc>
          <w:tcPr>
            <w:tcW w:type="dxa" w:w="71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20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Unrealized mark-to-market (losses) gains on non-trading portfolios, net—Note J</w:t>
            </w:r>
          </w:p>
        </w:tc>
        <w:tc>
          <w:tcPr>
            <w:tcW w:type="dxa" w:w="18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(134) </w:t>
            </w:r>
          </w:p>
        </w:tc>
        <w:tc>
          <w:tcPr>
            <w:tcW w:type="dxa" w:w="18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7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656 </w:t>
            </w:r>
          </w:p>
        </w:tc>
      </w:tr>
      <w:tr>
        <w:trPr>
          <w:trHeight w:hRule="exact" w:val="236"/>
        </w:trPr>
        <w:tc>
          <w:tcPr>
            <w:tcW w:type="dxa" w:w="71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/>
                <w:color w:val="000000"/>
                <w:sz w:val="18"/>
              </w:rPr>
              <w:t>Net (loss) income</w:t>
            </w:r>
          </w:p>
        </w:tc>
        <w:tc>
          <w:tcPr>
            <w:tcW w:type="dxa" w:w="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(1,282) </w:t>
            </w:r>
          </w:p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62 </w:t>
            </w:r>
          </w:p>
        </w:tc>
      </w:tr>
      <w:tr>
        <w:trPr>
          <w:trHeight w:hRule="exact" w:val="50"/>
        </w:trPr>
        <w:tc>
          <w:tcPr>
            <w:tcW w:type="dxa" w:w="71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2" w:lineRule="exact" w:before="806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18"/>
        </w:rPr>
        <w:t>The Notes to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2422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28     IDA Quarterly Financial Statements: September 30, 2024 (Unaudited)</w:t>
      </w:r>
    </w:p>
    <w:p>
      <w:pPr>
        <w:sectPr>
          <w:pgSz w:w="12240" w:h="15840"/>
          <w:pgMar w:top="516" w:right="1440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408" w:lineRule="exact" w:before="0" w:after="0"/>
        <w:ind w:left="0" w:right="144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CONDENSED STATEMENTS OF COMPREHENSIVE INCOME </w:t>
      </w: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p>
      <w:pPr>
        <w:autoSpaceDN w:val="0"/>
        <w:autoSpaceDE w:val="0"/>
        <w:widowControl/>
        <w:spacing w:line="216" w:lineRule="exact" w:before="670" w:after="20"/>
        <w:ind w:left="6192" w:right="144" w:firstLine="0"/>
        <w:jc w:val="center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Three Months Ended September 30, </w:t>
      </w:r>
      <w:r>
        <w:br/>
      </w:r>
      <w:r>
        <w:rPr>
          <w:rFonts w:ascii="Arial" w:hAnsi="Arial" w:eastAsia="Arial"/>
          <w:b w:val="0"/>
          <w:i/>
          <w:color w:val="000000"/>
          <w:sz w:val="18"/>
        </w:rPr>
        <w:t>(Unaudited)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1567"/>
        <w:gridCol w:w="1567"/>
        <w:gridCol w:w="1567"/>
        <w:gridCol w:w="1567"/>
        <w:gridCol w:w="1567"/>
        <w:gridCol w:w="1567"/>
      </w:tblGrid>
      <w:tr>
        <w:trPr>
          <w:trHeight w:hRule="exact" w:val="946"/>
        </w:trPr>
        <w:tc>
          <w:tcPr>
            <w:tcW w:type="dxa" w:w="60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74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(loss) income</w:t>
            </w:r>
          </w:p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7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74" w:after="0"/>
              <w:ind w:left="2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(1,282) 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  <w:tc>
          <w:tcPr>
            <w:tcW w:type="dxa" w:w="4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674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62 </w:t>
            </w:r>
          </w:p>
        </w:tc>
      </w:tr>
    </w:tbl>
    <w:p>
      <w:pPr>
        <w:autoSpaceDN w:val="0"/>
        <w:autoSpaceDE w:val="0"/>
        <w:widowControl/>
        <w:spacing w:line="200" w:lineRule="exact" w:before="74" w:after="16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Other comprehensive income (loss)—Note I</w:t>
      </w:r>
    </w:p>
    <w:p>
      <w:pPr>
        <w:sectPr>
          <w:pgSz w:w="12240" w:h="15840"/>
          <w:pgMar w:top="516" w:right="1400" w:bottom="270" w:left="1440" w:header="720" w:footer="720" w:gutter="0"/>
          <w:cols/>
          <w:docGrid w:linePitch="360"/>
        </w:sectPr>
      </w:pPr>
    </w:p>
    <w:p>
      <w:pPr>
        <w:autoSpaceDN w:val="0"/>
        <w:tabs>
          <w:tab w:pos="322" w:val="left"/>
        </w:tabs>
        <w:autoSpaceDE w:val="0"/>
        <w:widowControl/>
        <w:spacing w:line="222" w:lineRule="exact" w:before="0" w:after="0"/>
        <w:ind w:left="23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Currency translation adjustments on functional currencies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8"/>
        </w:rPr>
        <w:t xml:space="preserve">Net Change in Debit Valuation Adjustment (DVA) on Fair Value option </w:t>
      </w:r>
      <w:r>
        <w:rPr>
          <w:rFonts w:ascii="ArialMT" w:hAnsi="ArialMT" w:eastAsia="ArialMT"/>
          <w:b w:val="0"/>
          <w:i w:val="0"/>
          <w:color w:val="000000"/>
          <w:sz w:val="18"/>
        </w:rPr>
        <w:t>elected liabilities</w:t>
      </w:r>
    </w:p>
    <w:p>
      <w:pPr>
        <w:autoSpaceDN w:val="0"/>
        <w:autoSpaceDE w:val="0"/>
        <w:widowControl/>
        <w:spacing w:line="200" w:lineRule="exact" w:before="234" w:after="0"/>
        <w:ind w:left="5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Total comprehensive income (loss)</w:t>
      </w:r>
    </w:p>
    <w:p>
      <w:pPr>
        <w:sectPr>
          <w:type w:val="continuous"/>
          <w:pgSz w:w="12240" w:h="15840"/>
          <w:pgMar w:top="516" w:right="1400" w:bottom="270" w:left="1440" w:header="720" w:footer="720" w:gutter="0"/>
          <w:cols w:num="2" w:equalWidth="0">
            <w:col w:w="5922" w:space="0"/>
            <w:col w:w="3477" w:space="0"/>
          </w:cols>
          <w:docGrid w:linePitch="360"/>
        </w:sectPr>
      </w:pPr>
    </w:p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3.99999999999977" w:type="dxa"/>
      </w:tblPr>
      <w:tblGrid>
        <w:gridCol w:w="3133"/>
        <w:gridCol w:w="3133"/>
        <w:gridCol w:w="3133"/>
      </w:tblGrid>
      <w:tr>
        <w:trPr>
          <w:trHeight w:hRule="exact" w:val="374"/>
        </w:trPr>
        <w:tc>
          <w:tcPr>
            <w:tcW w:type="dxa" w:w="644"/>
            <w:vMerge w:val="restart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7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4,884 </w:t>
            </w:r>
          </w:p>
        </w:tc>
        <w:tc>
          <w:tcPr>
            <w:tcW w:type="dxa" w:w="10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(1,771) </w:t>
            </w:r>
          </w:p>
        </w:tc>
      </w:tr>
      <w:tr>
        <w:trPr>
          <w:trHeight w:hRule="exact" w:val="380"/>
        </w:trPr>
        <w:tc>
          <w:tcPr>
            <w:tcW w:type="dxa" w:w="3133"/>
            <w:vMerge/>
            <w:tcBorders>
              <w:bottom w:sz="8.0" w:val="single" w:color="#000000"/>
            </w:tcBorders>
          </w:tcPr>
          <w:p/>
        </w:tc>
        <w:tc>
          <w:tcPr>
            <w:tcW w:type="dxa" w:w="1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31 </w:t>
            </w:r>
          </w:p>
        </w:tc>
        <w:tc>
          <w:tcPr>
            <w:tcW w:type="dxa" w:w="104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5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(7) </w:t>
            </w:r>
          </w:p>
        </w:tc>
      </w:tr>
      <w:tr>
        <w:trPr>
          <w:trHeight w:hRule="exact" w:val="396"/>
        </w:trPr>
        <w:tc>
          <w:tcPr>
            <w:tcW w:type="dxa" w:w="644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3,633 $ </w:t>
            </w:r>
          </w:p>
        </w:tc>
        <w:tc>
          <w:tcPr>
            <w:tcW w:type="dxa" w:w="104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(1,716) </w:t>
            </w:r>
          </w:p>
        </w:tc>
      </w:tr>
    </w:tbl>
    <w:p>
      <w:pPr>
        <w:autoSpaceDN w:val="0"/>
        <w:autoSpaceDE w:val="0"/>
        <w:widowControl/>
        <w:spacing w:line="14" w:lineRule="exact" w:before="0" w:after="980"/>
        <w:ind w:left="0" w:right="0"/>
      </w:pPr>
    </w:p>
    <w:p>
      <w:pPr>
        <w:sectPr>
          <w:type w:val="nextColumn"/>
          <w:pgSz w:w="12240" w:h="15840"/>
          <w:pgMar w:top="516" w:right="1400" w:bottom="270" w:left="1440" w:header="720" w:footer="720" w:gutter="0"/>
          <w:cols w:num="2" w:equalWidth="0">
            <w:col w:w="5922" w:space="0"/>
            <w:col w:w="3477" w:space="0"/>
          </w:cols>
          <w:docGrid w:linePitch="360"/>
        </w:sectPr>
      </w:pPr>
    </w:p>
    <w:p>
      <w:pPr>
        <w:autoSpaceDN w:val="0"/>
        <w:autoSpaceDE w:val="0"/>
        <w:widowControl/>
        <w:spacing w:line="406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 xml:space="preserve">CONDENSED STATEMENTS OF CHANGES IN ACCUMULATED DEFICIT </w:t>
      </w:r>
      <w:r>
        <w:rPr>
          <w:rFonts w:ascii="Arial" w:hAnsi="Arial" w:eastAsia="Arial"/>
          <w:b w:val="0"/>
          <w:i/>
          <w:color w:val="000000"/>
          <w:sz w:val="20"/>
        </w:rPr>
        <w:t>Expressed in millions of U.S. dollars</w:t>
      </w:r>
    </w:p>
    <w:p>
      <w:pPr>
        <w:autoSpaceDN w:val="0"/>
        <w:autoSpaceDE w:val="0"/>
        <w:widowControl/>
        <w:spacing w:line="240" w:lineRule="exact" w:before="422" w:after="18"/>
        <w:ind w:left="6768" w:right="864" w:firstLine="0"/>
        <w:jc w:val="center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Three Months Ended </w:t>
      </w:r>
      <w:r>
        <w:br/>
      </w:r>
      <w:r>
        <w:rPr>
          <w:rFonts w:ascii="Arial" w:hAnsi="Arial" w:eastAsia="Arial"/>
          <w:b w:val="0"/>
          <w:i/>
          <w:color w:val="000000"/>
          <w:sz w:val="18"/>
        </w:rPr>
        <w:t xml:space="preserve">September 30, </w:t>
      </w:r>
      <w:r>
        <w:br/>
      </w:r>
      <w:r>
        <w:rPr>
          <w:rFonts w:ascii="Arial" w:hAnsi="Arial" w:eastAsia="Arial"/>
          <w:b w:val="0"/>
          <w:i/>
          <w:color w:val="000000"/>
          <w:sz w:val="18"/>
        </w:rPr>
        <w:t>(Unaudited)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2350"/>
        <w:gridCol w:w="2350"/>
        <w:gridCol w:w="2350"/>
        <w:gridCol w:w="2350"/>
      </w:tblGrid>
      <w:tr>
        <w:trPr>
          <w:trHeight w:hRule="exact" w:val="256"/>
        </w:trPr>
        <w:tc>
          <w:tcPr>
            <w:tcW w:type="dxa" w:w="60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  <w:tr>
        <w:trPr>
          <w:trHeight w:hRule="exact" w:val="614"/>
        </w:trPr>
        <w:tc>
          <w:tcPr>
            <w:tcW w:type="dxa" w:w="60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Accumulated deficit at beginning of the fiscal year</w:t>
            </w:r>
          </w:p>
        </w:tc>
        <w:tc>
          <w:tcPr>
            <w:tcW w:type="dxa" w:w="4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0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(66,379) $ </w:t>
            </w:r>
          </w:p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(62,806) </w:t>
            </w:r>
          </w:p>
        </w:tc>
      </w:tr>
      <w:tr>
        <w:trPr>
          <w:trHeight w:hRule="exact" w:val="286"/>
        </w:trPr>
        <w:tc>
          <w:tcPr>
            <w:tcW w:type="dxa" w:w="60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(loss) income</w:t>
            </w:r>
          </w:p>
        </w:tc>
        <w:tc>
          <w:tcPr>
            <w:tcW w:type="dxa" w:w="235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4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(1,282) </w:t>
            </w:r>
          </w:p>
        </w:tc>
        <w:tc>
          <w:tcPr>
            <w:tcW w:type="dxa" w:w="1260"/>
            <w:tcBorders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5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62 </w:t>
            </w:r>
          </w:p>
        </w:tc>
      </w:tr>
      <w:tr>
        <w:trPr>
          <w:trHeight w:hRule="exact" w:val="354"/>
        </w:trPr>
        <w:tc>
          <w:tcPr>
            <w:tcW w:type="dxa" w:w="60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Accumulated deficit at end of the period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1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0" w:right="1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(67,661) $ 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(62,744) </w:t>
            </w:r>
          </w:p>
        </w:tc>
      </w:tr>
      <w:tr>
        <w:trPr>
          <w:trHeight w:hRule="exact" w:val="52"/>
        </w:trPr>
        <w:tc>
          <w:tcPr>
            <w:tcW w:type="dxa" w:w="60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00" w:lineRule="exact" w:before="748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18"/>
        </w:rPr>
        <w:t>The Notes to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4066" w:after="0"/>
        <w:ind w:left="0" w:right="4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29</w:t>
      </w:r>
    </w:p>
    <w:p>
      <w:pPr>
        <w:sectPr>
          <w:type w:val="continuous"/>
          <w:pgSz w:w="12240" w:h="15840"/>
          <w:pgMar w:top="516" w:right="1400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9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CONDENSED STATEMENTS OF CASH FLOWS</w:t>
      </w:r>
    </w:p>
    <w:p>
      <w:pPr>
        <w:autoSpaceDN w:val="0"/>
        <w:autoSpaceDE w:val="0"/>
        <w:widowControl/>
        <w:spacing w:line="224" w:lineRule="exact" w:before="156" w:after="0"/>
        <w:ind w:left="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20"/>
        </w:rPr>
        <w:t xml:space="preserve">Expressed in millions of U.S. dollars </w:t>
      </w:r>
    </w:p>
    <w:p>
      <w:pPr>
        <w:autoSpaceDN w:val="0"/>
        <w:autoSpaceDE w:val="0"/>
        <w:widowControl/>
        <w:spacing w:line="202" w:lineRule="exact" w:before="76" w:after="0"/>
        <w:ind w:left="0" w:right="252" w:firstLine="0"/>
        <w:jc w:val="right"/>
      </w:pPr>
      <w:r>
        <w:rPr>
          <w:rFonts w:ascii="Arial" w:hAnsi="Arial" w:eastAsia="Arial"/>
          <w:b w:val="0"/>
          <w:i/>
          <w:color w:val="000000"/>
          <w:sz w:val="18"/>
        </w:rPr>
        <w:t>Three Months Ended</w:t>
      </w:r>
    </w:p>
    <w:p>
      <w:pPr>
        <w:autoSpaceDN w:val="0"/>
        <w:autoSpaceDE w:val="0"/>
        <w:widowControl/>
        <w:spacing w:line="216" w:lineRule="exact" w:before="34" w:after="32"/>
        <w:ind w:left="7632" w:right="432" w:firstLine="0"/>
        <w:jc w:val="center"/>
      </w:pPr>
      <w:r>
        <w:rPr>
          <w:rFonts w:ascii="Arial" w:hAnsi="Arial" w:eastAsia="Arial"/>
          <w:b w:val="0"/>
          <w:i/>
          <w:color w:val="000000"/>
          <w:sz w:val="18"/>
        </w:rPr>
        <w:t xml:space="preserve">September 30, </w:t>
      </w:r>
      <w:r>
        <w:br/>
      </w:r>
      <w:r>
        <w:rPr>
          <w:rFonts w:ascii="Arial" w:hAnsi="Arial" w:eastAsia="Arial"/>
          <w:b w:val="0"/>
          <w:i/>
          <w:color w:val="000000"/>
          <w:sz w:val="18"/>
        </w:rPr>
        <w:t>(Unaudited)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228.0" w:type="dxa"/>
      </w:tblPr>
      <w:tblGrid>
        <w:gridCol w:w="4682"/>
        <w:gridCol w:w="4682"/>
      </w:tblGrid>
      <w:tr>
        <w:trPr>
          <w:trHeight w:hRule="exact" w:val="256"/>
        </w:trPr>
        <w:tc>
          <w:tcPr>
            <w:tcW w:type="dxa" w:w="9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2024</w:t>
            </w:r>
          </w:p>
        </w:tc>
        <w:tc>
          <w:tcPr>
            <w:tcW w:type="dxa" w:w="11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8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202" w:lineRule="exact" w:before="14" w:after="0"/>
        <w:ind w:left="10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investing activities</w:t>
      </w:r>
    </w:p>
    <w:p>
      <w:pPr>
        <w:autoSpaceDN w:val="0"/>
        <w:autoSpaceDE w:val="0"/>
        <w:widowControl/>
        <w:spacing w:line="200" w:lineRule="exact" w:before="54" w:after="28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Loans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873"/>
        <w:gridCol w:w="1873"/>
        <w:gridCol w:w="1873"/>
        <w:gridCol w:w="1873"/>
        <w:gridCol w:w="1873"/>
      </w:tblGrid>
      <w:tr>
        <w:trPr>
          <w:trHeight w:hRule="exact" w:val="246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Disbursements</w:t>
            </w:r>
          </w:p>
        </w:tc>
        <w:tc>
          <w:tcPr>
            <w:tcW w:type="dxa" w:w="2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(3,030)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(2,389) </w:t>
            </w:r>
          </w:p>
        </w:tc>
      </w:tr>
      <w:tr>
        <w:trPr>
          <w:trHeight w:hRule="exact" w:val="264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 Principal repayments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1,950 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1,794 </w:t>
            </w:r>
          </w:p>
        </w:tc>
      </w:tr>
    </w:tbl>
    <w:p>
      <w:pPr>
        <w:autoSpaceDN w:val="0"/>
        <w:autoSpaceDE w:val="0"/>
        <w:widowControl/>
        <w:spacing w:line="202" w:lineRule="exact" w:before="26" w:after="26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Non-trading securities—Investments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21"/>
        <w:gridCol w:w="3121"/>
        <w:gridCol w:w="3121"/>
      </w:tblGrid>
      <w:tr>
        <w:trPr>
          <w:trHeight w:hRule="exact" w:val="258"/>
        </w:trPr>
        <w:tc>
          <w:tcPr>
            <w:tcW w:type="dxa" w:w="700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Repayments</w:t>
            </w:r>
          </w:p>
        </w:tc>
        <w:tc>
          <w:tcPr>
            <w:tcW w:type="dxa" w:w="131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34 </w:t>
            </w:r>
          </w:p>
        </w:tc>
        <w:tc>
          <w:tcPr>
            <w:tcW w:type="dxa" w:w="8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43 </w:t>
            </w:r>
          </w:p>
        </w:tc>
      </w:tr>
      <w:tr>
        <w:trPr>
          <w:trHeight w:hRule="exact" w:val="270"/>
        </w:trPr>
        <w:tc>
          <w:tcPr>
            <w:tcW w:type="dxa" w:w="700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4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used in investing activities</w:t>
            </w:r>
          </w:p>
        </w:tc>
        <w:tc>
          <w:tcPr>
            <w:tcW w:type="dxa" w:w="131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(1,046) </w:t>
            </w:r>
          </w:p>
        </w:tc>
        <w:tc>
          <w:tcPr>
            <w:tcW w:type="dxa" w:w="8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(552) </w:t>
            </w:r>
          </w:p>
        </w:tc>
      </w:tr>
    </w:tbl>
    <w:p>
      <w:pPr>
        <w:autoSpaceDN w:val="0"/>
        <w:autoSpaceDE w:val="0"/>
        <w:widowControl/>
        <w:spacing w:line="202" w:lineRule="exact" w:before="114" w:after="26"/>
        <w:ind w:left="10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financing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1"/>
        <w:gridCol w:w="3121"/>
        <w:gridCol w:w="3121"/>
      </w:tblGrid>
      <w:tr>
        <w:trPr>
          <w:trHeight w:hRule="exact" w:val="254"/>
        </w:trPr>
        <w:tc>
          <w:tcPr>
            <w:tcW w:type="dxa" w:w="5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Members' subscriptions and contributions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744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8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682 </w:t>
            </w:r>
          </w:p>
        </w:tc>
      </w:tr>
    </w:tbl>
    <w:p>
      <w:pPr>
        <w:autoSpaceDN w:val="0"/>
        <w:autoSpaceDE w:val="0"/>
        <w:widowControl/>
        <w:spacing w:line="202" w:lineRule="exact" w:before="28" w:after="28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Medium and long-term 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21"/>
        <w:gridCol w:w="3121"/>
        <w:gridCol w:w="3121"/>
      </w:tblGrid>
      <w:tr>
        <w:trPr>
          <w:trHeight w:hRule="exact" w:val="24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4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2,769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72 </w:t>
            </w:r>
          </w:p>
        </w:tc>
      </w:tr>
      <w:tr>
        <w:trPr>
          <w:trHeight w:hRule="exact" w:val="270"/>
        </w:trPr>
        <w:tc>
          <w:tcPr>
            <w:tcW w:type="dxa" w:w="4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4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(45)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(25)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Short-term borrowings (original maturities greater than 90 days)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1"/>
        <w:gridCol w:w="3121"/>
        <w:gridCol w:w="3121"/>
      </w:tblGrid>
      <w:tr>
        <w:trPr>
          <w:trHeight w:hRule="exact" w:val="238"/>
        </w:trPr>
        <w:tc>
          <w:tcPr>
            <w:tcW w:type="dxa" w:w="7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3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New issues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4,376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1,546 </w:t>
            </w:r>
          </w:p>
        </w:tc>
      </w:tr>
      <w:tr>
        <w:trPr>
          <w:trHeight w:hRule="exact" w:val="260"/>
        </w:trPr>
        <w:tc>
          <w:tcPr>
            <w:tcW w:type="dxa" w:w="7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3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Retirements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(2,304)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(1,341) </w:t>
            </w:r>
          </w:p>
        </w:tc>
      </w:tr>
      <w:tr>
        <w:trPr>
          <w:trHeight w:hRule="exact" w:val="260"/>
        </w:trPr>
        <w:tc>
          <w:tcPr>
            <w:tcW w:type="dxa" w:w="70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short-term borrowings (original maturities less than 90 days)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678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997 </w:t>
            </w:r>
          </w:p>
        </w:tc>
      </w:tr>
      <w:tr>
        <w:trPr>
          <w:trHeight w:hRule="exact" w:val="266"/>
        </w:trPr>
        <w:tc>
          <w:tcPr>
            <w:tcW w:type="dxa" w:w="70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derivatives-borrowings</w:t>
            </w:r>
          </w:p>
        </w:tc>
        <w:tc>
          <w:tcPr>
            <w:tcW w:type="dxa" w:w="123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 </w:t>
            </w:r>
          </w:p>
        </w:tc>
        <w:tc>
          <w:tcPr>
            <w:tcW w:type="dxa" w:w="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(2) </w:t>
            </w:r>
          </w:p>
        </w:tc>
      </w:tr>
      <w:tr>
        <w:trPr>
          <w:trHeight w:hRule="exact" w:val="270"/>
        </w:trPr>
        <w:tc>
          <w:tcPr>
            <w:tcW w:type="dxa" w:w="70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5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provided by financing activities</w:t>
            </w:r>
          </w:p>
        </w:tc>
        <w:tc>
          <w:tcPr>
            <w:tcW w:type="dxa" w:w="12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6,226 </w:t>
            </w:r>
          </w:p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1,929 </w:t>
            </w:r>
          </w:p>
        </w:tc>
      </w:tr>
    </w:tbl>
    <w:p>
      <w:pPr>
        <w:autoSpaceDN w:val="0"/>
        <w:autoSpaceDE w:val="0"/>
        <w:widowControl/>
        <w:spacing w:line="200" w:lineRule="exact" w:before="130" w:after="26"/>
        <w:ind w:left="104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>Cash flows from operating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3121"/>
        <w:gridCol w:w="3121"/>
        <w:gridCol w:w="3121"/>
      </w:tblGrid>
      <w:tr>
        <w:trPr>
          <w:trHeight w:hRule="exact" w:val="258"/>
        </w:trPr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(loss) income</w:t>
            </w:r>
          </w:p>
        </w:tc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(1,282)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62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Adjustments to reconcile net (loss) income to net cash used in operating activities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3121"/>
        <w:gridCol w:w="3121"/>
        <w:gridCol w:w="3121"/>
      </w:tblGrid>
      <w:tr>
        <w:trPr>
          <w:trHeight w:hRule="exact" w:val="238"/>
        </w:trPr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Provision for losses on loans and other exposures, (release) charge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3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(21)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85 </w:t>
            </w:r>
          </w:p>
        </w:tc>
      </w:tr>
      <w:tr>
        <w:trPr>
          <w:trHeight w:hRule="exact" w:val="260"/>
        </w:trPr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Non-functional currency translation adjustment losses (gains), net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125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(17) </w:t>
            </w:r>
          </w:p>
        </w:tc>
      </w:tr>
      <w:tr>
        <w:trPr>
          <w:trHeight w:hRule="exact" w:val="260"/>
        </w:trPr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Unrealized mark-to-market losses (gains) on non-trading portfolios, net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134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(656) </w:t>
            </w:r>
          </w:p>
        </w:tc>
      </w:tr>
      <w:tr>
        <w:trPr>
          <w:trHeight w:hRule="exact" w:val="260"/>
        </w:trPr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non-interest expenses, net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24 </w:t>
            </w:r>
          </w:p>
        </w:tc>
      </w:tr>
      <w:tr>
        <w:trPr>
          <w:trHeight w:hRule="exact" w:val="260"/>
        </w:trPr>
        <w:tc>
          <w:tcPr>
            <w:tcW w:type="dxa" w:w="6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2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Amortization of discount on borrowings 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100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70 </w:t>
            </w:r>
          </w:p>
        </w:tc>
      </w:tr>
    </w:tbl>
    <w:p>
      <w:pPr>
        <w:autoSpaceDN w:val="0"/>
        <w:autoSpaceDE w:val="0"/>
        <w:widowControl/>
        <w:spacing w:line="200" w:lineRule="exact" w:before="26" w:after="26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Changes in: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0.0" w:type="dxa"/>
      </w:tblPr>
      <w:tblGrid>
        <w:gridCol w:w="3121"/>
        <w:gridCol w:w="3121"/>
        <w:gridCol w:w="3121"/>
      </w:tblGrid>
      <w:tr>
        <w:trPr>
          <w:trHeight w:hRule="exact" w:val="248"/>
        </w:trPr>
        <w:tc>
          <w:tcPr>
            <w:tcW w:type="dxa" w:w="71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4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Investment portfolio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(3,893)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(524) </w:t>
            </w:r>
          </w:p>
        </w:tc>
      </w:tr>
      <w:tr>
        <w:trPr>
          <w:trHeight w:hRule="exact" w:val="266"/>
        </w:trPr>
        <w:tc>
          <w:tcPr>
            <w:tcW w:type="dxa" w:w="71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4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Other assets and liabilities</w:t>
            </w:r>
          </w:p>
        </w:tc>
        <w:tc>
          <w:tcPr>
            <w:tcW w:type="dxa" w:w="123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22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(233) </w:t>
            </w:r>
          </w:p>
        </w:tc>
        <w:tc>
          <w:tcPr>
            <w:tcW w:type="dxa" w:w="8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(574) </w:t>
            </w:r>
          </w:p>
        </w:tc>
      </w:tr>
      <w:tr>
        <w:trPr>
          <w:trHeight w:hRule="exact" w:val="254"/>
        </w:trPr>
        <w:tc>
          <w:tcPr>
            <w:tcW w:type="dxa" w:w="71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6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Net cash used in operating activities</w:t>
            </w:r>
          </w:p>
        </w:tc>
        <w:tc>
          <w:tcPr>
            <w:tcW w:type="dxa" w:w="12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(5,067) 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4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(1,530) </w:t>
            </w:r>
          </w:p>
        </w:tc>
      </w:tr>
      <w:tr>
        <w:trPr>
          <w:trHeight w:hRule="exact" w:val="450"/>
        </w:trPr>
        <w:tc>
          <w:tcPr>
            <w:tcW w:type="dxa" w:w="718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Effect of exchange rate changes on unrestricted and restricted cash</w:t>
            </w:r>
          </w:p>
        </w:tc>
        <w:tc>
          <w:tcPr>
            <w:tcW w:type="dxa" w:w="12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14 </w:t>
            </w:r>
          </w:p>
        </w:tc>
        <w:tc>
          <w:tcPr>
            <w:tcW w:type="dxa" w:w="8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(7) </w:t>
            </w:r>
          </w:p>
        </w:tc>
      </w:tr>
      <w:tr>
        <w:trPr>
          <w:trHeight w:hRule="exact" w:val="250"/>
        </w:trPr>
        <w:tc>
          <w:tcPr>
            <w:tcW w:type="dxa" w:w="718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Net increase (decrease) in unrestricted and restricted cash</w:t>
            </w:r>
          </w:p>
        </w:tc>
        <w:tc>
          <w:tcPr>
            <w:tcW w:type="dxa" w:w="12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127 </w:t>
            </w:r>
          </w:p>
        </w:tc>
        <w:tc>
          <w:tcPr>
            <w:tcW w:type="dxa" w:w="8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(160) </w:t>
            </w:r>
          </w:p>
        </w:tc>
      </w:tr>
      <w:tr>
        <w:trPr>
          <w:trHeight w:hRule="exact" w:val="239"/>
        </w:trPr>
        <w:tc>
          <w:tcPr>
            <w:tcW w:type="dxa" w:w="718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64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8"/>
              </w:rPr>
              <w:t>Unrestricted and restricted cash at beginning of the fiscal year</w:t>
            </w:r>
          </w:p>
        </w:tc>
        <w:tc>
          <w:tcPr>
            <w:tcW w:type="dxa" w:w="12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2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586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689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16"/>
        <w:ind w:left="0" w:right="0"/>
      </w:pPr>
    </w:p>
    <w:p>
      <w:pPr>
        <w:sectPr>
          <w:pgSz w:w="12240" w:h="15840"/>
          <w:pgMar w:top="516" w:right="1436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88" w:lineRule="exact" w:before="0" w:after="0"/>
        <w:ind w:left="104" w:right="1296" w:firstLine="0"/>
        <w:jc w:val="left"/>
      </w:pPr>
      <w:r>
        <w:rPr>
          <w:rFonts w:ascii="Arial" w:hAnsi="Arial" w:eastAsia="Arial"/>
          <w:b/>
          <w:i w:val="0"/>
          <w:color w:val="000000"/>
          <w:sz w:val="18"/>
        </w:rPr>
        <w:t xml:space="preserve">Unrestricted and restricted cash at end of the period </w:t>
      </w:r>
      <w:r>
        <w:rPr>
          <w:rFonts w:ascii="Arial" w:hAnsi="Arial" w:eastAsia="Arial"/>
          <w:b/>
          <w:i w:val="0"/>
          <w:color w:val="000000"/>
          <w:sz w:val="18"/>
        </w:rPr>
        <w:t>Supplemental disclosure</w:t>
      </w:r>
    </w:p>
    <w:p>
      <w:pPr>
        <w:sectPr>
          <w:type w:val="continuous"/>
          <w:pgSz w:w="12240" w:h="15840"/>
          <w:pgMar w:top="516" w:right="1436" w:bottom="270" w:left="1440" w:header="720" w:footer="720" w:gutter="0"/>
          <w:cols w:num="2" w:equalWidth="0">
            <w:col w:w="5908" w:space="0"/>
            <w:col w:w="3456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20.0" w:type="dxa"/>
      </w:tblPr>
      <w:tblGrid>
        <w:gridCol w:w="2341"/>
        <w:gridCol w:w="2341"/>
        <w:gridCol w:w="2341"/>
        <w:gridCol w:w="2341"/>
      </w:tblGrid>
      <w:tr>
        <w:trPr>
          <w:trHeight w:hRule="exact" w:val="190"/>
        </w:trPr>
        <w:tc>
          <w:tcPr>
            <w:tcW w:type="dxa" w:w="392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713 </w:t>
            </w:r>
          </w:p>
        </w:tc>
        <w:tc>
          <w:tcPr>
            <w:tcW w:type="dxa" w:w="4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578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529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370"/>
        <w:ind w:left="0" w:right="0"/>
      </w:pPr>
    </w:p>
    <w:p>
      <w:pPr>
        <w:sectPr>
          <w:type w:val="nextColumn"/>
          <w:pgSz w:w="12240" w:h="15840"/>
          <w:pgMar w:top="516" w:right="1436" w:bottom="270" w:left="1440" w:header="720" w:footer="720" w:gutter="0"/>
          <w:cols w:num="2" w:equalWidth="0">
            <w:col w:w="5908" w:space="0"/>
            <w:col w:w="3456" w:space="0"/>
          </w:cols>
          <w:docGrid w:linePitch="360"/>
        </w:sectPr>
      </w:pPr>
    </w:p>
    <w:p>
      <w:pPr>
        <w:autoSpaceDN w:val="0"/>
        <w:autoSpaceDE w:val="0"/>
        <w:widowControl/>
        <w:spacing w:line="200" w:lineRule="exact" w:before="0" w:after="26"/>
        <w:ind w:left="284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8"/>
        </w:rPr>
        <w:t>Increase (Decrease) in ending balances resulting from exchange rate fluctuations: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.0" w:type="dxa"/>
      </w:tblPr>
      <w:tblGrid>
        <w:gridCol w:w="1873"/>
        <w:gridCol w:w="1873"/>
        <w:gridCol w:w="1873"/>
        <w:gridCol w:w="1873"/>
        <w:gridCol w:w="1873"/>
      </w:tblGrid>
      <w:tr>
        <w:trPr>
          <w:trHeight w:hRule="exact" w:val="238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Loans outstanding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5,950 </w:t>
            </w:r>
          </w:p>
        </w:tc>
        <w:tc>
          <w:tcPr>
            <w:tcW w:type="dxa" w:w="3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$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(2,151) </w:t>
            </w:r>
          </w:p>
        </w:tc>
      </w:tr>
      <w:tr>
        <w:trPr>
          <w:trHeight w:hRule="exact" w:val="26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Investment portfolio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805 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(379) </w:t>
            </w:r>
          </w:p>
        </w:tc>
      </w:tr>
      <w:tr>
        <w:trPr>
          <w:trHeight w:hRule="exact" w:val="26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Borrowing portfolio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1,458 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40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(520) </w:t>
            </w:r>
          </w:p>
        </w:tc>
      </w:tr>
      <w:tr>
        <w:trPr>
          <w:trHeight w:hRule="exact" w:val="26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41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Derivatives—Asset-liability management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(375) 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185 </w:t>
            </w:r>
          </w:p>
        </w:tc>
      </w:tr>
      <w:tr>
        <w:trPr>
          <w:trHeight w:hRule="exact" w:val="420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416" w:val="left"/>
              </w:tabs>
              <w:autoSpaceDE w:val="0"/>
              <w:widowControl/>
              <w:spacing w:line="180" w:lineRule="exact" w:before="52" w:after="0"/>
              <w:ind w:left="144" w:right="288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Principal repayments written off under Heavily Indebted Poor Countries (HIPC)/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Multilateral Debt Relief Initiative (MDRI)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 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1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3 </w:t>
            </w:r>
          </w:p>
        </w:tc>
      </w:tr>
      <w:tr>
        <w:trPr>
          <w:trHeight w:hRule="exact" w:val="306"/>
        </w:trPr>
        <w:tc>
          <w:tcPr>
            <w:tcW w:type="dxa" w:w="6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14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>Interest paid on borrowing portfolio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1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220 </w:t>
            </w:r>
          </w:p>
        </w:tc>
        <w:tc>
          <w:tcPr>
            <w:tcW w:type="dxa" w:w="1873"/>
            <w:vMerge/>
            <w:tcBorders/>
          </w:tcPr>
          <w:p/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4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8"/>
              </w:rPr>
              <w:t xml:space="preserve">197 </w:t>
            </w:r>
          </w:p>
        </w:tc>
      </w:tr>
    </w:tbl>
    <w:p>
      <w:pPr>
        <w:autoSpaceDN w:val="0"/>
        <w:autoSpaceDE w:val="0"/>
        <w:widowControl/>
        <w:spacing w:line="200" w:lineRule="exact" w:before="150" w:after="0"/>
        <w:ind w:left="0" w:right="0" w:firstLine="0"/>
        <w:jc w:val="center"/>
      </w:pPr>
      <w:r>
        <w:rPr>
          <w:rFonts w:ascii="Arial" w:hAnsi="Arial" w:eastAsia="Arial"/>
          <w:b/>
          <w:i w:val="0"/>
          <w:color w:val="000000"/>
          <w:sz w:val="18"/>
        </w:rPr>
        <w:t>The Notes to Condensed Quarterly Financial Statements are an integral part of these Statements.</w:t>
      </w:r>
    </w:p>
    <w:p>
      <w:pPr>
        <w:autoSpaceDN w:val="0"/>
        <w:autoSpaceDE w:val="0"/>
        <w:widowControl/>
        <w:spacing w:line="224" w:lineRule="exact" w:before="50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30     IDA Quarterly Financial Statements: September 30, 2024 (Unaudited)</w:t>
      </w:r>
    </w:p>
    <w:p>
      <w:pPr>
        <w:sectPr>
          <w:type w:val="continuous"/>
          <w:pgSz w:w="12240" w:h="15840"/>
          <w:pgMar w:top="516" w:right="1436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NOTES TO THE CONDENSED QUARTERLY FINANCIAL STATEMENTS</w:t>
      </w:r>
    </w:p>
    <w:p>
      <w:pPr>
        <w:autoSpaceDN w:val="0"/>
        <w:autoSpaceDE w:val="0"/>
        <w:widowControl/>
        <w:spacing w:line="244" w:lineRule="exact" w:before="264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NOTE A—SUMMARY OF SIGNIFICANT ACCOUNTING AND RELATED POLICIES</w:t>
      </w:r>
    </w:p>
    <w:p>
      <w:pPr>
        <w:autoSpaceDN w:val="0"/>
        <w:autoSpaceDE w:val="0"/>
        <w:widowControl/>
        <w:spacing w:line="244" w:lineRule="exact" w:before="14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Basis of Preparation</w:t>
      </w:r>
    </w:p>
    <w:p>
      <w:pPr>
        <w:autoSpaceDN w:val="0"/>
        <w:autoSpaceDE w:val="0"/>
        <w:widowControl/>
        <w:spacing w:line="240" w:lineRule="exact" w:before="130" w:after="0"/>
        <w:ind w:left="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unaudited condensed quarterly financial statements and notes should be read in conjunction with the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2024 audited financial statements and notes included therein. The condensed comparative information that has been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derived from the June 30, 2024 audited financial statements has not been audited. In the opinion of management,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condensed quarterly financial statements reflect all adjustments necessary for a fair presentation of IDA’s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position and results of operations in accordance with accounting principles generally accepted in the United States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America (U.S. GAAP).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makes estimates and assumptions that affect the reported amounts of assets and liabilities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disclosures of contingent assets and liabilities at the date of the condensed quarterly financial statements and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reported amounts of revenue and expenses during the reporting periods. Due to the inherent uncertainty involved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making those estimates, actual results could differ from those estimates. Areas in which significant estimates have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been made include, but are not limited to, the provision for losses on loans and other exposures and valuation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certain financial instruments carried at fair value. The results of operations for the first three months of the current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fiscal year are not necessarily indicative of the results that may be expected for the full year.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Certain reclassifications of the prior year’s information have been made to conform with the current year’s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presentation.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financial statements were issued on November 14, 2024, which was also the date through which IDA’s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management evaluated subsequent events.</w:t>
      </w:r>
    </w:p>
    <w:p>
      <w:pPr>
        <w:autoSpaceDN w:val="0"/>
        <w:autoSpaceDE w:val="0"/>
        <w:widowControl/>
        <w:spacing w:line="244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Accounting and Reporting Developments</w:t>
      </w:r>
    </w:p>
    <w:p>
      <w:pPr>
        <w:autoSpaceDN w:val="0"/>
        <w:autoSpaceDE w:val="0"/>
        <w:widowControl/>
        <w:spacing w:line="222" w:lineRule="exact" w:before="14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Accounting Standards Under Evaluation</w:t>
      </w:r>
    </w:p>
    <w:p>
      <w:pPr>
        <w:autoSpaceDN w:val="0"/>
        <w:autoSpaceDE w:val="0"/>
        <w:widowControl/>
        <w:spacing w:line="224" w:lineRule="exact" w:before="136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November 2023, the FASB issued ASU 2023-07,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Segment Reporting (Topic 280): Improvements to Reportable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Segment Disclosures,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requires additional segment disclosures for public entities, including those with a single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reportable segment, such as the significant segment expenses that are regularly provided to the chief operating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decision maker (CODM), the title and position of the CODM, as well as an explanation of how the CODM uses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reported measure of segment profit or loss. All existing annual disclosures about segment profit or loss must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provided on an interim basis in addition to disclosure of significant segment expenses. For IDA, the ASU will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effective for the annual period ending June 30, 2025 (annual statements of fiscal year 2025). IDA is currently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evaluating the impact of the ASU on its financial statements.</w:t>
      </w:r>
    </w:p>
    <w:p>
      <w:pPr>
        <w:autoSpaceDN w:val="0"/>
        <w:autoSpaceDE w:val="0"/>
        <w:widowControl/>
        <w:spacing w:line="240" w:lineRule="exact" w:before="104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October 2023, the FASB issued ASU 2023-06,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Disclosure Improvements: Codification Amendments in Response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to the SEC’s Disclosure Update and Simplification Initiative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. The new guidance is intended to align U.S. GAAP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requirements with those of the SEC and to facilitate the application of U.S. GAAP for all entities. If by June 30,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2027, the SEC has not removed the applicable SEC requirement, the related ASU amendment will not become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effective. IDA is currently evaluating the impact of the ASU on its financial statements.</w:t>
      </w:r>
    </w:p>
    <w:p>
      <w:pPr>
        <w:autoSpaceDN w:val="0"/>
        <w:autoSpaceDE w:val="0"/>
        <w:widowControl/>
        <w:spacing w:line="224" w:lineRule="exact" w:before="3934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31</w:t>
      </w:r>
    </w:p>
    <w:p>
      <w:pPr>
        <w:sectPr>
          <w:pgSz w:w="12240" w:h="15840"/>
          <w:pgMar w:top="696" w:right="1370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B—MEMBERS’ SUBSCRIPTIONS AND CONTRIBUTIONS AND MEMBERSHIP</w:t>
      </w:r>
    </w:p>
    <w:p>
      <w:pPr>
        <w:autoSpaceDN w:val="0"/>
        <w:autoSpaceDE w:val="0"/>
        <w:widowControl/>
        <w:spacing w:line="222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movement in Subscriptions and contributions paid-in is summarized below: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B1: Subscriptions and contributions paid-in</w:t>
      </w:r>
    </w:p>
    <w:p>
      <w:pPr>
        <w:autoSpaceDN w:val="0"/>
        <w:autoSpaceDE w:val="0"/>
        <w:widowControl/>
        <w:spacing w:line="178" w:lineRule="exact" w:before="154" w:after="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1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September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7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the fiscal year</w:t>
            </w:r>
          </w:p>
        </w:tc>
        <w:tc>
          <w:tcPr>
            <w:tcW w:type="dxa" w:w="4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280,073 </w:t>
            </w:r>
          </w:p>
        </w:tc>
      </w:tr>
      <w:tr>
        <w:trPr>
          <w:trHeight w:hRule="exact" w:val="240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contributions received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296 </w:t>
            </w:r>
          </w:p>
        </w:tc>
      </w:tr>
      <w:tr>
        <w:trPr>
          <w:trHeight w:hRule="exact" w:val="240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Demand obligations received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7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486 </w:t>
            </w:r>
          </w:p>
        </w:tc>
      </w:tr>
      <w:tr>
        <w:trPr>
          <w:trHeight w:hRule="exact" w:val="220"/>
        </w:trPr>
        <w:tc>
          <w:tcPr>
            <w:tcW w:type="dxa" w:w="7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the period</w:t>
            </w:r>
          </w:p>
        </w:tc>
        <w:tc>
          <w:tcPr>
            <w:tcW w:type="dxa" w:w="4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280,855 </w:t>
            </w:r>
          </w:p>
        </w:tc>
      </w:tr>
    </w:tbl>
    <w:p>
      <w:pPr>
        <w:autoSpaceDN w:val="0"/>
        <w:autoSpaceDE w:val="0"/>
        <w:widowControl/>
        <w:spacing w:line="240" w:lineRule="exact" w:before="46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B2: Nonnegotiable, non-interest-bearing demand obligations on account of members' subscriptions and </w:t>
      </w:r>
      <w:r>
        <w:rPr>
          <w:rFonts w:ascii="TimesNewRoman" w:hAnsi="TimesNewRoman" w:eastAsia="TimesNewRoman"/>
          <w:b/>
          <w:i w:val="0"/>
          <w:color w:val="000000"/>
          <w:sz w:val="20"/>
        </w:rPr>
        <w:t>contributions</w:t>
      </w:r>
    </w:p>
    <w:p>
      <w:pPr>
        <w:autoSpaceDN w:val="0"/>
        <w:autoSpaceDE w:val="0"/>
        <w:widowControl/>
        <w:spacing w:line="178" w:lineRule="exact" w:before="154" w:after="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21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September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7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Beginning of the fiscal year</w:t>
            </w:r>
          </w:p>
        </w:tc>
        <w:tc>
          <w:tcPr>
            <w:tcW w:type="dxa" w:w="4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12,553 </w:t>
            </w:r>
          </w:p>
        </w:tc>
      </w:tr>
      <w:tr>
        <w:trPr>
          <w:trHeight w:hRule="exact" w:val="240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Demand obligations received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7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Demand obligations encashed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(448) </w:t>
            </w:r>
          </w:p>
        </w:tc>
      </w:tr>
      <w:tr>
        <w:trPr>
          <w:trHeight w:hRule="exact" w:val="240"/>
        </w:trPr>
        <w:tc>
          <w:tcPr>
            <w:tcW w:type="dxa" w:w="7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3147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486 </w:t>
            </w:r>
          </w:p>
        </w:tc>
      </w:tr>
      <w:tr>
        <w:trPr>
          <w:trHeight w:hRule="exact" w:val="220"/>
        </w:trPr>
        <w:tc>
          <w:tcPr>
            <w:tcW w:type="dxa" w:w="7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End of the period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12,591 </w:t>
            </w:r>
          </w:p>
        </w:tc>
      </w:tr>
    </w:tbl>
    <w:p>
      <w:pPr>
        <w:autoSpaceDN w:val="0"/>
        <w:autoSpaceDE w:val="0"/>
        <w:widowControl/>
        <w:spacing w:line="244" w:lineRule="exact" w:before="48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Subsequent Event</w:t>
      </w:r>
    </w:p>
    <w:p>
      <w:pPr>
        <w:autoSpaceDN w:val="0"/>
        <w:autoSpaceDE w:val="0"/>
        <w:widowControl/>
        <w:spacing w:line="222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Membership</w:t>
      </w:r>
    </w:p>
    <w:p>
      <w:pPr>
        <w:autoSpaceDN w:val="0"/>
        <w:autoSpaceDE w:val="0"/>
        <w:widowControl/>
        <w:spacing w:line="248" w:lineRule="exact" w:before="11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On October 18, 2024, the Republic of Suriname became the 175</w:t>
      </w:r>
      <w:r>
        <w:rPr>
          <w:rFonts w:ascii="TimesNewRoman" w:hAnsi="TimesNewRoman" w:eastAsia="TimesNewRoman"/>
          <w:b w:val="0"/>
          <w:i w:val="0"/>
          <w:color w:val="000000"/>
          <w:sz w:val="13"/>
        </w:rPr>
        <w:t>th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member of IDA. </w:t>
      </w:r>
    </w:p>
    <w:p>
      <w:pPr>
        <w:autoSpaceDN w:val="0"/>
        <w:autoSpaceDE w:val="0"/>
        <w:widowControl/>
        <w:spacing w:line="224" w:lineRule="exact" w:before="26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C—INVESTMENTS</w:t>
      </w:r>
    </w:p>
    <w:p>
      <w:pPr>
        <w:autoSpaceDN w:val="0"/>
        <w:autoSpaceDE w:val="0"/>
        <w:widowControl/>
        <w:spacing w:line="240" w:lineRule="exact" w:before="11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investment securities held by IDA are designated as either trading or non-trading. All securities are carried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reported at fair value, or at face value, which approximates fair value.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IDA’s Investments were mainly comprised of government, agency and corporate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obligations (61%) and time deposits (38%), with all of the instruments classified as either Level 1 or Level 2 within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fair value hierarchy.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summary of IDA’s Investments is as follows: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C1: Investments composition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74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19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1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6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Government, agency and corporate obligations</w:t>
            </w:r>
          </w:p>
        </w:tc>
        <w:tc>
          <w:tcPr>
            <w:tcW w:type="dxa" w:w="5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23,955 </w:t>
            </w:r>
          </w:p>
        </w:tc>
        <w:tc>
          <w:tcPr>
            <w:tcW w:type="dxa" w:w="7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19,380 </w:t>
            </w:r>
          </w:p>
        </w:tc>
      </w:tr>
      <w:tr>
        <w:trPr>
          <w:trHeight w:hRule="exact" w:val="240"/>
        </w:trPr>
        <w:tc>
          <w:tcPr>
            <w:tcW w:type="dxa" w:w="5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2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14,987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14,715 </w:t>
            </w:r>
          </w:p>
        </w:tc>
      </w:tr>
      <w:tr>
        <w:trPr>
          <w:trHeight w:hRule="exact" w:val="244"/>
        </w:trPr>
        <w:tc>
          <w:tcPr>
            <w:tcW w:type="dxa" w:w="55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Asset-backed securities (ABS)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</w:tr>
      <w:tr>
        <w:trPr>
          <w:trHeight w:hRule="exact" w:val="240"/>
        </w:trPr>
        <w:tc>
          <w:tcPr>
            <w:tcW w:type="dxa" w:w="5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39,049 </w:t>
            </w:r>
          </w:p>
        </w:tc>
        <w:tc>
          <w:tcPr>
            <w:tcW w:type="dxa" w:w="7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34,206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Non-trading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568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Debt security</w:t>
            </w:r>
          </w:p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  <w:tc>
          <w:tcPr>
            <w:tcW w:type="dxa" w:w="7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220"/>
        </w:trPr>
        <w:tc>
          <w:tcPr>
            <w:tcW w:type="dxa" w:w="568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39,190 </w:t>
            </w:r>
          </w:p>
        </w:tc>
        <w:tc>
          <w:tcPr>
            <w:tcW w:type="dxa" w:w="7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34,377 </w:t>
            </w:r>
          </w:p>
        </w:tc>
      </w:tr>
    </w:tbl>
    <w:p>
      <w:pPr>
        <w:autoSpaceDN w:val="0"/>
        <w:autoSpaceDE w:val="0"/>
        <w:widowControl/>
        <w:spacing w:line="224" w:lineRule="exact" w:before="161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32     IDA Quarterly Financial Statements: September 30, 2024 (Unaudited)</w:t>
      </w:r>
    </w:p>
    <w:p>
      <w:pPr>
        <w:sectPr>
          <w:pgSz w:w="12240" w:h="15840"/>
          <w:pgMar w:top="702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manages its investments on a net portfolio basis. As of September 30, 2024, the largest holdings from a single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counterparty within the net investment portfolio was French government instruments (14%).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uses derivative instruments to manage currency and interest rate risk in the investment portfolio. For details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regarding these instruments, see Note F—Derivative Instruments. The following table summarizes IDA’s net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 position: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C2: Net investment portfolio position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7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1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Investments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8"/>
        </w:trPr>
        <w:tc>
          <w:tcPr>
            <w:tcW w:type="dxa" w:w="5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Trading</w:t>
            </w:r>
          </w:p>
        </w:tc>
        <w:tc>
          <w:tcPr>
            <w:tcW w:type="dxa" w:w="5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39,049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34,206 </w:t>
            </w:r>
          </w:p>
        </w:tc>
      </w:tr>
      <w:tr>
        <w:trPr>
          <w:trHeight w:hRule="exact" w:val="240"/>
        </w:trPr>
        <w:tc>
          <w:tcPr>
            <w:tcW w:type="dxa" w:w="58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Non-trading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240"/>
        </w:trPr>
        <w:tc>
          <w:tcPr>
            <w:tcW w:type="dxa" w:w="58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39,190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34,377 </w:t>
            </w:r>
          </w:p>
        </w:tc>
      </w:tr>
      <w:tr>
        <w:trPr>
          <w:trHeight w:hRule="exact" w:val="580"/>
        </w:trPr>
        <w:tc>
          <w:tcPr>
            <w:tcW w:type="dxa" w:w="58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52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188 </w:t>
            </w:r>
          </w:p>
        </w:tc>
        <w:tc>
          <w:tcPr>
            <w:tcW w:type="dxa" w:w="4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6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</w:tr>
      <w:tr>
        <w:trPr>
          <w:trHeight w:hRule="exact" w:val="318"/>
        </w:trPr>
        <w:tc>
          <w:tcPr>
            <w:tcW w:type="dxa" w:w="5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3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sold under repurchase agreements, securities lent under securities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(807) 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11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36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(964) </w:t>
            </w:r>
          </w:p>
        </w:tc>
      </w:tr>
      <w:tr>
        <w:trPr>
          <w:trHeight w:hRule="exact" w:val="258"/>
        </w:trPr>
        <w:tc>
          <w:tcPr>
            <w:tcW w:type="dxa" w:w="5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lending agreements, and payable for cash collateral 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888"/>
            <w:vMerge/>
            <w:tcBorders/>
          </w:tcPr>
          <w:p/>
        </w:tc>
        <w:tc>
          <w:tcPr>
            <w:tcW w:type="dxa" w:w="1888"/>
            <w:vMerge/>
            <w:tcBorders>
              <w:top w:sz="8.0" w:val="single" w:color="#000000"/>
            </w:tcBorders>
          </w:tcPr>
          <w:p/>
        </w:tc>
        <w:tc>
          <w:tcPr>
            <w:tcW w:type="dxa" w:w="1888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106" w:after="32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47"/>
        <w:gridCol w:w="3147"/>
        <w:gridCol w:w="3147"/>
      </w:tblGrid>
      <w:tr>
        <w:trPr>
          <w:trHeight w:hRule="exact" w:val="228"/>
        </w:trPr>
        <w:tc>
          <w:tcPr>
            <w:tcW w:type="dxa" w:w="5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currency forward contracts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232 </w:t>
            </w:r>
          </w:p>
        </w:tc>
      </w:tr>
      <w:tr>
        <w:trPr>
          <w:trHeight w:hRule="exact" w:val="240"/>
        </w:trPr>
        <w:tc>
          <w:tcPr>
            <w:tcW w:type="dxa" w:w="57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7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  <w:tr>
        <w:trPr>
          <w:trHeight w:hRule="exact" w:val="250"/>
        </w:trPr>
        <w:tc>
          <w:tcPr>
            <w:tcW w:type="dxa" w:w="57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7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5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40"/>
        </w:trPr>
        <w:tc>
          <w:tcPr>
            <w:tcW w:type="dxa" w:w="57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1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15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237 </w:t>
            </w:r>
          </w:p>
        </w:tc>
      </w:tr>
    </w:tbl>
    <w:p>
      <w:pPr>
        <w:autoSpaceDN w:val="0"/>
        <w:autoSpaceDE w:val="0"/>
        <w:widowControl/>
        <w:spacing w:line="180" w:lineRule="exact" w:before="25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Derivative Liabilities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4"/>
        </w:trPr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currency forward contracts</w:t>
            </w:r>
          </w:p>
        </w:tc>
        <w:tc>
          <w:tcPr>
            <w:tcW w:type="dxa" w:w="5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(129)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</w:tr>
      <w:tr>
        <w:trPr>
          <w:trHeight w:hRule="exact" w:val="254"/>
        </w:trPr>
        <w:tc>
          <w:tcPr>
            <w:tcW w:type="dxa" w:w="58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(1)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58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(130)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(20) </w:t>
            </w:r>
          </w:p>
        </w:tc>
      </w:tr>
      <w:tr>
        <w:trPr>
          <w:trHeight w:hRule="exact" w:val="446"/>
        </w:trPr>
        <w:tc>
          <w:tcPr>
            <w:tcW w:type="dxa" w:w="58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26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Cash held in investment portfolio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5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643 </w:t>
            </w:r>
          </w:p>
        </w:tc>
        <w:tc>
          <w:tcPr>
            <w:tcW w:type="dxa" w:w="4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8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532 </w:t>
            </w:r>
          </w:p>
        </w:tc>
      </w:tr>
      <w:tr>
        <w:trPr>
          <w:trHeight w:hRule="exact" w:val="240"/>
        </w:trPr>
        <w:tc>
          <w:tcPr>
            <w:tcW w:type="dxa" w:w="58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Receivable from investment securities traded and other assets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586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</w:tr>
      <w:tr>
        <w:trPr>
          <w:trHeight w:hRule="exact" w:val="260"/>
        </w:trPr>
        <w:tc>
          <w:tcPr>
            <w:tcW w:type="dxa" w:w="58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Payable for investment securities purchased </w:t>
            </w:r>
            <w:r>
              <w:rPr>
                <w:w w:val="103.99999618530273"/>
                <w:rFonts w:ascii="Arial" w:hAnsi="Arial" w:eastAsia="Arial"/>
                <w:b/>
                <w:i w:val="0"/>
                <w:color w:val="000000"/>
                <w:sz w:val="10"/>
              </w:rPr>
              <w:t>e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(1,338)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6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(648) </w:t>
            </w:r>
          </w:p>
        </w:tc>
      </w:tr>
      <w:tr>
        <w:trPr>
          <w:trHeight w:hRule="exact" w:val="220"/>
        </w:trPr>
        <w:tc>
          <w:tcPr>
            <w:tcW w:type="dxa" w:w="58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Investment Portfolio</w:t>
            </w:r>
          </w:p>
        </w:tc>
        <w:tc>
          <w:tcPr>
            <w:tcW w:type="dxa" w:w="5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38,347 </w:t>
            </w:r>
          </w:p>
        </w:tc>
        <w:tc>
          <w:tcPr>
            <w:tcW w:type="dxa" w:w="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33,581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282" w:after="0"/>
        <w:ind w:left="6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As of September 30, 2024, this amount includes cash collateral of $807 million received from counterparties under derivative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agreements ($893 million - June 30, 2024).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These relate to to-be-announced (TBA) Securities, swaptions, exchange traded options and futures contracts.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These amounts are included in Unrestricted cash under Due from banks on the Condensed Balance Sheets.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These amounts are included in Other assets on the Condensed Balance Sheets.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0" w:after="0"/>
        <w:ind w:left="62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e. These amounts are included in Other liabilities on the Condensed Balance Sheets. As of September 30, 2024, short sales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amounted to $128 million ($59 million - June 30, 2024).</w:t>
      </w:r>
    </w:p>
    <w:p>
      <w:pPr>
        <w:autoSpaceDN w:val="0"/>
        <w:autoSpaceDE w:val="0"/>
        <w:widowControl/>
        <w:spacing w:line="240" w:lineRule="exact" w:before="19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IDA’s non-trading investment portfolio (principal amount due on a debt security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IFC) was $151 million ($185 million—June 30, 2024). For details regarding this instrument, see Note H -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Transactions with Affiliated Organizations.</w:t>
      </w:r>
    </w:p>
    <w:p>
      <w:pPr>
        <w:autoSpaceDN w:val="0"/>
        <w:autoSpaceDE w:val="0"/>
        <w:widowControl/>
        <w:spacing w:line="224" w:lineRule="exact" w:before="2944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33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6"/>
        <w:ind w:left="0" w:right="0"/>
      </w:pPr>
    </w:p>
    <w:p>
      <w:pPr>
        <w:autoSpaceDN w:val="0"/>
        <w:autoSpaceDE w:val="0"/>
        <w:widowControl/>
        <w:spacing w:line="244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Commercial Credit Risk</w:t>
      </w:r>
    </w:p>
    <w:p>
      <w:pPr>
        <w:autoSpaceDN w:val="0"/>
        <w:autoSpaceDE w:val="0"/>
        <w:widowControl/>
        <w:spacing w:line="240" w:lineRule="exact" w:before="13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purposes of risk management, IDA is a party to a variety of financial transactions, certain of which involve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elements of credit risk. Credit risk exposure represents the maximum potential loss due to possible nonperformance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by obligors and counterparties under the terms of the contracts. For all securities, IDA limits trading to a list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authorized dealers and counterparties. In addition, credit limits have been established for counterparties by type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instrument and maturity category.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Swap Agreements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risk is mitigated through a credit approval process, volume limits, monitoring procedures and the use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mark-to-market collateral arrangements. IDA may require collateral in the form of cash or other approved liquid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from individual counterparties to mitigate its credit exposure.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has entered into master derivative agreements, which contain legally enforceable close-out netting provisions.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agreements may further reduce the gross credit risk exposure related to the swaps. Credit risk with financial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assets subject to a master derivatives arrangement is further reduced under these agreements to the extent that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payments and receipts with the counterparty are netted at settlement. The reduction in exposure as a result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netting provisions can vary due to the impact of changes in market conditions on existing and new transactions.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extent of the reduction in exposure may therefore change substantially within a short period of time following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balance sheet date. For more information on netting and offsetting provisions, see Note F—Derivative Instruments.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is a summary of the collateral received by IDA in relation to swap transactions.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C3: Collateral received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7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2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Collateral received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6"/>
        </w:trPr>
        <w:tc>
          <w:tcPr>
            <w:tcW w:type="dxa" w:w="5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</w:t>
            </w:r>
          </w:p>
        </w:tc>
        <w:tc>
          <w:tcPr>
            <w:tcW w:type="dxa" w:w="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807 </w:t>
            </w:r>
          </w:p>
        </w:tc>
        <w:tc>
          <w:tcPr>
            <w:tcW w:type="dxa" w:w="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</w:tr>
      <w:tr>
        <w:trPr>
          <w:trHeight w:hRule="exact" w:val="244"/>
        </w:trPr>
        <w:tc>
          <w:tcPr>
            <w:tcW w:type="dxa" w:w="51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6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5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collateral received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921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</w:tr>
      <w:tr>
        <w:trPr>
          <w:trHeight w:hRule="exact" w:val="236"/>
        </w:trPr>
        <w:tc>
          <w:tcPr>
            <w:tcW w:type="dxa" w:w="51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Collateral permitted to be repledged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921 </w:t>
            </w:r>
          </w:p>
        </w:tc>
        <w:tc>
          <w:tcPr>
            <w:tcW w:type="dxa" w:w="6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</w:tr>
      <w:tr>
        <w:trPr>
          <w:trHeight w:hRule="exact" w:val="244"/>
        </w:trPr>
        <w:tc>
          <w:tcPr>
            <w:tcW w:type="dxa" w:w="51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collateral repledged</w:t>
            </w:r>
          </w:p>
        </w:tc>
        <w:tc>
          <w:tcPr>
            <w:tcW w:type="dxa" w:w="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7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480"/>
        </w:trPr>
        <w:tc>
          <w:tcPr>
            <w:tcW w:type="dxa" w:w="51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Amount of cash collateral invested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595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601 </w:t>
            </w:r>
          </w:p>
        </w:tc>
      </w:tr>
    </w:tbl>
    <w:p>
      <w:pPr>
        <w:autoSpaceDN w:val="0"/>
        <w:autoSpaceDE w:val="0"/>
        <w:widowControl/>
        <w:spacing w:line="222" w:lineRule="exact" w:before="18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Securities Lending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may engage in securities lending and repurchases, against adequate collateral, as well as securities borrowing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reverse repurchases (resales) of government, agency and corporate obligations, and ABS. These transactions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have been conducted under legally enforceable master netting arrangements, which allow IDA to reduce its gross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credit exposure related to these transactions. IDA presents its securities lending and repurchases, as well as resales,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a gross basis on the Balance Sheets. As of September 30, 2024, there were no amounts that could potentially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offset as a result of legally enforceable master netting arrangements ($58 million—June 30, 2024).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Transfers of securities by IDA to counterparties are not accounted for as sales as the accounting criteria for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treatment as a sale have not been met. Counterparties are permitted to repledge these securities until the repurchase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date.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lending agreements and repurchase agreements expose IDA to several risks, including counterparty risk,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reinvestment risk, and risk of a collateral gap (increase or decrease in the fair value of collateral pledged). IDA has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procedures in place to ensure that trading activity and balances under these agreements are below predefined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counterparty and maturity limits, and to actively monitor net counterparty exposure, after collateral, using daily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market values. Whenever the collateral pledged by IDA related to its borrowings under securities lending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agreements and repurchase agreements declines in value, the transaction is re-priced as appropriate by returning cash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or pledging additional collateral.</w:t>
      </w:r>
    </w:p>
    <w:p>
      <w:pPr>
        <w:autoSpaceDN w:val="0"/>
        <w:autoSpaceDE w:val="0"/>
        <w:widowControl/>
        <w:spacing w:line="224" w:lineRule="exact" w:before="127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34     IDA Quarterly Financial Statements: September 30, 2024 (Unaudited)</w:t>
      </w:r>
    </w:p>
    <w:p>
      <w:pPr>
        <w:sectPr>
          <w:pgSz w:w="12240" w:h="15840"/>
          <w:pgMar w:top="696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is a summary of the carrying amount of the securities transferred under repurchase or securities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lending agreements, and the related liabilities: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C4: Amounts related to securities transferred under repurchase or securities lending agreements</w:t>
      </w:r>
    </w:p>
    <w:p>
      <w:pPr>
        <w:autoSpaceDN w:val="0"/>
        <w:autoSpaceDE w:val="0"/>
        <w:widowControl/>
        <w:spacing w:line="178" w:lineRule="exact" w:before="154" w:after="2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40"/>
        </w:trPr>
        <w:tc>
          <w:tcPr>
            <w:tcW w:type="dxa" w:w="26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1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32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Financial Statement Presentation</w:t>
            </w:r>
          </w:p>
        </w:tc>
      </w:tr>
      <w:tr>
        <w:trPr>
          <w:trHeight w:hRule="exact" w:val="220"/>
        </w:trPr>
        <w:tc>
          <w:tcPr>
            <w:tcW w:type="dxa" w:w="26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transferred under</w:t>
            </w:r>
          </w:p>
        </w:tc>
        <w:tc>
          <w:tcPr>
            <w:tcW w:type="dxa" w:w="61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0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0" w:right="5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2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44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0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 </w:t>
            </w:r>
          </w:p>
        </w:tc>
        <w:tc>
          <w:tcPr>
            <w:tcW w:type="dxa" w:w="3226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2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Included under Investments on</w:t>
            </w:r>
          </w:p>
        </w:tc>
      </w:tr>
      <w:tr>
        <w:trPr>
          <w:trHeight w:hRule="exact" w:val="100"/>
        </w:trPr>
        <w:tc>
          <w:tcPr>
            <w:tcW w:type="dxa" w:w="265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repurchase or securities lending</w:t>
            </w:r>
          </w:p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80"/>
        </w:trPr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  <w:tc>
          <w:tcPr>
            <w:tcW w:type="dxa" w:w="3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3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the Condensed Balance Sheets</w:t>
            </w:r>
          </w:p>
        </w:tc>
      </w:tr>
      <w:tr>
        <w:trPr>
          <w:trHeight w:hRule="exact" w:val="262"/>
        </w:trPr>
        <w:tc>
          <w:tcPr>
            <w:tcW w:type="dxa" w:w="26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agreements</w:t>
            </w:r>
          </w:p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</w:tcBorders>
          </w:tcPr>
          <w:p/>
        </w:tc>
        <w:tc>
          <w:tcPr>
            <w:tcW w:type="dxa" w:w="157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80" w:lineRule="exact" w:before="184" w:after="6"/>
        <w:ind w:left="0" w:right="54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Included under Securities sold under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178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98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Liabilities relating to securities</w:t>
            </w:r>
          </w:p>
        </w:tc>
        <w:tc>
          <w:tcPr>
            <w:tcW w:type="dxa" w:w="7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0" w:after="0"/>
              <w:ind w:left="0" w:right="3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0" w:after="0"/>
              <w:ind w:left="0" w:right="3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repurchase agreements, securities lent </w:t>
            </w:r>
          </w:p>
        </w:tc>
      </w:tr>
      <w:tr>
        <w:trPr>
          <w:trHeight w:hRule="exact" w:val="100"/>
        </w:trPr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under securities lending agreements, </w:t>
            </w:r>
          </w:p>
        </w:tc>
      </w:tr>
      <w:tr>
        <w:trPr>
          <w:trHeight w:hRule="exact" w:val="10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transferred under repurchase or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</w:tr>
      <w:tr>
        <w:trPr>
          <w:trHeight w:hRule="exact" w:val="80"/>
        </w:trPr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32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3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and payable for cash collateral </w:t>
            </w:r>
          </w:p>
        </w:tc>
      </w:tr>
      <w:tr>
        <w:trPr>
          <w:trHeight w:hRule="exact" w:val="100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lending agreements</w:t>
            </w:r>
          </w:p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</w:tr>
      <w:tr>
        <w:trPr>
          <w:trHeight w:hRule="exact" w:val="210"/>
        </w:trPr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1573"/>
            <w:vMerge/>
            <w:tcBorders/>
          </w:tcPr>
          <w:p/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received on the Condensed Balance </w:t>
            </w:r>
          </w:p>
        </w:tc>
      </w:tr>
    </w:tbl>
    <w:p>
      <w:pPr>
        <w:autoSpaceDN w:val="0"/>
        <w:autoSpaceDE w:val="0"/>
        <w:widowControl/>
        <w:spacing w:line="180" w:lineRule="exact" w:before="6" w:after="0"/>
        <w:ind w:left="0" w:right="255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Sheets</w:t>
      </w:r>
    </w:p>
    <w:p>
      <w:pPr>
        <w:autoSpaceDN w:val="0"/>
        <w:autoSpaceDE w:val="0"/>
        <w:widowControl/>
        <w:spacing w:line="240" w:lineRule="exact" w:before="416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there were no liabilities relating to securities transferred under repurchase or securities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lending agreements ($71 million—June 30, 2024) and there were no unsettled trades relating to repurchase 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securities lending agreements (Nil—June 30, 2024). There were no replacement trades entered into in anticipation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maturing trades of a similar amount (Nil—June 30, 2024).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 the case of resale agreements, IDA receives collateral in the form of liquid securities and is permitted to repledge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these securities. While these transactions are legally considered to be true purchases and sales, the securities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received are not recorded on IDA’s Condensed Balance Sheets as the accounting criteria for treatment as a sale have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not been met. As of September 30, 2024, unsettled trades pertaining to securities purchased under resale agreements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amounted to $63 million (Nil—June 30, 2024). For resale agreements, IDA received securities with a fair value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$128 million as of September 30, 2024 ($59 million—June 30, 2024). As of September 30, 2024 and June 30, 2024,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none of these securities had been transferred under repurchase or security lending agreements.</w:t>
      </w:r>
    </w:p>
    <w:p>
      <w:pPr>
        <w:autoSpaceDN w:val="0"/>
        <w:autoSpaceDE w:val="0"/>
        <w:widowControl/>
        <w:spacing w:line="224" w:lineRule="exact" w:before="26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D—LOANS AND OTHER EXPOSURES</w:t>
      </w:r>
    </w:p>
    <w:p>
      <w:pPr>
        <w:autoSpaceDN w:val="0"/>
        <w:autoSpaceDE w:val="0"/>
        <w:widowControl/>
        <w:spacing w:line="240" w:lineRule="exact" w:before="11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loans and other exposures are generally made to, or guaranteed by, member countries of IDA. Loans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carried at amortized cost. Other exposures include signed loan commitments, Deferred Drawdown Options (DDO),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irrevocable commitments, grant advances, project preparation advances and guarantees. Based on IDA’s internal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credit quality indicators, the loans outstanding are in the High and Medium risk classes.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excludes the interest and service charges receivable balance from the amortized cost basis and the related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disclosures. As of September 30, 2024, accrued interest income and service charges on loans of $837 million ($715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million—June 30, 2024) are presented in Other assets on the Condensed Balance Sheets.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0.4% of IDA’s loans were in nonaccrual status and related to three borrowers. The total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accumulated provision for losses on loans in accrual status and nonaccrual status was 2% of total loans as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September 30, 2024. 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Credit Quality of Sovereign Loans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Based on an evaluation of IDA’s exposures, management has determined that IDA has one portfolio segment –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Sovereign Exposures. IDA’s loans constitute the majority of the Sovereign Exposures portfolio segment.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country risk ratings are an assessment of its borrowers’ ability and willingness to repay IDA on time and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full. These ratings are internal credit quality indicators. Individual country risk ratings are derived on the basis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both quantitative and qualitative analyses. The components considered in the analysis can be grouped broadly into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eight categories: political risks, external debt and liquidity, fiscal policy and public debt burden, balance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payments risks, economic structure and growth prospects, monetary and exchange rate policy, financial sector risks,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corporate sector debt and vulnerabilities. The analysis also takes into account Environmental, Social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Governance factors. For the purpose of analyzing their risk characteristics, these exposures are grouped into three </w:t>
      </w:r>
    </w:p>
    <w:p>
      <w:pPr>
        <w:autoSpaceDN w:val="0"/>
        <w:autoSpaceDE w:val="0"/>
        <w:widowControl/>
        <w:spacing w:line="224" w:lineRule="exact" w:before="1060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35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classes in accordance with assigned borrower risk ratings, which relate to the likelihood of loss: Low, Medium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High risk classes, as well as exposures in nonaccrual status.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borrower country risk ratings are key determinants in the provision for loan losses. Country risk ratings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borrowers in accrual status are grouped in pools with similar credit ratings for the purpose of the calculation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expected credit losses. Exposures for certain countries in accrual status may be individually assessed on the basis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that they do not share common risk characteristics with an existing pool of exposures. All exposures for countries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nonaccrual status are individually assessed. Country risk ratings are determined in review meetings that take place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several times a year. All countries are reviewed at least once a year, or more frequently if circumstances warrant,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determine the appropriate ratings.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 assessment was also performed to determine whether a qualitative adjustment was needed on the loan loss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provision as of September 30, 2024, including consideration of global and macroeconomic events.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concluded that a qualitative adjustment beyond the regular application of IDA’s loan loss provision framework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not warranted.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Overdue Amounts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there were no principal and charges under sovereign loans in accrual status that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overdue by more than three months.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considers loans to be past due when a borrower fails to make payment on any principal, interest or other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charges due to IDA on the due dates provided in the contractual loan agreement.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tables provide an aging analysis of loans outstanding: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D1: Loans-Aging structure</w:t>
      </w:r>
    </w:p>
    <w:p>
      <w:pPr>
        <w:autoSpaceDN w:val="0"/>
        <w:autoSpaceDE w:val="0"/>
        <w:widowControl/>
        <w:spacing w:line="178" w:lineRule="exact" w:before="1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303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September 30, 2024</w:t>
      </w:r>
    </w:p>
    <w:p>
      <w:pPr>
        <w:autoSpaceDN w:val="0"/>
        <w:autoSpaceDE w:val="0"/>
        <w:widowControl/>
        <w:spacing w:line="180" w:lineRule="exact" w:before="64" w:after="6"/>
        <w:ind w:left="0" w:right="19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Total Past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6"/>
        </w:trPr>
        <w:tc>
          <w:tcPr>
            <w:tcW w:type="dxa" w:w="16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12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9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8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Current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28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rPr>
          <w:trHeight w:hRule="exact" w:val="202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6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16,191 </w:t>
            </w:r>
          </w:p>
        </w:tc>
        <w:tc>
          <w:tcPr>
            <w:tcW w:type="dxa" w:w="9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16,191 </w:t>
            </w:r>
          </w:p>
        </w:tc>
      </w:tr>
      <w:tr>
        <w:trPr>
          <w:trHeight w:hRule="exact" w:val="260"/>
        </w:trPr>
        <w:tc>
          <w:tcPr>
            <w:tcW w:type="dxa" w:w="2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  <w:tc>
          <w:tcPr>
            <w:tcW w:type="dxa" w:w="9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192,406 </w:t>
            </w:r>
          </w:p>
        </w:tc>
        <w:tc>
          <w:tcPr>
            <w:tcW w:type="dxa" w:w="9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192,499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</w:tr>
      <w:tr>
        <w:trPr>
          <w:trHeight w:hRule="exact" w:val="24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93 </w:t>
            </w:r>
          </w:p>
        </w:tc>
        <w:tc>
          <w:tcPr>
            <w:tcW w:type="dxa" w:w="91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208,597 </w:t>
            </w:r>
          </w:p>
        </w:tc>
        <w:tc>
          <w:tcPr>
            <w:tcW w:type="dxa" w:w="98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208,690 </w:t>
            </w:r>
          </w:p>
        </w:tc>
      </w:tr>
      <w:tr>
        <w:trPr>
          <w:trHeight w:hRule="exact" w:val="24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501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519 </w:t>
            </w:r>
          </w:p>
        </w:tc>
        <w:tc>
          <w:tcPr>
            <w:tcW w:type="dxa" w:w="91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366 </w:t>
            </w:r>
          </w:p>
        </w:tc>
        <w:tc>
          <w:tcPr>
            <w:tcW w:type="dxa" w:w="98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885 </w:t>
            </w:r>
          </w:p>
        </w:tc>
      </w:tr>
      <w:tr>
        <w:trPr>
          <w:trHeight w:hRule="exact" w:val="22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501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612 </w:t>
            </w:r>
          </w:p>
        </w:tc>
        <w:tc>
          <w:tcPr>
            <w:tcW w:type="dxa" w:w="91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$ 208,963 </w:t>
            </w:r>
          </w:p>
        </w:tc>
        <w:tc>
          <w:tcPr>
            <w:tcW w:type="dxa" w:w="98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$ 209,575 </w:t>
            </w:r>
          </w:p>
        </w:tc>
      </w:tr>
      <w:tr>
        <w:trPr>
          <w:trHeight w:hRule="exact" w:val="26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10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2" w:lineRule="exact" w:before="318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D1.1: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0"/>
        <w:ind w:left="0" w:right="325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78" w:lineRule="exact" w:before="64" w:after="8"/>
        <w:ind w:left="0" w:right="198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Total Past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14"/>
        </w:trPr>
        <w:tc>
          <w:tcPr>
            <w:tcW w:type="dxa" w:w="16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Days past due</w:t>
            </w:r>
          </w:p>
        </w:tc>
        <w:tc>
          <w:tcPr>
            <w:tcW w:type="dxa" w:w="12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Up to 45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46-60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61-90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91-180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 180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Due</w:t>
            </w:r>
          </w:p>
        </w:tc>
        <w:tc>
          <w:tcPr>
            <w:tcW w:type="dxa" w:w="9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Current</w:t>
            </w:r>
          </w:p>
        </w:tc>
        <w:tc>
          <w:tcPr>
            <w:tcW w:type="dxa" w:w="9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26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Class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  <w:gridCol w:w="555"/>
      </w:tblGrid>
      <w:tr>
        <w:trPr>
          <w:trHeight w:hRule="exact" w:val="24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8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8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2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3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16,266 </w:t>
            </w:r>
          </w:p>
        </w:tc>
        <w:tc>
          <w:tcPr>
            <w:tcW w:type="dxa" w:w="8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16,266 </w:t>
            </w:r>
          </w:p>
        </w:tc>
      </w:tr>
      <w:tr>
        <w:trPr>
          <w:trHeight w:hRule="exact" w:val="264"/>
        </w:trPr>
        <w:tc>
          <w:tcPr>
            <w:tcW w:type="dxa" w:w="20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High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555"/>
            <w:vMerge/>
            <w:tcBorders>
              <w:bottom w:sz="8.0" w:val="single" w:color="#000000"/>
            </w:tcBorders>
          </w:tcPr>
          <w:p/>
        </w:tc>
        <w:tc>
          <w:tcPr>
            <w:tcW w:type="dxa" w:w="5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183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185,404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185,423 </w:t>
            </w:r>
          </w:p>
        </w:tc>
      </w:tr>
      <w:tr>
        <w:trPr>
          <w:trHeight w:hRule="exact" w:val="24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8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 </w:t>
            </w:r>
          </w:p>
        </w:tc>
        <w:tc>
          <w:tcPr>
            <w:tcW w:type="dxa" w:w="93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201,670 </w:t>
            </w:r>
          </w:p>
        </w:tc>
        <w:tc>
          <w:tcPr>
            <w:tcW w:type="dxa" w:w="89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201,689 </w:t>
            </w:r>
          </w:p>
        </w:tc>
      </w:tr>
      <w:tr>
        <w:trPr>
          <w:trHeight w:hRule="exact" w:val="24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*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478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 </w:t>
            </w:r>
          </w:p>
        </w:tc>
        <w:tc>
          <w:tcPr>
            <w:tcW w:type="dxa" w:w="93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362 </w:t>
            </w:r>
          </w:p>
        </w:tc>
        <w:tc>
          <w:tcPr>
            <w:tcW w:type="dxa" w:w="89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</w:tr>
      <w:tr>
        <w:trPr>
          <w:trHeight w:hRule="exact" w:val="220"/>
        </w:trPr>
        <w:tc>
          <w:tcPr>
            <w:tcW w:type="dxa" w:w="20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 </w:t>
            </w:r>
          </w:p>
        </w:tc>
        <w:tc>
          <w:tcPr>
            <w:tcW w:type="dxa" w:w="4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*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 </w:t>
            </w:r>
          </w:p>
        </w:tc>
        <w:tc>
          <w:tcPr>
            <w:tcW w:type="dxa" w:w="3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478 </w:t>
            </w:r>
          </w:p>
        </w:tc>
        <w:tc>
          <w:tcPr>
            <w:tcW w:type="dxa" w:w="3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516 </w:t>
            </w:r>
          </w:p>
        </w:tc>
        <w:tc>
          <w:tcPr>
            <w:tcW w:type="dxa" w:w="93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$ 202,032 </w:t>
            </w:r>
          </w:p>
        </w:tc>
        <w:tc>
          <w:tcPr>
            <w:tcW w:type="dxa" w:w="892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$ 202,548 </w:t>
            </w:r>
          </w:p>
        </w:tc>
      </w:tr>
    </w:tbl>
    <w:p>
      <w:pPr>
        <w:autoSpaceDN w:val="0"/>
        <w:autoSpaceDE w:val="0"/>
        <w:widowControl/>
        <w:spacing w:line="178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Private Sector Window (PSW) related loans of $271 million ($236 million - June 30, 2024).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* Indicates amount less than $0.5 million.</w:t>
      </w:r>
    </w:p>
    <w:p>
      <w:pPr>
        <w:autoSpaceDN w:val="0"/>
        <w:autoSpaceDE w:val="0"/>
        <w:widowControl/>
        <w:spacing w:line="224" w:lineRule="exact" w:before="1222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36     IDA Quarterly Financial Statements: September 30, 2024 (Unaudited)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D2: Loans in nonaccrual status</w:t>
      </w:r>
    </w:p>
    <w:p>
      <w:pPr>
        <w:autoSpaceDN w:val="0"/>
        <w:autoSpaceDE w:val="0"/>
        <w:widowControl/>
        <w:spacing w:line="178" w:lineRule="exact" w:before="21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80"/>
        <w:gridCol w:w="1180"/>
        <w:gridCol w:w="1180"/>
        <w:gridCol w:w="1180"/>
        <w:gridCol w:w="1180"/>
        <w:gridCol w:w="1180"/>
        <w:gridCol w:w="1180"/>
        <w:gridCol w:w="1180"/>
      </w:tblGrid>
      <w:tr>
        <w:trPr>
          <w:trHeight w:hRule="exact" w:val="257"/>
        </w:trPr>
        <w:tc>
          <w:tcPr>
            <w:tcW w:type="dxa" w:w="12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2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Average </w:t>
            </w:r>
          </w:p>
        </w:tc>
        <w:tc>
          <w:tcPr>
            <w:tcW w:type="dxa" w:w="10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10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Accumulated </w:t>
            </w:r>
          </w:p>
        </w:tc>
        <w:tc>
          <w:tcPr>
            <w:tcW w:type="dxa" w:w="11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Accumulated </w:t>
            </w:r>
          </w:p>
        </w:tc>
        <w:tc>
          <w:tcPr>
            <w:tcW w:type="dxa" w:w="216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Overdue amounts</w:t>
            </w:r>
          </w:p>
        </w:tc>
      </w:tr>
      <w:tr>
        <w:trPr>
          <w:trHeight w:hRule="exact" w:val="182"/>
        </w:trPr>
        <w:tc>
          <w:tcPr>
            <w:tcW w:type="dxa" w:w="12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Borrower</w:t>
            </w:r>
          </w:p>
        </w:tc>
        <w:tc>
          <w:tcPr>
            <w:tcW w:type="dxa" w:w="15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18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Nonaccrual </w:t>
            </w:r>
          </w:p>
        </w:tc>
        <w:tc>
          <w:tcPr>
            <w:tcW w:type="dxa" w:w="103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10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recorded </w:t>
            </w:r>
          </w:p>
        </w:tc>
        <w:tc>
          <w:tcPr>
            <w:tcW w:type="dxa" w:w="10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provision for </w:t>
            </w:r>
          </w:p>
        </w:tc>
        <w:tc>
          <w:tcPr>
            <w:tcW w:type="dxa" w:w="11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provision for </w:t>
            </w:r>
          </w:p>
        </w:tc>
        <w:tc>
          <w:tcPr>
            <w:tcW w:type="dxa" w:w="11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9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</w:t>
            </w:r>
          </w:p>
        </w:tc>
        <w:tc>
          <w:tcPr>
            <w:tcW w:type="dxa" w:w="10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6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Interest and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Charges</w:t>
            </w:r>
          </w:p>
        </w:tc>
      </w:tr>
      <w:tr>
        <w:trPr>
          <w:trHeight w:hRule="exact" w:val="234"/>
        </w:trPr>
        <w:tc>
          <w:tcPr>
            <w:tcW w:type="dxa" w:w="118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4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since</w:t>
            </w:r>
          </w:p>
        </w:tc>
        <w:tc>
          <w:tcPr>
            <w:tcW w:type="dxa" w:w="103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investment </w:t>
            </w:r>
          </w:p>
        </w:tc>
        <w:tc>
          <w:tcPr>
            <w:tcW w:type="dxa" w:w="10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investment</w:t>
            </w:r>
          </w:p>
        </w:tc>
        <w:tc>
          <w:tcPr>
            <w:tcW w:type="dxa" w:w="10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debt relief</w:t>
            </w:r>
          </w:p>
        </w:tc>
        <w:tc>
          <w:tcPr>
            <w:tcW w:type="dxa" w:w="11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losses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180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80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26" w:after="8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Syrian Arab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04"/>
        </w:trPr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Republic</w:t>
            </w:r>
          </w:p>
        </w:tc>
        <w:tc>
          <w:tcPr>
            <w:tcW w:type="dxa" w:w="1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4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2012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4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4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5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</w:tr>
      <w:tr>
        <w:trPr>
          <w:trHeight w:hRule="exact" w:val="240"/>
        </w:trPr>
        <w:tc>
          <w:tcPr>
            <w:tcW w:type="dxa" w:w="8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Eritrea</w:t>
            </w:r>
          </w:p>
        </w:tc>
        <w:tc>
          <w:tcPr>
            <w:tcW w:type="dxa" w:w="19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March 2012</w:t>
            </w:r>
          </w:p>
        </w:tc>
        <w:tc>
          <w:tcPr>
            <w:tcW w:type="dxa" w:w="674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424 </w:t>
            </w:r>
          </w:p>
        </w:tc>
        <w:tc>
          <w:tcPr>
            <w:tcW w:type="dxa" w:w="674"/>
            <w:vMerge/>
            <w:tcBorders>
              <w:bottom w:sz="8.0" w:val="single" w:color="#000000"/>
            </w:tcBorders>
          </w:tcPr>
          <w:p/>
        </w:tc>
        <w:tc>
          <w:tcPr>
            <w:tcW w:type="dxa" w:w="5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420 </w:t>
            </w:r>
          </w:p>
        </w:tc>
        <w:tc>
          <w:tcPr>
            <w:tcW w:type="dxa" w:w="674"/>
            <w:vMerge/>
            <w:tcBorders>
              <w:bottom w:sz="8.0" w:val="single" w:color="#000000"/>
            </w:tcBorders>
          </w:tcPr>
          <w:p/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273 </w:t>
            </w:r>
          </w:p>
        </w:tc>
        <w:tc>
          <w:tcPr>
            <w:tcW w:type="dxa" w:w="674"/>
            <w:vMerge/>
            <w:tcBorders>
              <w:bottom w:sz="8.0" w:val="single" w:color="#000000"/>
            </w:tcBorders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674"/>
            <w:vMerge/>
            <w:tcBorders>
              <w:bottom w:sz="8.0" w:val="single" w:color="#000000"/>
            </w:tcBorders>
          </w:tcPr>
          <w:p/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150 </w:t>
            </w:r>
          </w:p>
        </w:tc>
        <w:tc>
          <w:tcPr>
            <w:tcW w:type="dxa" w:w="674"/>
            <w:vMerge/>
            <w:tcBorders>
              <w:bottom w:sz="8.0" w:val="single" w:color="#000000"/>
            </w:tcBorders>
          </w:tcPr>
          <w:p/>
        </w:tc>
        <w:tc>
          <w:tcPr>
            <w:tcW w:type="dxa" w:w="6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</w:tr>
      <w:tr>
        <w:trPr>
          <w:trHeight w:hRule="exact" w:val="250"/>
        </w:trPr>
        <w:tc>
          <w:tcPr>
            <w:tcW w:type="dxa" w:w="8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Zimbabwe</w:t>
            </w:r>
          </w:p>
        </w:tc>
        <w:tc>
          <w:tcPr>
            <w:tcW w:type="dxa" w:w="19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October 2000</w:t>
            </w:r>
          </w:p>
        </w:tc>
        <w:tc>
          <w:tcPr>
            <w:tcW w:type="dxa" w:w="674"/>
            <w:vMerge/>
            <w:tcBorders>
              <w:bottom w:sz="8.0" w:val="single" w:color="#000000"/>
            </w:tcBorders>
          </w:tcPr>
          <w:p/>
        </w:tc>
        <w:tc>
          <w:tcPr>
            <w:tcW w:type="dxa" w:w="5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447 </w:t>
            </w:r>
          </w:p>
        </w:tc>
        <w:tc>
          <w:tcPr>
            <w:tcW w:type="dxa" w:w="674"/>
            <w:vMerge/>
            <w:tcBorders>
              <w:bottom w:sz="8.0" w:val="single" w:color="#000000"/>
            </w:tcBorders>
          </w:tcPr>
          <w:p/>
        </w:tc>
        <w:tc>
          <w:tcPr>
            <w:tcW w:type="dxa" w:w="5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443 </w:t>
            </w:r>
          </w:p>
        </w:tc>
        <w:tc>
          <w:tcPr>
            <w:tcW w:type="dxa" w:w="674"/>
            <w:vMerge/>
            <w:tcBorders>
              <w:bottom w:sz="8.0" w:val="single" w:color="#000000"/>
            </w:tcBorders>
          </w:tcPr>
          <w:p/>
        </w:tc>
        <w:tc>
          <w:tcPr>
            <w:tcW w:type="dxa" w:w="6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74"/>
            <w:vMerge/>
            <w:tcBorders>
              <w:bottom w:sz="8.0" w:val="single" w:color="#000000"/>
            </w:tcBorders>
          </w:tcPr>
          <w:p/>
        </w:tc>
        <w:tc>
          <w:tcPr>
            <w:tcW w:type="dxa" w:w="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224 </w:t>
            </w:r>
          </w:p>
        </w:tc>
        <w:tc>
          <w:tcPr>
            <w:tcW w:type="dxa" w:w="674"/>
            <w:vMerge/>
            <w:tcBorders>
              <w:bottom w:sz="8.0" w:val="single" w:color="#000000"/>
            </w:tcBorders>
          </w:tcPr>
          <w:p/>
        </w:tc>
        <w:tc>
          <w:tcPr>
            <w:tcW w:type="dxa" w:w="6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355 </w:t>
            </w:r>
          </w:p>
        </w:tc>
        <w:tc>
          <w:tcPr>
            <w:tcW w:type="dxa" w:w="674"/>
            <w:vMerge/>
            <w:tcBorders>
              <w:bottom w:sz="8.0" w:val="single" w:color="#000000"/>
            </w:tcBorders>
          </w:tcPr>
          <w:p/>
        </w:tc>
        <w:tc>
          <w:tcPr>
            <w:tcW w:type="dxa" w:w="6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</w:tr>
      <w:tr>
        <w:trPr>
          <w:trHeight w:hRule="exact" w:val="220"/>
        </w:trPr>
        <w:tc>
          <w:tcPr>
            <w:tcW w:type="dxa" w:w="28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September 30, 2024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885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877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273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519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117 </w:t>
            </w:r>
          </w:p>
        </w:tc>
      </w:tr>
      <w:tr>
        <w:trPr>
          <w:trHeight w:hRule="exact" w:val="240"/>
        </w:trPr>
        <w:tc>
          <w:tcPr>
            <w:tcW w:type="dxa" w:w="28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- June 30, 2024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  <w:tc>
          <w:tcPr>
            <w:tcW w:type="dxa" w:w="4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866 </w:t>
            </w:r>
          </w:p>
        </w:tc>
        <w:tc>
          <w:tcPr>
            <w:tcW w:type="dxa" w:w="4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270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233 </w:t>
            </w:r>
          </w:p>
        </w:tc>
        <w:tc>
          <w:tcPr>
            <w:tcW w:type="dxa" w:w="5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497 </w:t>
            </w:r>
          </w:p>
        </w:tc>
        <w:tc>
          <w:tcPr>
            <w:tcW w:type="dxa" w:w="4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</w:tr>
    </w:tbl>
    <w:p>
      <w:pPr>
        <w:autoSpaceDN w:val="0"/>
        <w:autoSpaceDE w:val="0"/>
        <w:widowControl/>
        <w:spacing w:line="180" w:lineRule="exact" w:before="33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Loan loss provisions are determined after taking into account accumulated provision for debt relief.</w:t>
      </w:r>
    </w:p>
    <w:p>
      <w:pPr>
        <w:autoSpaceDN w:val="0"/>
        <w:autoSpaceDE w:val="0"/>
        <w:widowControl/>
        <w:spacing w:line="240" w:lineRule="exact" w:before="19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months ended September 30, 2024, no new loans were placed into nonaccrual status or restored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accrual status.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months ended September 30, 2024, service charge revenue not recognized as a result of loans being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 nonaccrual status was $1 million ($2 million – three months ended September 30, 2023).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months ended September 30, 2024, service charge revenue recognized on loans in nonaccrual status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upon receipt of payment was less than $1 million (less than $1 million – three months ended September 30, 2023).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considers the signature date of a loan as the best indicator of the decision point in the origination process, rather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than the disbursement date. The table below discloses the outstanding balances of IDA’s loan portfolio classified by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year the loan agreement was signed.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D3: Loan portfolio vintage disclosure</w:t>
      </w:r>
    </w:p>
    <w:p>
      <w:pPr>
        <w:autoSpaceDN w:val="0"/>
        <w:autoSpaceDE w:val="0"/>
        <w:widowControl/>
        <w:spacing w:line="180" w:lineRule="exact" w:before="15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0" w:after="18"/>
        <w:ind w:left="0" w:right="297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September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  <w:gridCol w:w="472"/>
      </w:tblGrid>
      <w:tr>
        <w:trPr>
          <w:trHeight w:hRule="exact" w:val="206"/>
        </w:trPr>
        <w:tc>
          <w:tcPr>
            <w:tcW w:type="dxa" w:w="20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8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2025</w:t>
            </w:r>
          </w:p>
        </w:tc>
        <w:tc>
          <w:tcPr>
            <w:tcW w:type="dxa" w:w="2866"/>
            <w:gridSpan w:val="8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52" w:after="0"/>
              <w:ind w:left="6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 of origination</w:t>
            </w:r>
          </w:p>
        </w:tc>
        <w:tc>
          <w:tcPr>
            <w:tcW w:type="dxa" w:w="1710"/>
            <w:gridSpan w:val="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5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17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00"/>
        </w:trPr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776"/>
            <w:gridSpan w:val="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1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1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9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11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166"/>
        </w:trPr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776"/>
            <w:gridSpan w:val="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710"/>
            <w:gridSpan w:val="5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117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of </w:t>
            </w:r>
          </w:p>
        </w:tc>
      </w:tr>
      <w:tr>
        <w:trPr>
          <w:trHeight w:hRule="exact" w:val="214"/>
        </w:trPr>
        <w:tc>
          <w:tcPr>
            <w:tcW w:type="dxa" w:w="20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Risk Class</w:t>
            </w:r>
          </w:p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70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6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3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85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860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5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117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September 30, </w:t>
            </w:r>
          </w:p>
        </w:tc>
      </w:tr>
      <w:tr>
        <w:trPr>
          <w:trHeight w:hRule="exact" w:val="220"/>
        </w:trPr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8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17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480"/>
        </w:trPr>
        <w:tc>
          <w:tcPr>
            <w:tcW w:type="dxa" w:w="2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2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6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57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  <w:tc>
          <w:tcPr>
            <w:tcW w:type="dxa" w:w="7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  <w:tc>
          <w:tcPr>
            <w:tcW w:type="dxa" w:w="7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396 </w:t>
            </w:r>
          </w:p>
        </w:tc>
        <w:tc>
          <w:tcPr>
            <w:tcW w:type="dxa" w:w="8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15,512 </w:t>
            </w:r>
          </w:p>
        </w:tc>
        <w:tc>
          <w:tcPr>
            <w:tcW w:type="dxa" w:w="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5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16,191 </w:t>
            </w:r>
          </w:p>
        </w:tc>
      </w:tr>
      <w:tr>
        <w:trPr>
          <w:trHeight w:hRule="exact" w:val="240"/>
        </w:trPr>
        <w:tc>
          <w:tcPr>
            <w:tcW w:type="dxa" w:w="2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61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516 </w:t>
            </w:r>
          </w:p>
        </w:tc>
        <w:tc>
          <w:tcPr>
            <w:tcW w:type="dxa" w:w="67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6,289 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11,417 </w:t>
            </w:r>
          </w:p>
        </w:tc>
        <w:tc>
          <w:tcPr>
            <w:tcW w:type="dxa" w:w="76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10,096 </w:t>
            </w:r>
          </w:p>
        </w:tc>
        <w:tc>
          <w:tcPr>
            <w:tcW w:type="dxa" w:w="7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14,078 </w:t>
            </w:r>
          </w:p>
        </w:tc>
        <w:tc>
          <w:tcPr>
            <w:tcW w:type="dxa" w:w="8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149,638 </w:t>
            </w:r>
          </w:p>
        </w:tc>
        <w:tc>
          <w:tcPr>
            <w:tcW w:type="dxa" w:w="8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125 </w:t>
            </w:r>
          </w:p>
        </w:tc>
        <w:tc>
          <w:tcPr>
            <w:tcW w:type="dxa" w:w="95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340 </w:t>
            </w:r>
          </w:p>
        </w:tc>
        <w:tc>
          <w:tcPr>
            <w:tcW w:type="dxa" w:w="117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192,499 </w:t>
            </w:r>
          </w:p>
        </w:tc>
      </w:tr>
      <w:tr>
        <w:trPr>
          <w:trHeight w:hRule="exact" w:val="240"/>
        </w:trPr>
        <w:tc>
          <w:tcPr>
            <w:tcW w:type="dxa" w:w="2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61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547 </w:t>
            </w:r>
          </w:p>
        </w:tc>
        <w:tc>
          <w:tcPr>
            <w:tcW w:type="dxa" w:w="67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6,346 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11,500 </w:t>
            </w:r>
          </w:p>
        </w:tc>
        <w:tc>
          <w:tcPr>
            <w:tcW w:type="dxa" w:w="7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10,208 </w:t>
            </w:r>
          </w:p>
        </w:tc>
        <w:tc>
          <w:tcPr>
            <w:tcW w:type="dxa" w:w="73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14,474 </w:t>
            </w:r>
          </w:p>
        </w:tc>
        <w:tc>
          <w:tcPr>
            <w:tcW w:type="dxa" w:w="8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165,150 </w:t>
            </w:r>
          </w:p>
        </w:tc>
        <w:tc>
          <w:tcPr>
            <w:tcW w:type="dxa" w:w="86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125 </w:t>
            </w:r>
          </w:p>
        </w:tc>
        <w:tc>
          <w:tcPr>
            <w:tcW w:type="dxa" w:w="95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340 </w:t>
            </w:r>
          </w:p>
        </w:tc>
        <w:tc>
          <w:tcPr>
            <w:tcW w:type="dxa" w:w="117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208,690 </w:t>
            </w:r>
          </w:p>
        </w:tc>
      </w:tr>
      <w:tr>
        <w:trPr>
          <w:trHeight w:hRule="exact" w:val="240"/>
        </w:trPr>
        <w:tc>
          <w:tcPr>
            <w:tcW w:type="dxa" w:w="2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61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7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6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3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885 </w:t>
            </w:r>
          </w:p>
        </w:tc>
        <w:tc>
          <w:tcPr>
            <w:tcW w:type="dxa" w:w="86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5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17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885 </w:t>
            </w:r>
          </w:p>
        </w:tc>
      </w:tr>
      <w:tr>
        <w:trPr>
          <w:trHeight w:hRule="exact" w:val="220"/>
        </w:trPr>
        <w:tc>
          <w:tcPr>
            <w:tcW w:type="dxa" w:w="20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61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$ 547 </w:t>
            </w:r>
          </w:p>
        </w:tc>
        <w:tc>
          <w:tcPr>
            <w:tcW w:type="dxa" w:w="2136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$ 6,346 $ 11,500 $ 10,208 </w:t>
            </w:r>
          </w:p>
        </w:tc>
        <w:tc>
          <w:tcPr>
            <w:tcW w:type="dxa" w:w="73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$ 14,474 </w:t>
            </w:r>
          </w:p>
        </w:tc>
        <w:tc>
          <w:tcPr>
            <w:tcW w:type="dxa" w:w="1212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$ 166,035 $ </w:t>
            </w:r>
          </w:p>
        </w:tc>
        <w:tc>
          <w:tcPr>
            <w:tcW w:type="dxa" w:w="49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125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340 </w:t>
            </w:r>
          </w:p>
        </w:tc>
        <w:tc>
          <w:tcPr>
            <w:tcW w:type="dxa" w:w="3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209,575 </w:t>
            </w:r>
          </w:p>
        </w:tc>
      </w:tr>
      <w:tr>
        <w:trPr>
          <w:trHeight w:hRule="exact" w:val="500"/>
        </w:trPr>
        <w:tc>
          <w:tcPr>
            <w:tcW w:type="dxa" w:w="2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Current period gross write-</w:t>
            </w:r>
          </w:p>
        </w:tc>
        <w:tc>
          <w:tcPr>
            <w:tcW w:type="dxa" w:w="2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8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860"/>
            <w:gridSpan w:val="3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95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3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526"/>
        </w:trPr>
        <w:tc>
          <w:tcPr>
            <w:tcW w:type="dxa" w:w="2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offs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a</w:t>
            </w:r>
          </w:p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416"/>
            <w:gridSpan w:val="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44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72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24" w:lineRule="exact" w:before="3100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37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D3.1:</w:t>
      </w:r>
    </w:p>
    <w:p>
      <w:pPr>
        <w:autoSpaceDN w:val="0"/>
        <w:autoSpaceDE w:val="0"/>
        <w:widowControl/>
        <w:spacing w:line="178" w:lineRule="exact" w:before="9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20"/>
        <w:ind w:left="0" w:right="329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  <w:gridCol w:w="429"/>
      </w:tblGrid>
      <w:tr>
        <w:trPr>
          <w:trHeight w:hRule="exact" w:val="200"/>
        </w:trPr>
        <w:tc>
          <w:tcPr>
            <w:tcW w:type="dxa" w:w="204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Risk Class</w:t>
            </w:r>
          </w:p>
        </w:tc>
        <w:tc>
          <w:tcPr>
            <w:tcW w:type="dxa" w:w="67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78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4530"/>
            <w:gridSpan w:val="15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1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9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CAT </w:t>
            </w:r>
          </w:p>
        </w:tc>
        <w:tc>
          <w:tcPr>
            <w:tcW w:type="dxa" w:w="103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00"/>
        </w:trPr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670"/>
            <w:gridSpan w:val="1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2" w:after="0"/>
              <w:ind w:left="62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 of origination</w:t>
            </w:r>
          </w:p>
        </w:tc>
        <w:tc>
          <w:tcPr>
            <w:tcW w:type="dxa" w:w="860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disbursed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7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DDOs </w:t>
            </w:r>
          </w:p>
        </w:tc>
        <w:tc>
          <w:tcPr>
            <w:tcW w:type="dxa" w:w="1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Outstanding </w:t>
            </w:r>
          </w:p>
        </w:tc>
      </w:tr>
      <w:tr>
        <w:trPr>
          <w:trHeight w:hRule="exact" w:val="180"/>
        </w:trPr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148"/>
            <w:gridSpan w:val="12"/>
            <w:vMerge/>
            <w:tcBorders/>
          </w:tcPr>
          <w:p/>
        </w:tc>
        <w:tc>
          <w:tcPr>
            <w:tcW w:type="dxa" w:w="1287"/>
            <w:gridSpan w:val="3"/>
            <w:vMerge/>
            <w:tcBorders/>
          </w:tcPr>
          <w:p/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1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Converted </w:t>
            </w:r>
          </w:p>
        </w:tc>
        <w:tc>
          <w:tcPr>
            <w:tcW w:type="dxa" w:w="1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0" w:right="2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as of </w:t>
            </w:r>
          </w:p>
        </w:tc>
      </w:tr>
      <w:tr>
        <w:trPr>
          <w:trHeight w:hRule="exact" w:val="200"/>
        </w:trPr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67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9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Prior </w:t>
            </w:r>
          </w:p>
        </w:tc>
        <w:tc>
          <w:tcPr>
            <w:tcW w:type="dxa" w:w="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and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to Term </w:t>
            </w:r>
          </w:p>
        </w:tc>
        <w:tc>
          <w:tcPr>
            <w:tcW w:type="dxa" w:w="1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June 30, </w:t>
            </w:r>
          </w:p>
        </w:tc>
      </w:tr>
      <w:tr>
        <w:trPr>
          <w:trHeight w:hRule="exact" w:val="226"/>
        </w:trPr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2022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2021</w:t>
            </w:r>
          </w:p>
        </w:tc>
        <w:tc>
          <w:tcPr>
            <w:tcW w:type="dxa" w:w="73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2020</w:t>
            </w:r>
          </w:p>
        </w:tc>
        <w:tc>
          <w:tcPr>
            <w:tcW w:type="dxa" w:w="786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Years</w:t>
            </w:r>
          </w:p>
        </w:tc>
        <w:tc>
          <w:tcPr>
            <w:tcW w:type="dxa" w:w="8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revolving</w:t>
            </w:r>
          </w:p>
        </w:tc>
        <w:tc>
          <w:tcPr>
            <w:tcW w:type="dxa" w:w="9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Loans</w:t>
            </w:r>
          </w:p>
        </w:tc>
        <w:tc>
          <w:tcPr>
            <w:tcW w:type="dxa" w:w="103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</w:tr>
      <w:tr>
        <w:trPr>
          <w:trHeight w:hRule="exact" w:val="474"/>
        </w:trPr>
        <w:tc>
          <w:tcPr>
            <w:tcW w:type="dxa" w:w="20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Low</w:t>
            </w:r>
          </w:p>
        </w:tc>
        <w:tc>
          <w:tcPr>
            <w:tcW w:type="dxa" w:w="3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62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7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20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Medium</w:t>
            </w:r>
          </w:p>
        </w:tc>
        <w:tc>
          <w:tcPr>
            <w:tcW w:type="dxa" w:w="67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56 </w:t>
            </w:r>
          </w:p>
        </w:tc>
        <w:tc>
          <w:tcPr>
            <w:tcW w:type="dxa" w:w="75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83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7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393 </w:t>
            </w:r>
          </w:p>
        </w:tc>
        <w:tc>
          <w:tcPr>
            <w:tcW w:type="dxa" w:w="7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542 </w:t>
            </w:r>
          </w:p>
        </w:tc>
        <w:tc>
          <w:tcPr>
            <w:tcW w:type="dxa" w:w="78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15,081 </w:t>
            </w:r>
          </w:p>
        </w:tc>
        <w:tc>
          <w:tcPr>
            <w:tcW w:type="dxa" w:w="8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3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16,266 </w:t>
            </w:r>
          </w:p>
        </w:tc>
      </w:tr>
      <w:tr>
        <w:trPr>
          <w:trHeight w:hRule="exact" w:val="246"/>
        </w:trPr>
        <w:tc>
          <w:tcPr>
            <w:tcW w:type="dxa" w:w="20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High</w:t>
            </w:r>
          </w:p>
        </w:tc>
        <w:tc>
          <w:tcPr>
            <w:tcW w:type="dxa" w:w="67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5,670 </w:t>
            </w:r>
          </w:p>
        </w:tc>
        <w:tc>
          <w:tcPr>
            <w:tcW w:type="dxa" w:w="75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10,661 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9,487 </w:t>
            </w:r>
          </w:p>
        </w:tc>
        <w:tc>
          <w:tcPr>
            <w:tcW w:type="dxa" w:w="70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13,294 </w:t>
            </w:r>
          </w:p>
        </w:tc>
        <w:tc>
          <w:tcPr>
            <w:tcW w:type="dxa" w:w="73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10,279 </w:t>
            </w:r>
          </w:p>
        </w:tc>
        <w:tc>
          <w:tcPr>
            <w:tcW w:type="dxa" w:w="786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135,597 </w:t>
            </w:r>
          </w:p>
        </w:tc>
        <w:tc>
          <w:tcPr>
            <w:tcW w:type="dxa" w:w="86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 </w:t>
            </w:r>
          </w:p>
        </w:tc>
        <w:tc>
          <w:tcPr>
            <w:tcW w:type="dxa" w:w="91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334 </w:t>
            </w:r>
          </w:p>
        </w:tc>
        <w:tc>
          <w:tcPr>
            <w:tcW w:type="dxa" w:w="103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185,423 </w:t>
            </w:r>
          </w:p>
        </w:tc>
      </w:tr>
      <w:tr>
        <w:trPr>
          <w:trHeight w:hRule="exact" w:val="240"/>
        </w:trPr>
        <w:tc>
          <w:tcPr>
            <w:tcW w:type="dxa" w:w="2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accrual status</w:t>
            </w:r>
          </w:p>
        </w:tc>
        <w:tc>
          <w:tcPr>
            <w:tcW w:type="dxa" w:w="67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5,726 </w:t>
            </w:r>
          </w:p>
        </w:tc>
        <w:tc>
          <w:tcPr>
            <w:tcW w:type="dxa" w:w="7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10,744 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9,598 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13,687 </w:t>
            </w:r>
          </w:p>
        </w:tc>
        <w:tc>
          <w:tcPr>
            <w:tcW w:type="dxa" w:w="73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10,821 </w:t>
            </w:r>
          </w:p>
        </w:tc>
        <w:tc>
          <w:tcPr>
            <w:tcW w:type="dxa" w:w="786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150,678 </w:t>
            </w:r>
          </w:p>
        </w:tc>
        <w:tc>
          <w:tcPr>
            <w:tcW w:type="dxa" w:w="86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 </w:t>
            </w:r>
          </w:p>
        </w:tc>
        <w:tc>
          <w:tcPr>
            <w:tcW w:type="dxa" w:w="91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334 </w:t>
            </w:r>
          </w:p>
        </w:tc>
        <w:tc>
          <w:tcPr>
            <w:tcW w:type="dxa" w:w="103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201,689 </w:t>
            </w:r>
          </w:p>
        </w:tc>
      </w:tr>
      <w:tr>
        <w:trPr>
          <w:trHeight w:hRule="exact" w:val="240"/>
        </w:trPr>
        <w:tc>
          <w:tcPr>
            <w:tcW w:type="dxa" w:w="2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in nonaccrual status</w:t>
            </w:r>
          </w:p>
        </w:tc>
        <w:tc>
          <w:tcPr>
            <w:tcW w:type="dxa" w:w="67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5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08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12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  <w:tc>
          <w:tcPr>
            <w:tcW w:type="dxa" w:w="86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91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3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</w:tr>
      <w:tr>
        <w:trPr>
          <w:trHeight w:hRule="exact" w:val="220"/>
        </w:trPr>
        <w:tc>
          <w:tcPr>
            <w:tcW w:type="dxa" w:w="20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67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$ 5,726 </w:t>
            </w:r>
          </w:p>
        </w:tc>
        <w:tc>
          <w:tcPr>
            <w:tcW w:type="dxa" w:w="1450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$ 10,744 $ 9,598 </w:t>
            </w:r>
          </w:p>
        </w:tc>
        <w:tc>
          <w:tcPr>
            <w:tcW w:type="dxa" w:w="2582"/>
            <w:gridSpan w:val="9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$ 13,687 $ 10,821 $ 151,537 $ </w:t>
            </w:r>
          </w:p>
        </w:tc>
        <w:tc>
          <w:tcPr>
            <w:tcW w:type="dxa" w:w="49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101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334 </w:t>
            </w:r>
          </w:p>
        </w:tc>
        <w:tc>
          <w:tcPr>
            <w:tcW w:type="dxa" w:w="3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202,548 </w:t>
            </w:r>
          </w:p>
        </w:tc>
      </w:tr>
      <w:tr>
        <w:trPr>
          <w:trHeight w:hRule="exact" w:val="512"/>
        </w:trPr>
        <w:tc>
          <w:tcPr>
            <w:tcW w:type="dxa" w:w="20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Current period gross write-</w:t>
            </w:r>
          </w:p>
        </w:tc>
        <w:tc>
          <w:tcPr>
            <w:tcW w:type="dxa" w:w="32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8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7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39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8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78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104 </w:t>
            </w:r>
          </w:p>
        </w:tc>
        <w:tc>
          <w:tcPr>
            <w:tcW w:type="dxa" w:w="860"/>
            <w:gridSpan w:val="3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91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n.a</w:t>
            </w:r>
          </w:p>
        </w:tc>
        <w:tc>
          <w:tcPr>
            <w:tcW w:type="dxa" w:w="30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104 </w:t>
            </w:r>
          </w:p>
        </w:tc>
      </w:tr>
      <w:tr>
        <w:trPr>
          <w:trHeight w:hRule="exact" w:val="512"/>
        </w:trPr>
        <w:tc>
          <w:tcPr>
            <w:tcW w:type="dxa" w:w="20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offs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 xml:space="preserve"> a</w:t>
            </w:r>
          </w:p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87"/>
            <w:gridSpan w:val="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5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29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2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Relate to HIPC/MDRI.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* Indicates amount less than $0.5 million. </w:t>
      </w:r>
    </w:p>
    <w:p>
      <w:pPr>
        <w:autoSpaceDN w:val="0"/>
        <w:autoSpaceDE w:val="0"/>
        <w:widowControl/>
        <w:spacing w:line="240" w:lineRule="exact" w:before="19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There was no Catastrophe Deferred Drawdown Option (CAT DDO) outstanding and revolving that was converted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term loans during the three months ended September 30, 2024 (Nil—June 30, 2024).</w:t>
      </w:r>
    </w:p>
    <w:p>
      <w:pPr>
        <w:autoSpaceDN w:val="0"/>
        <w:autoSpaceDE w:val="0"/>
        <w:widowControl/>
        <w:spacing w:line="244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Accumulated Provision for Losses on Loans and Other Exposures</w:t>
      </w:r>
    </w:p>
    <w:p>
      <w:pPr>
        <w:autoSpaceDN w:val="0"/>
        <w:autoSpaceDE w:val="0"/>
        <w:widowControl/>
        <w:spacing w:line="240" w:lineRule="exact" w:before="13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Management determines the appropriate level of the accumulated provisions for losses, which reflects the expected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losses inherent in IDA’s exposures. Management reassesses the adequacy of accumulated provision on a quarterly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basis and adjustments to the accumulated provision are recorded as a charge to or release of provision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Statements of Income.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accumulated provision for HIPC Debt Initiative and MDRI was recorded at the inception of this initiative and 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based on a quantitative and qualitative analyses of various factors, including estimates of Decision Point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Completion Point dates. These factors are reviewed periodically as part of the reassessment of the adequacy of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accumulated provision for loan losses. Accumulated provisions are reduced as qualifying debt service becomes due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and is forgiven under the HIPC Debt Initiative. 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When the country reaches HIPC Completion Point, it becomes eligible for MDRI debt relief which is characterized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by the write-off of eligible loans. This write-off occurs at the beginning of the quarterly period following the date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the country reaches Completion Point. MDRI provision is reduced by the amount of the eligible loans written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off.</w:t>
      </w:r>
    </w:p>
    <w:p>
      <w:pPr>
        <w:autoSpaceDN w:val="0"/>
        <w:autoSpaceDE w:val="0"/>
        <w:widowControl/>
        <w:spacing w:line="224" w:lineRule="exact" w:before="4240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38     IDA Quarterly Financial Statements: September 30, 2024 (Unaudited)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Changes to the accumulated provision for losses on loans and other exposures are summarized below: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D4: Accumulated provisions</w:t>
      </w:r>
    </w:p>
    <w:p>
      <w:pPr>
        <w:autoSpaceDN w:val="0"/>
        <w:autoSpaceDE w:val="0"/>
        <w:widowControl/>
        <w:spacing w:line="178" w:lineRule="exact" w:before="1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1974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September 30, 2024</w:t>
      </w:r>
    </w:p>
    <w:p>
      <w:pPr>
        <w:autoSpaceDN w:val="0"/>
        <w:autoSpaceDE w:val="0"/>
        <w:widowControl/>
        <w:spacing w:line="180" w:lineRule="exact" w:before="82" w:after="6"/>
        <w:ind w:left="0" w:right="211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Debt relief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</w:tblGrid>
      <w:tr>
        <w:trPr>
          <w:trHeight w:hRule="exact" w:val="182"/>
        </w:trPr>
        <w:tc>
          <w:tcPr>
            <w:tcW w:type="dxa" w:w="50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5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3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under </w:t>
            </w:r>
          </w:p>
        </w:tc>
        <w:tc>
          <w:tcPr>
            <w:tcW w:type="dxa" w:w="884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26"/>
        </w:trPr>
        <w:tc>
          <w:tcPr>
            <w:tcW w:type="dxa" w:w="504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1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23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commitments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HIPC/MDRI</w:t>
            </w:r>
          </w:p>
        </w:tc>
        <w:tc>
          <w:tcPr>
            <w:tcW w:type="dxa" w:w="1708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854"/>
            <w:vMerge/>
            <w:tcBorders>
              <w:bottom w:sz="8.0" w:val="single" w:color="#000000"/>
            </w:tcBorders>
          </w:tcPr>
          <w:p/>
        </w:tc>
        <w:tc>
          <w:tcPr>
            <w:tcW w:type="dxa" w:w="85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4"/>
        </w:trPr>
        <w:tc>
          <w:tcPr>
            <w:tcW w:type="dxa" w:w="43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Accumulated provision, beginning of the fiscal year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3,534 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1,316 </w:t>
            </w:r>
          </w:p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</w:p>
        </w:tc>
        <w:tc>
          <w:tcPr>
            <w:tcW w:type="dxa" w:w="3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5,621 </w:t>
            </w:r>
          </w:p>
        </w:tc>
      </w:tr>
      <w:tr>
        <w:trPr>
          <w:trHeight w:hRule="exact" w:val="240"/>
        </w:trPr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Provision, net - charge (release)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85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(21) </w:t>
            </w:r>
          </w:p>
        </w:tc>
      </w:tr>
      <w:tr>
        <w:trPr>
          <w:trHeight w:hRule="exact" w:val="240"/>
        </w:trPr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written off under HIPC/MDRI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(3) </w:t>
            </w:r>
          </w:p>
        </w:tc>
      </w:tr>
      <w:tr>
        <w:trPr>
          <w:trHeight w:hRule="exact" w:val="246"/>
        </w:trPr>
        <w:tc>
          <w:tcPr>
            <w:tcW w:type="dxa" w:w="43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104 </w:t>
            </w:r>
          </w:p>
        </w:tc>
        <w:tc>
          <w:tcPr>
            <w:tcW w:type="dxa" w:w="123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 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 </w:t>
            </w:r>
          </w:p>
        </w:tc>
        <w:tc>
          <w:tcPr>
            <w:tcW w:type="dxa" w:w="8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85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155 </w:t>
            </w:r>
          </w:p>
        </w:tc>
      </w:tr>
      <w:tr>
        <w:trPr>
          <w:trHeight w:hRule="exact" w:val="230"/>
        </w:trPr>
        <w:tc>
          <w:tcPr>
            <w:tcW w:type="dxa" w:w="36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end of the period</w:t>
            </w:r>
          </w:p>
        </w:tc>
        <w:tc>
          <w:tcPr>
            <w:tcW w:type="dxa" w:w="75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3,644 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1,330 </w:t>
            </w:r>
          </w:p>
        </w:tc>
        <w:tc>
          <w:tcPr>
            <w:tcW w:type="dxa" w:w="4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537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5,752 </w:t>
            </w:r>
          </w:p>
        </w:tc>
      </w:tr>
    </w:tbl>
    <w:p>
      <w:pPr>
        <w:autoSpaceDN w:val="0"/>
        <w:autoSpaceDE w:val="0"/>
        <w:widowControl/>
        <w:spacing w:line="180" w:lineRule="exact" w:before="4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Including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34"/>
        </w:trPr>
        <w:tc>
          <w:tcPr>
            <w:tcW w:type="dxa" w:w="4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accrual status </w:t>
            </w:r>
          </w:p>
        </w:tc>
        <w:tc>
          <w:tcPr>
            <w:tcW w:type="dxa" w:w="3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3,403 </w:t>
            </w:r>
          </w:p>
        </w:tc>
        <w:tc>
          <w:tcPr>
            <w:tcW w:type="dxa" w:w="16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264 </w:t>
            </w:r>
          </w:p>
        </w:tc>
        <w:tc>
          <w:tcPr>
            <w:tcW w:type="dxa" w:w="12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3,667 </w:t>
            </w:r>
          </w:p>
        </w:tc>
      </w:tr>
      <w:tr>
        <w:trPr>
          <w:trHeight w:hRule="exact" w:val="246"/>
        </w:trPr>
        <w:tc>
          <w:tcPr>
            <w:tcW w:type="dxa" w:w="40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1341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241 </w:t>
            </w:r>
          </w:p>
        </w:tc>
        <w:tc>
          <w:tcPr>
            <w:tcW w:type="dxa" w:w="1341"/>
            <w:vMerge/>
            <w:tcBorders>
              <w:bottom w:sz="8.0" w:val="single" w:color="#000000"/>
            </w:tcBorders>
          </w:tcPr>
          <w:p/>
        </w:tc>
        <w:tc>
          <w:tcPr>
            <w:tcW w:type="dxa" w:w="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273 </w:t>
            </w:r>
          </w:p>
        </w:tc>
        <w:tc>
          <w:tcPr>
            <w:tcW w:type="dxa" w:w="1341"/>
            <w:vMerge/>
            <w:tcBorders>
              <w:bottom w:sz="8.0" w:val="single" w:color="#000000"/>
            </w:tcBorders>
          </w:tcPr>
          <w:p/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514 </w:t>
            </w:r>
          </w:p>
        </w:tc>
      </w:tr>
      <w:tr>
        <w:trPr>
          <w:trHeight w:hRule="exact" w:val="220"/>
        </w:trPr>
        <w:tc>
          <w:tcPr>
            <w:tcW w:type="dxa" w:w="40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3,644 </w:t>
            </w:r>
          </w:p>
        </w:tc>
        <w:tc>
          <w:tcPr>
            <w:tcW w:type="dxa" w:w="1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9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537 </w:t>
            </w:r>
          </w:p>
        </w:tc>
        <w:tc>
          <w:tcPr>
            <w:tcW w:type="dxa" w:w="1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4,181 </w:t>
            </w:r>
          </w:p>
        </w:tc>
      </w:tr>
    </w:tbl>
    <w:p>
      <w:pPr>
        <w:autoSpaceDN w:val="0"/>
        <w:autoSpaceDE w:val="0"/>
        <w:widowControl/>
        <w:spacing w:line="180" w:lineRule="exact" w:before="50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0"/>
        <w:gridCol w:w="3130"/>
        <w:gridCol w:w="3130"/>
      </w:tblGrid>
      <w:tr>
        <w:trPr>
          <w:trHeight w:hRule="exact" w:val="234"/>
        </w:trPr>
        <w:tc>
          <w:tcPr>
            <w:tcW w:type="dxa" w:w="8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accrual status 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208,690 </w:t>
            </w:r>
          </w:p>
        </w:tc>
      </w:tr>
      <w:tr>
        <w:trPr>
          <w:trHeight w:hRule="exact" w:val="246"/>
        </w:trPr>
        <w:tc>
          <w:tcPr>
            <w:tcW w:type="dxa" w:w="83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3130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885 </w:t>
            </w:r>
          </w:p>
        </w:tc>
      </w:tr>
      <w:tr>
        <w:trPr>
          <w:trHeight w:hRule="exact" w:val="220"/>
        </w:trPr>
        <w:tc>
          <w:tcPr>
            <w:tcW w:type="dxa" w:w="8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209,575 </w:t>
            </w:r>
          </w:p>
        </w:tc>
      </w:tr>
    </w:tbl>
    <w:p>
      <w:pPr>
        <w:autoSpaceDN w:val="0"/>
        <w:autoSpaceDE w:val="0"/>
        <w:widowControl/>
        <w:spacing w:line="222" w:lineRule="exact" w:before="512" w:after="0"/>
        <w:ind w:left="62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D4.1: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78" w:lineRule="exact" w:before="62" w:after="0"/>
        <w:ind w:left="0" w:right="219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June 30, 2024</w:t>
      </w:r>
    </w:p>
    <w:p>
      <w:pPr>
        <w:autoSpaceDN w:val="0"/>
        <w:autoSpaceDE w:val="0"/>
        <w:widowControl/>
        <w:spacing w:line="180" w:lineRule="exact" w:before="82" w:after="6"/>
        <w:ind w:left="0" w:right="211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Debt relief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  <w:gridCol w:w="854"/>
      </w:tblGrid>
      <w:tr>
        <w:trPr>
          <w:trHeight w:hRule="exact" w:val="192"/>
        </w:trPr>
        <w:tc>
          <w:tcPr>
            <w:tcW w:type="dxa" w:w="50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5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7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under </w:t>
            </w:r>
          </w:p>
        </w:tc>
        <w:tc>
          <w:tcPr>
            <w:tcW w:type="dxa" w:w="884"/>
            <w:gridSpan w:val="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78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14"/>
        </w:trPr>
        <w:tc>
          <w:tcPr>
            <w:tcW w:type="dxa" w:w="504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23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commitments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HIPC/MDRI</w:t>
            </w:r>
          </w:p>
        </w:tc>
        <w:tc>
          <w:tcPr>
            <w:tcW w:type="dxa" w:w="1708"/>
            <w:gridSpan w:val="2"/>
            <w:vMerge/>
            <w:tcBorders>
              <w:bottom w:sz="8.0" w:val="single" w:color="#000000"/>
            </w:tcBorders>
          </w:tcPr>
          <w:p/>
        </w:tc>
        <w:tc>
          <w:tcPr>
            <w:tcW w:type="dxa" w:w="854"/>
            <w:vMerge/>
            <w:tcBorders>
              <w:bottom w:sz="8.0" w:val="single" w:color="#000000"/>
            </w:tcBorders>
          </w:tcPr>
          <w:p/>
        </w:tc>
        <w:tc>
          <w:tcPr>
            <w:tcW w:type="dxa" w:w="85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6"/>
        </w:trPr>
        <w:tc>
          <w:tcPr>
            <w:tcW w:type="dxa" w:w="43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 xml:space="preserve">Accumulated provision, beginning of the fiscal year 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3,325 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1,320 </w:t>
            </w:r>
          </w:p>
        </w:tc>
        <w:tc>
          <w:tcPr>
            <w:tcW w:type="dxa" w:w="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668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 </w:t>
            </w:r>
          </w:p>
        </w:tc>
        <w:tc>
          <w:tcPr>
            <w:tcW w:type="dxa" w:w="3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5,511 </w:t>
            </w:r>
          </w:p>
        </w:tc>
      </w:tr>
      <w:tr>
        <w:trPr>
          <w:trHeight w:hRule="exact" w:val="240"/>
        </w:trPr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Provision, net - charge (release)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252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 </w:t>
            </w:r>
          </w:p>
        </w:tc>
        <w:tc>
          <w:tcPr>
            <w:tcW w:type="dxa" w:w="85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275 </w:t>
            </w:r>
          </w:p>
        </w:tc>
      </w:tr>
      <w:tr>
        <w:trPr>
          <w:trHeight w:hRule="exact" w:val="240"/>
        </w:trPr>
        <w:tc>
          <w:tcPr>
            <w:tcW w:type="dxa" w:w="4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written off under HIPC/MDRI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(104) </w:t>
            </w:r>
          </w:p>
        </w:tc>
        <w:tc>
          <w:tcPr>
            <w:tcW w:type="dxa" w:w="8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(104) </w:t>
            </w:r>
          </w:p>
        </w:tc>
      </w:tr>
      <w:tr>
        <w:trPr>
          <w:trHeight w:hRule="exact" w:val="254"/>
        </w:trPr>
        <w:tc>
          <w:tcPr>
            <w:tcW w:type="dxa" w:w="43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Translation adjustment</w:t>
            </w:r>
          </w:p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(43) </w:t>
            </w:r>
          </w:p>
        </w:tc>
        <w:tc>
          <w:tcPr>
            <w:tcW w:type="dxa" w:w="1232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(16) 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88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5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(61) </w:t>
            </w:r>
          </w:p>
        </w:tc>
      </w:tr>
      <w:tr>
        <w:trPr>
          <w:trHeight w:hRule="exact" w:val="231"/>
        </w:trPr>
        <w:tc>
          <w:tcPr>
            <w:tcW w:type="dxa" w:w="377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Accumulated provision, end of the fiscal year</w:t>
            </w:r>
          </w:p>
        </w:tc>
        <w:tc>
          <w:tcPr>
            <w:tcW w:type="dxa" w:w="60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3,534 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1,316 </w:t>
            </w:r>
          </w:p>
        </w:tc>
        <w:tc>
          <w:tcPr>
            <w:tcW w:type="dxa" w:w="4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 </w:t>
            </w:r>
          </w:p>
        </w:tc>
        <w:tc>
          <w:tcPr>
            <w:tcW w:type="dxa" w:w="3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</w:p>
        </w:tc>
        <w:tc>
          <w:tcPr>
            <w:tcW w:type="dxa" w:w="3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5,621 </w:t>
            </w:r>
          </w:p>
        </w:tc>
      </w:tr>
    </w:tbl>
    <w:p>
      <w:pPr>
        <w:autoSpaceDN w:val="0"/>
        <w:autoSpaceDE w:val="0"/>
        <w:widowControl/>
        <w:spacing w:line="180" w:lineRule="exact" w:before="4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Including accumulated provision for 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1341"/>
        <w:gridCol w:w="1341"/>
        <w:gridCol w:w="1341"/>
        <w:gridCol w:w="1341"/>
        <w:gridCol w:w="1341"/>
        <w:gridCol w:w="1341"/>
        <w:gridCol w:w="1341"/>
      </w:tblGrid>
      <w:tr>
        <w:trPr>
          <w:trHeight w:hRule="exact" w:val="224"/>
        </w:trPr>
        <w:tc>
          <w:tcPr>
            <w:tcW w:type="dxa" w:w="4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accrual status </w:t>
            </w:r>
          </w:p>
        </w:tc>
        <w:tc>
          <w:tcPr>
            <w:tcW w:type="dxa" w:w="3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3,301 </w:t>
            </w:r>
          </w:p>
        </w:tc>
        <w:tc>
          <w:tcPr>
            <w:tcW w:type="dxa" w:w="17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261 </w:t>
            </w:r>
          </w:p>
        </w:tc>
        <w:tc>
          <w:tcPr>
            <w:tcW w:type="dxa" w:w="128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3,562 </w:t>
            </w:r>
          </w:p>
        </w:tc>
      </w:tr>
      <w:tr>
        <w:trPr>
          <w:trHeight w:hRule="exact" w:val="254"/>
        </w:trPr>
        <w:tc>
          <w:tcPr>
            <w:tcW w:type="dxa" w:w="40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1341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233 </w:t>
            </w:r>
          </w:p>
        </w:tc>
        <w:tc>
          <w:tcPr>
            <w:tcW w:type="dxa" w:w="1341"/>
            <w:vMerge/>
            <w:tcBorders>
              <w:bottom w:sz="8.0" w:val="single" w:color="#000000"/>
            </w:tcBorders>
          </w:tcPr>
          <w:p/>
        </w:tc>
        <w:tc>
          <w:tcPr>
            <w:tcW w:type="dxa" w:w="5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270 </w:t>
            </w:r>
          </w:p>
        </w:tc>
        <w:tc>
          <w:tcPr>
            <w:tcW w:type="dxa" w:w="1341"/>
            <w:vMerge/>
            <w:tcBorders>
              <w:bottom w:sz="8.0" w:val="single" w:color="#000000"/>
            </w:tcBorders>
          </w:tcPr>
          <w:p/>
        </w:tc>
        <w:tc>
          <w:tcPr>
            <w:tcW w:type="dxa" w:w="6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503 </w:t>
            </w:r>
          </w:p>
        </w:tc>
      </w:tr>
      <w:tr>
        <w:trPr>
          <w:trHeight w:hRule="exact" w:val="220"/>
        </w:trPr>
        <w:tc>
          <w:tcPr>
            <w:tcW w:type="dxa" w:w="40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3,534 </w:t>
            </w:r>
          </w:p>
        </w:tc>
        <w:tc>
          <w:tcPr>
            <w:tcW w:type="dxa" w:w="17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531 </w:t>
            </w:r>
          </w:p>
        </w:tc>
        <w:tc>
          <w:tcPr>
            <w:tcW w:type="dxa" w:w="12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1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4,065 </w:t>
            </w:r>
          </w:p>
        </w:tc>
      </w:tr>
    </w:tbl>
    <w:p>
      <w:pPr>
        <w:autoSpaceDN w:val="0"/>
        <w:autoSpaceDE w:val="0"/>
        <w:widowControl/>
        <w:spacing w:line="180" w:lineRule="exact" w:before="52" w:after="3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Loans: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30"/>
        <w:gridCol w:w="3130"/>
        <w:gridCol w:w="3130"/>
      </w:tblGrid>
      <w:tr>
        <w:trPr>
          <w:trHeight w:hRule="exact" w:val="224"/>
        </w:trPr>
        <w:tc>
          <w:tcPr>
            <w:tcW w:type="dxa" w:w="8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accrual status 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201,689 </w:t>
            </w:r>
          </w:p>
        </w:tc>
      </w:tr>
      <w:tr>
        <w:trPr>
          <w:trHeight w:hRule="exact" w:val="254"/>
        </w:trPr>
        <w:tc>
          <w:tcPr>
            <w:tcW w:type="dxa" w:w="83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Loans in nonaccrual status </w:t>
            </w:r>
          </w:p>
        </w:tc>
        <w:tc>
          <w:tcPr>
            <w:tcW w:type="dxa" w:w="3130"/>
            <w:vMerge/>
            <w:tcBorders>
              <w:bottom w:sz="8.0" w:val="single" w:color="#000000"/>
            </w:tcBorders>
          </w:tcPr>
          <w:p/>
        </w:tc>
        <w:tc>
          <w:tcPr>
            <w:tcW w:type="dxa" w:w="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859 </w:t>
            </w:r>
          </w:p>
        </w:tc>
      </w:tr>
      <w:tr>
        <w:trPr>
          <w:trHeight w:hRule="exact" w:val="220"/>
        </w:trPr>
        <w:tc>
          <w:tcPr>
            <w:tcW w:type="dxa" w:w="8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</w:t>
            </w:r>
          </w:p>
        </w:tc>
        <w:tc>
          <w:tcPr>
            <w:tcW w:type="dxa" w:w="2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202,548 </w:t>
            </w:r>
          </w:p>
        </w:tc>
      </w:tr>
    </w:tbl>
    <w:p>
      <w:pPr>
        <w:autoSpaceDN w:val="0"/>
        <w:autoSpaceDE w:val="0"/>
        <w:widowControl/>
        <w:spacing w:line="180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These amounts primarily relate to outstanding guarantees and include exposures under PSW.</w:t>
      </w:r>
    </w:p>
    <w:p>
      <w:pPr>
        <w:autoSpaceDN w:val="0"/>
        <w:autoSpaceDE w:val="0"/>
        <w:widowControl/>
        <w:spacing w:line="224" w:lineRule="exact" w:before="3290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39</w:t>
      </w:r>
    </w:p>
    <w:p>
      <w:pPr>
        <w:sectPr>
          <w:pgSz w:w="12240" w:h="15840"/>
          <w:pgMar w:top="700" w:right="142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94"/>
        <w:ind w:left="0" w:right="0"/>
      </w:pPr>
    </w:p>
    <w:p>
      <w:pPr>
        <w:autoSpaceDN w:val="0"/>
        <w:autoSpaceDE w:val="0"/>
        <w:widowControl/>
        <w:spacing w:line="178" w:lineRule="exact" w:before="34" w:after="28"/>
        <w:ind w:left="0" w:right="2798" w:firstLine="0"/>
        <w:jc w:val="right"/>
      </w:pPr>
      <w:r>
        <w:rPr>
          <w:rFonts w:ascii="Arial" w:hAnsi="Arial" w:eastAsia="Arial"/>
          <w:b/>
          <w:i w:val="0"/>
          <w:color w:val="000000"/>
          <w:sz w:val="16"/>
        </w:rPr>
        <w:t>Reported as Follows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340.0" w:type="dxa"/>
      </w:tblPr>
      <w:tblGrid>
        <w:gridCol w:w="4720"/>
        <w:gridCol w:w="4720"/>
      </w:tblGrid>
      <w:tr>
        <w:trPr>
          <w:trHeight w:hRule="exact" w:val="240"/>
        </w:trPr>
        <w:tc>
          <w:tcPr>
            <w:tcW w:type="dxa" w:w="28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Condensed Balance Sheets</w:t>
            </w:r>
          </w:p>
        </w:tc>
        <w:tc>
          <w:tcPr>
            <w:tcW w:type="dxa" w:w="41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72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Condensed Statements of Income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160" w:lineRule="exact" w:before="32" w:after="34"/>
        <w:ind w:left="62" w:right="720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Accumulated Provision for </w:t>
      </w:r>
      <w:r>
        <w:br/>
      </w:r>
      <w:r>
        <w:rPr>
          <w:rFonts w:ascii="Arial" w:hAnsi="Arial" w:eastAsia="Arial"/>
          <w:b/>
          <w:i w:val="0"/>
          <w:color w:val="000000"/>
          <w:sz w:val="16"/>
        </w:rPr>
        <w:t>Losses on: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3147"/>
        <w:gridCol w:w="3147"/>
        <w:gridCol w:w="3147"/>
      </w:tblGrid>
      <w:tr>
        <w:trPr>
          <w:trHeight w:hRule="exact" w:val="220"/>
        </w:trPr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 outstanding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5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Accumulated provision for loan losses</w:t>
            </w:r>
          </w:p>
        </w:tc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 for losses on loans and other </w:t>
            </w:r>
          </w:p>
        </w:tc>
      </w:tr>
    </w:tbl>
    <w:p>
      <w:pPr>
        <w:autoSpaceDN w:val="0"/>
        <w:autoSpaceDE w:val="0"/>
        <w:widowControl/>
        <w:spacing w:line="178" w:lineRule="exact" w:before="6" w:after="32"/>
        <w:ind w:left="0" w:right="144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exposures, release (charge)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08"/>
        </w:trPr>
        <w:tc>
          <w:tcPr>
            <w:tcW w:type="dxa" w:w="2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Debt Relief under 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Accumulated provision for loan losses</w:t>
            </w:r>
          </w:p>
        </w:tc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 for losses on loans and other </w:t>
            </w:r>
          </w:p>
        </w:tc>
      </w:tr>
      <w:tr>
        <w:trPr>
          <w:trHeight w:hRule="exact" w:val="226"/>
        </w:trPr>
        <w:tc>
          <w:tcPr>
            <w:tcW w:type="dxa" w:w="2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HIPC/MDRI</w:t>
            </w:r>
          </w:p>
        </w:tc>
        <w:tc>
          <w:tcPr>
            <w:tcW w:type="dxa" w:w="32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Other assets/ liabilities</w:t>
            </w:r>
          </w:p>
        </w:tc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" w:after="0"/>
              <w:ind w:left="5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exposures,  release (charge)</w:t>
            </w:r>
          </w:p>
        </w:tc>
      </w:tr>
      <w:tr>
        <w:trPr>
          <w:trHeight w:hRule="exact" w:val="214"/>
        </w:trPr>
        <w:tc>
          <w:tcPr>
            <w:tcW w:type="dxa" w:w="2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Loan commitments and Other </w:t>
            </w:r>
          </w:p>
        </w:tc>
        <w:tc>
          <w:tcPr>
            <w:tcW w:type="dxa" w:w="3147"/>
            <w:vMerge/>
            <w:tcBorders>
              <w:bottom w:sz="8.0" w:val="single" w:color="#000000"/>
            </w:tcBorders>
          </w:tcPr>
          <w:p/>
        </w:tc>
        <w:tc>
          <w:tcPr>
            <w:tcW w:type="dxa" w:w="3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Provision for losses on loans and other </w:t>
            </w:r>
          </w:p>
        </w:tc>
      </w:tr>
      <w:tr>
        <w:trPr>
          <w:trHeight w:hRule="exact" w:val="426"/>
        </w:trPr>
        <w:tc>
          <w:tcPr>
            <w:tcW w:type="dxa" w:w="2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Exposures</w:t>
            </w:r>
          </w:p>
        </w:tc>
        <w:tc>
          <w:tcPr>
            <w:tcW w:type="dxa" w:w="3147"/>
            <w:vMerge/>
            <w:tcBorders>
              <w:bottom w:sz="8.0" w:val="single" w:color="#000000"/>
            </w:tcBorders>
          </w:tcPr>
          <w:p/>
        </w:tc>
        <w:tc>
          <w:tcPr>
            <w:tcW w:type="dxa" w:w="3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5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exposures,  release (charge)</w:t>
            </w:r>
          </w:p>
        </w:tc>
      </w:tr>
    </w:tbl>
    <w:p>
      <w:pPr>
        <w:autoSpaceDN w:val="0"/>
        <w:autoSpaceDE w:val="0"/>
        <w:widowControl/>
        <w:spacing w:line="230" w:lineRule="exact" w:before="17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accumulated provision for losses on loan and other exposures as of September 30, 2024, was $5,752 million,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compared to $5,621 million as of June 30, 2024. The increase was primarily due to exchange rate fluctuations in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three months ended September 30, 2024.</w:t>
      </w:r>
    </w:p>
    <w:p>
      <w:pPr>
        <w:autoSpaceDN w:val="0"/>
        <w:autoSpaceDE w:val="0"/>
        <w:widowControl/>
        <w:spacing w:line="244" w:lineRule="exact" w:before="12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Loans to be written off under MDRI</w:t>
      </w:r>
    </w:p>
    <w:p>
      <w:pPr>
        <w:autoSpaceDN w:val="0"/>
        <w:autoSpaceDE w:val="0"/>
        <w:widowControl/>
        <w:spacing w:line="220" w:lineRule="exact" w:before="14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During the three months ended September 30, 2024, there were no loans written off under the MDRI.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fiscal year ended June 30, 2024, loans eligible for debt relief under the MDRI totaling $94 million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written off as a result of Somalia reaching the Completion Point under the HIPC debt relief initiative 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December 13, 2023. 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Guarantees Provided</w:t>
      </w:r>
    </w:p>
    <w:p>
      <w:pPr>
        <w:autoSpaceDN w:val="0"/>
        <w:autoSpaceDE w:val="0"/>
        <w:widowControl/>
        <w:spacing w:line="240" w:lineRule="exact" w:before="128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Guarantees of $2,918 million were outstanding as of September 30, 2024 ($2,787 million—June 30, 2024). This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amount includes $1,282 million relating to the PSW ($1,169 million—June 30, 2024). The outstanding guarantees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represents the maximum potential undiscounted future payments that IDA could be required to make under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guarantees, and are not included on the Condensed Balance Sheets. The guarantees issued by IDA have original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maturities ranging between 3 and 22 years and expire in decreasing amounts through 2044. 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liabilities related to IDA’s obligations under guarantees provided include the obligation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to stand ready of $140 million ($141 million—June 30, 2024), and the accumulated provision for guarantee losses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$219 million ($220 million—June 30, 2024). These have been included in Other liabilities on the Condensed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Balance Sheets.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months ended September 30, 2024 and September 30, 2023, no guarantees provided by IDA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sovereign or sub-sovereign borrowers were called.</w:t>
      </w:r>
    </w:p>
    <w:p>
      <w:pPr>
        <w:autoSpaceDN w:val="0"/>
        <w:autoSpaceDE w:val="0"/>
        <w:widowControl/>
        <w:spacing w:line="224" w:lineRule="exact" w:before="136" w:after="0"/>
        <w:ind w:left="1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months ended September 30, 2024, less than $1 million of IDA-PSW Blended Finance Facility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guarantees under the Small Loan Guarantee Program pursuant to the risk-sharing agreement between IDA and IFC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were called. (Nil — three months ended September 30, 2023).</w:t>
      </w:r>
    </w:p>
    <w:p>
      <w:pPr>
        <w:autoSpaceDN w:val="0"/>
        <w:autoSpaceDE w:val="0"/>
        <w:widowControl/>
        <w:spacing w:line="244" w:lineRule="exact" w:before="11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Concentration Risk 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Loan revenue comprises service charges, interest and commitment charges, net of waivers. For the three months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ended September 30, 2024, loan revenue of $83 million and $74 million from India and Pakistan, respectively, were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each in excess of 10% of total loan revenue. </w:t>
      </w:r>
    </w:p>
    <w:p>
      <w:pPr>
        <w:autoSpaceDN w:val="0"/>
        <w:autoSpaceDE w:val="0"/>
        <w:widowControl/>
        <w:spacing w:line="224" w:lineRule="exact" w:before="341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40     IDA Quarterly Financial Statements: September 30, 2024 (Unaudited)</w:t>
      </w:r>
    </w:p>
    <w:p>
      <w:pPr>
        <w:sectPr>
          <w:pgSz w:w="12240" w:h="15840"/>
          <w:pgMar w:top="716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presents IDA’s loans outstanding and associated loan revenue by geographic region:</w:t>
      </w:r>
    </w:p>
    <w:p>
      <w:pPr>
        <w:autoSpaceDN w:val="0"/>
        <w:autoSpaceDE w:val="0"/>
        <w:widowControl/>
        <w:spacing w:line="220" w:lineRule="exact" w:before="136" w:after="94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D5: Loan revenue and outstanding loan balances by geographic region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  <w:gridCol w:w="629"/>
      </w:tblGrid>
      <w:tr>
        <w:trPr>
          <w:trHeight w:hRule="exact" w:val="268"/>
        </w:trPr>
        <w:tc>
          <w:tcPr>
            <w:tcW w:type="dxa" w:w="3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millions of U.S. dollars</w:t>
            </w:r>
          </w:p>
        </w:tc>
        <w:tc>
          <w:tcPr>
            <w:tcW w:type="dxa" w:w="4850"/>
            <w:gridSpan w:val="1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 of and for the three months ended September 30,</w:t>
            </w:r>
          </w:p>
        </w:tc>
        <w:tc>
          <w:tcPr>
            <w:tcW w:type="dxa" w:w="11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3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1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240"/>
            <w:gridSpan w:val="11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  <w:tc>
          <w:tcPr>
            <w:tcW w:type="dxa" w:w="11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00"/>
        </w:trPr>
        <w:tc>
          <w:tcPr>
            <w:tcW w:type="dxa" w:w="3360"/>
            <w:vMerge w:val="restart"/>
            <w:tcBorders>
              <w:top w:sz="8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16" w:after="0"/>
              <w:ind w:left="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Region</w:t>
            </w:r>
          </w:p>
        </w:tc>
        <w:tc>
          <w:tcPr>
            <w:tcW w:type="dxa" w:w="4850"/>
            <w:gridSpan w:val="1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0" w:right="236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  <w:tc>
          <w:tcPr>
            <w:tcW w:type="dxa" w:w="11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0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Loans </w:t>
            </w:r>
          </w:p>
        </w:tc>
      </w:tr>
      <w:tr>
        <w:trPr>
          <w:trHeight w:hRule="exact" w:val="236"/>
        </w:trPr>
        <w:tc>
          <w:tcPr>
            <w:tcW w:type="dxa" w:w="629"/>
            <w:vMerge/>
            <w:tcBorders>
              <w:top w:sz="8.0" w:val="single" w:color="#000000"/>
              <w:bottom w:sz="4.0" w:val="single" w:color="#000000"/>
            </w:tcBorders>
          </w:tcPr>
          <w:p/>
        </w:tc>
        <w:tc>
          <w:tcPr>
            <w:tcW w:type="dxa" w:w="1610"/>
            <w:gridSpan w:val="2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1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322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18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  <w:tc>
          <w:tcPr>
            <w:tcW w:type="dxa" w:w="1918"/>
            <w:gridSpan w:val="7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6" w:after="0"/>
              <w:ind w:left="28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Loan Revenue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124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3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Outstanding</w:t>
            </w:r>
          </w:p>
        </w:tc>
      </w:tr>
      <w:tr>
        <w:trPr>
          <w:trHeight w:hRule="exact" w:val="224"/>
        </w:trPr>
        <w:tc>
          <w:tcPr>
            <w:tcW w:type="dxa" w:w="3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South Asia</w:t>
            </w:r>
          </w:p>
        </w:tc>
        <w:tc>
          <w:tcPr>
            <w:tcW w:type="dxa" w:w="51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240 </w:t>
            </w:r>
          </w:p>
        </w:tc>
        <w:tc>
          <w:tcPr>
            <w:tcW w:type="dxa" w:w="302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5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64,098 </w:t>
            </w:r>
          </w:p>
        </w:tc>
        <w:tc>
          <w:tcPr>
            <w:tcW w:type="dxa" w:w="716"/>
            <w:gridSpan w:val="5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2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225 </w:t>
            </w:r>
          </w:p>
        </w:tc>
        <w:tc>
          <w:tcPr>
            <w:tcW w:type="dxa" w:w="340"/>
            <w:gridSpan w:val="2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61,225 </w:t>
            </w:r>
          </w:p>
        </w:tc>
      </w:tr>
      <w:tr>
        <w:trPr>
          <w:trHeight w:hRule="exact" w:val="24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Eastern and Southern Africa</w:t>
            </w:r>
          </w:p>
        </w:tc>
        <w:tc>
          <w:tcPr>
            <w:tcW w:type="dxa" w:w="1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166 </w:t>
            </w:r>
          </w:p>
        </w:tc>
        <w:tc>
          <w:tcPr>
            <w:tcW w:type="dxa" w:w="16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61,821 </w:t>
            </w:r>
          </w:p>
        </w:tc>
        <w:tc>
          <w:tcPr>
            <w:tcW w:type="dxa" w:w="15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54,208 </w:t>
            </w:r>
          </w:p>
        </w:tc>
      </w:tr>
      <w:tr>
        <w:trPr>
          <w:trHeight w:hRule="exact" w:val="24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Western and Central Africa</w:t>
            </w:r>
          </w:p>
        </w:tc>
        <w:tc>
          <w:tcPr>
            <w:tcW w:type="dxa" w:w="1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168 </w:t>
            </w:r>
          </w:p>
        </w:tc>
        <w:tc>
          <w:tcPr>
            <w:tcW w:type="dxa" w:w="166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6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49,747 </w:t>
            </w:r>
          </w:p>
        </w:tc>
        <w:tc>
          <w:tcPr>
            <w:tcW w:type="dxa" w:w="157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137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41,829 </w:t>
            </w:r>
          </w:p>
        </w:tc>
      </w:tr>
      <w:tr>
        <w:trPr>
          <w:trHeight w:hRule="exact" w:val="24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East Asia and Pacific</w:t>
            </w:r>
          </w:p>
        </w:tc>
        <w:tc>
          <w:tcPr>
            <w:tcW w:type="dxa" w:w="1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 </w:t>
            </w:r>
          </w:p>
        </w:tc>
        <w:tc>
          <w:tcPr>
            <w:tcW w:type="dxa" w:w="170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18,359 </w:t>
            </w:r>
          </w:p>
        </w:tc>
        <w:tc>
          <w:tcPr>
            <w:tcW w:type="dxa" w:w="153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61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18,379 </w:t>
            </w:r>
          </w:p>
        </w:tc>
      </w:tr>
      <w:tr>
        <w:trPr>
          <w:trHeight w:hRule="exact" w:val="24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Europe and Central Asia</w:t>
            </w:r>
          </w:p>
        </w:tc>
        <w:tc>
          <w:tcPr>
            <w:tcW w:type="dxa" w:w="1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 </w:t>
            </w:r>
          </w:p>
        </w:tc>
        <w:tc>
          <w:tcPr>
            <w:tcW w:type="dxa" w:w="170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9,466 </w:t>
            </w:r>
          </w:p>
        </w:tc>
        <w:tc>
          <w:tcPr>
            <w:tcW w:type="dxa" w:w="153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8,882 </w:t>
            </w:r>
          </w:p>
        </w:tc>
      </w:tr>
      <w:tr>
        <w:trPr>
          <w:trHeight w:hRule="exact" w:val="24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Latin America and the Caribbean</w:t>
            </w:r>
          </w:p>
        </w:tc>
        <w:tc>
          <w:tcPr>
            <w:tcW w:type="dxa" w:w="1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 </w:t>
            </w:r>
          </w:p>
        </w:tc>
        <w:tc>
          <w:tcPr>
            <w:tcW w:type="dxa" w:w="170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3,774 </w:t>
            </w:r>
          </w:p>
        </w:tc>
        <w:tc>
          <w:tcPr>
            <w:tcW w:type="dxa" w:w="153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3,439 </w:t>
            </w:r>
          </w:p>
        </w:tc>
      </w:tr>
      <w:tr>
        <w:trPr>
          <w:trHeight w:hRule="exact" w:val="240"/>
        </w:trPr>
        <w:tc>
          <w:tcPr>
            <w:tcW w:type="dxa" w:w="3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Middle East and North Africa</w:t>
            </w:r>
          </w:p>
        </w:tc>
        <w:tc>
          <w:tcPr>
            <w:tcW w:type="dxa" w:w="16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75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2,039 </w:t>
            </w:r>
          </w:p>
        </w:tc>
        <w:tc>
          <w:tcPr>
            <w:tcW w:type="dxa" w:w="149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 </w:t>
            </w:r>
          </w:p>
        </w:tc>
        <w:tc>
          <w:tcPr>
            <w:tcW w:type="dxa" w:w="11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2,050 </w:t>
            </w:r>
          </w:p>
        </w:tc>
      </w:tr>
      <w:tr>
        <w:trPr>
          <w:trHeight w:hRule="exact" w:val="254"/>
        </w:trPr>
        <w:tc>
          <w:tcPr>
            <w:tcW w:type="dxa" w:w="33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61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  <w:tc>
          <w:tcPr>
            <w:tcW w:type="dxa" w:w="1750"/>
            <w:gridSpan w:val="7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271 </w:t>
            </w:r>
          </w:p>
        </w:tc>
        <w:tc>
          <w:tcPr>
            <w:tcW w:type="dxa" w:w="1490"/>
            <w:gridSpan w:val="4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1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8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113 </w:t>
            </w:r>
          </w:p>
        </w:tc>
      </w:tr>
      <w:tr>
        <w:trPr>
          <w:trHeight w:hRule="exact" w:val="220"/>
        </w:trPr>
        <w:tc>
          <w:tcPr>
            <w:tcW w:type="dxa" w:w="3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4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715 </w:t>
            </w:r>
          </w:p>
        </w:tc>
        <w:tc>
          <w:tcPr>
            <w:tcW w:type="dxa" w:w="25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209,575 </w:t>
            </w:r>
          </w:p>
        </w:tc>
        <w:tc>
          <w:tcPr>
            <w:tcW w:type="dxa" w:w="716"/>
            <w:gridSpan w:val="5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6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635 </w:t>
            </w:r>
          </w:p>
        </w:tc>
        <w:tc>
          <w:tcPr>
            <w:tcW w:type="dxa" w:w="2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190,125 </w:t>
            </w:r>
          </w:p>
        </w:tc>
      </w:tr>
    </w:tbl>
    <w:p>
      <w:pPr>
        <w:autoSpaceDN w:val="0"/>
        <w:autoSpaceDE w:val="0"/>
        <w:widowControl/>
        <w:spacing w:line="192" w:lineRule="exact" w:before="300" w:after="0"/>
        <w:ind w:left="242" w:right="144" w:hanging="18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Excludes $5 million of interest rate swap income from loan-related derivatives for the three months ended September 30, 2024 </w:t>
      </w:r>
      <w:r>
        <w:rPr>
          <w:rFonts w:ascii="Arial" w:hAnsi="Arial" w:eastAsia="Arial"/>
          <w:b w:val="0"/>
          <w:i/>
          <w:color w:val="000000"/>
          <w:sz w:val="16"/>
        </w:rPr>
        <w:t xml:space="preserve">($4 million of interest rate swap income - three months ended September 30, 2023). Includes net commitment charges of $6 </w:t>
      </w:r>
      <w:r>
        <w:rPr>
          <w:rFonts w:ascii="Arial" w:hAnsi="Arial" w:eastAsia="Arial"/>
          <w:b w:val="0"/>
          <w:i/>
          <w:color w:val="000000"/>
          <w:sz w:val="16"/>
        </w:rPr>
        <w:t>million for the three months ended September 30, 2024 ($7 million – three months ended September 30, 2023).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Represents loans under the PSW.</w:t>
      </w:r>
    </w:p>
    <w:p>
      <w:pPr>
        <w:autoSpaceDN w:val="0"/>
        <w:autoSpaceDE w:val="0"/>
        <w:widowControl/>
        <w:spacing w:line="224" w:lineRule="exact" w:before="33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E—BORROWINGS</w:t>
      </w:r>
    </w:p>
    <w:p>
      <w:pPr>
        <w:autoSpaceDN w:val="0"/>
        <w:autoSpaceDE w:val="0"/>
        <w:widowControl/>
        <w:spacing w:line="240" w:lineRule="exact" w:before="11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borrowings comprise market borrowings (carried at amortized cost or fair value) and concessional partner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loans made by IDA members (carried at amortized cost).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and June 30, 2024, the instruments in IDA’s borrowing portfolio measured at fair value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were classified as Level 2 within the fair value hierarchy. IDA elects fair value for market debt designated to fund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liquidity or variable rate loans. Market debt not meeting this fair value election criteria are reported at amortized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cost.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uses derivative contracts to manage the currency risk and the interest rate risk in the market borrowings carried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at fair value. For details regarding the derivatives used, see Note F—Derivative Instruments.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summary of IDA’s borrowings are as follows (for details on principal due upon maturity, see Note J—Fair Value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Disclosures):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E1: Market borrowings and borrowing-related derivatives, at fair value</w:t>
      </w:r>
    </w:p>
    <w:p>
      <w:pPr>
        <w:autoSpaceDN w:val="0"/>
        <w:autoSpaceDE w:val="0"/>
        <w:widowControl/>
        <w:spacing w:line="178" w:lineRule="exact" w:before="154" w:after="20"/>
        <w:ind w:left="15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26"/>
        </w:trPr>
        <w:tc>
          <w:tcPr>
            <w:tcW w:type="dxa" w:w="61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62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34"/>
        </w:trPr>
        <w:tc>
          <w:tcPr>
            <w:tcW w:type="dxa" w:w="61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</w:t>
            </w:r>
          </w:p>
        </w:tc>
        <w:tc>
          <w:tcPr>
            <w:tcW w:type="dxa" w:w="4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33,284 </w:t>
            </w:r>
          </w:p>
        </w:tc>
        <w:tc>
          <w:tcPr>
            <w:tcW w:type="dxa" w:w="24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</w:tr>
      <w:tr>
        <w:trPr>
          <w:trHeight w:hRule="exact" w:val="240"/>
        </w:trPr>
        <w:tc>
          <w:tcPr>
            <w:tcW w:type="dxa" w:w="6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swaps, net</w:t>
            </w:r>
          </w:p>
        </w:tc>
        <w:tc>
          <w:tcPr>
            <w:tcW w:type="dxa" w:w="162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289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488 </w:t>
            </w:r>
          </w:p>
        </w:tc>
      </w:tr>
      <w:tr>
        <w:trPr>
          <w:trHeight w:hRule="exact" w:val="246"/>
        </w:trPr>
        <w:tc>
          <w:tcPr>
            <w:tcW w:type="dxa" w:w="61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swaps, net</w:t>
            </w:r>
          </w:p>
        </w:tc>
        <w:tc>
          <w:tcPr>
            <w:tcW w:type="dxa" w:w="162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1,157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1,617 </w:t>
            </w:r>
          </w:p>
        </w:tc>
      </w:tr>
      <w:tr>
        <w:trPr>
          <w:trHeight w:hRule="exact" w:val="220"/>
        </w:trPr>
        <w:tc>
          <w:tcPr>
            <w:tcW w:type="dxa" w:w="61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4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34,730 </w:t>
            </w:r>
          </w:p>
        </w:tc>
        <w:tc>
          <w:tcPr>
            <w:tcW w:type="dxa" w:w="2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2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28,530 </w:t>
            </w:r>
          </w:p>
        </w:tc>
      </w:tr>
    </w:tbl>
    <w:p>
      <w:pPr>
        <w:autoSpaceDN w:val="0"/>
        <w:autoSpaceDE w:val="0"/>
        <w:widowControl/>
        <w:spacing w:line="240" w:lineRule="exact" w:before="47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three months ended September 30, 2024, Borrowing expenses, net in the Condensed Statements of Income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was $528 million ($339 million—three months ended September 30, 2023). This includes $226 million of interest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expense, net related to derivatives associated with the Borrowing portfolio (interest expense, net of $193 million—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three months ended September 30, 2023).</w:t>
      </w:r>
    </w:p>
    <w:p>
      <w:pPr>
        <w:autoSpaceDN w:val="0"/>
        <w:autoSpaceDE w:val="0"/>
        <w:widowControl/>
        <w:spacing w:line="224" w:lineRule="exact" w:before="2050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41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E2: Market borrowings outstanding, at amortized cost</w:t>
      </w:r>
    </w:p>
    <w:p>
      <w:pPr>
        <w:autoSpaceDN w:val="0"/>
        <w:autoSpaceDE w:val="0"/>
        <w:widowControl/>
        <w:spacing w:line="178" w:lineRule="exact" w:before="214" w:after="20"/>
        <w:ind w:left="15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0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 at face value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Net unamortized discount</w:t>
            </w:r>
          </w:p>
        </w:tc>
        <w:tc>
          <w:tcPr>
            <w:tcW w:type="dxa" w:w="3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3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30, 2024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0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12,030 </w:t>
            </w:r>
          </w:p>
        </w:tc>
        <w:tc>
          <w:tcPr>
            <w:tcW w:type="dxa" w:w="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3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12,012 </w:t>
            </w:r>
          </w:p>
        </w:tc>
      </w:tr>
      <w:tr>
        <w:trPr>
          <w:trHeight w:hRule="exact" w:val="480"/>
        </w:trPr>
        <w:tc>
          <w:tcPr>
            <w:tcW w:type="dxa" w:w="3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0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11,512 </w:t>
            </w:r>
          </w:p>
        </w:tc>
        <w:tc>
          <w:tcPr>
            <w:tcW w:type="dxa" w:w="2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(18) </w:t>
            </w:r>
          </w:p>
        </w:tc>
        <w:tc>
          <w:tcPr>
            <w:tcW w:type="dxa" w:w="3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11,494 </w:t>
            </w:r>
          </w:p>
        </w:tc>
      </w:tr>
    </w:tbl>
    <w:p>
      <w:pPr>
        <w:autoSpaceDN w:val="0"/>
        <w:autoSpaceDE w:val="0"/>
        <w:widowControl/>
        <w:spacing w:line="220" w:lineRule="exact" w:before="22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E3: Concessional partner loans outstanding, at amortized cost</w:t>
      </w:r>
    </w:p>
    <w:p>
      <w:pPr>
        <w:autoSpaceDN w:val="0"/>
        <w:autoSpaceDE w:val="0"/>
        <w:widowControl/>
        <w:spacing w:line="178" w:lineRule="exact" w:before="154" w:after="20"/>
        <w:ind w:left="15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40"/>
        </w:trPr>
        <w:tc>
          <w:tcPr>
            <w:tcW w:type="dxa" w:w="31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 at face value</w:t>
            </w:r>
          </w:p>
        </w:tc>
        <w:tc>
          <w:tcPr>
            <w:tcW w:type="dxa" w:w="2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Net unamortized discount</w:t>
            </w:r>
          </w:p>
        </w:tc>
        <w:tc>
          <w:tcPr>
            <w:tcW w:type="dxa" w:w="3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3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30, 2024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9,020 </w:t>
            </w:r>
          </w:p>
        </w:tc>
        <w:tc>
          <w:tcPr>
            <w:tcW w:type="dxa" w:w="2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(1,550) </w:t>
            </w:r>
          </w:p>
        </w:tc>
        <w:tc>
          <w:tcPr>
            <w:tcW w:type="dxa" w:w="3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7,470 </w:t>
            </w:r>
          </w:p>
        </w:tc>
      </w:tr>
      <w:tr>
        <w:trPr>
          <w:trHeight w:hRule="exact" w:val="480"/>
        </w:trPr>
        <w:tc>
          <w:tcPr>
            <w:tcW w:type="dxa" w:w="3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8,486 </w:t>
            </w:r>
          </w:p>
        </w:tc>
        <w:tc>
          <w:tcPr>
            <w:tcW w:type="dxa" w:w="2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21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(1,482) </w:t>
            </w:r>
          </w:p>
        </w:tc>
        <w:tc>
          <w:tcPr>
            <w:tcW w:type="dxa" w:w="3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7,004 </w:t>
            </w:r>
          </w:p>
        </w:tc>
      </w:tr>
    </w:tbl>
    <w:p>
      <w:pPr>
        <w:autoSpaceDN w:val="0"/>
        <w:autoSpaceDE w:val="0"/>
        <w:widowControl/>
        <w:spacing w:line="224" w:lineRule="exact" w:before="294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F—DERIVATIVE INSTRUMENTS</w:t>
      </w:r>
    </w:p>
    <w:p>
      <w:pPr>
        <w:autoSpaceDN w:val="0"/>
        <w:autoSpaceDE w:val="0"/>
        <w:widowControl/>
        <w:spacing w:line="240" w:lineRule="exact" w:before="11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uses derivative instruments in its investment, loan and borrowing portfolios, for asset/liability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purposes, and to assist clients in managing risks.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summarizes IDA’s use of derivatives in its various financial portfolios.</w:t>
      </w:r>
    </w:p>
    <w:p>
      <w:pPr>
        <w:autoSpaceDN w:val="0"/>
        <w:autoSpaceDE w:val="0"/>
        <w:widowControl/>
        <w:spacing w:line="220" w:lineRule="exact" w:before="136" w:after="112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F1: Use of derivatives in various financial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40"/>
        </w:trPr>
        <w:tc>
          <w:tcPr>
            <w:tcW w:type="dxa" w:w="15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Portfolio</w:t>
            </w:r>
          </w:p>
        </w:tc>
        <w:tc>
          <w:tcPr>
            <w:tcW w:type="dxa" w:w="3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Derivative instruments used</w:t>
            </w:r>
          </w:p>
        </w:tc>
        <w:tc>
          <w:tcPr>
            <w:tcW w:type="dxa" w:w="38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Purpose/Risk being managed</w:t>
            </w:r>
          </w:p>
        </w:tc>
      </w:tr>
    </w:tbl>
    <w:p>
      <w:pPr>
        <w:autoSpaceDN w:val="0"/>
        <w:autoSpaceDE w:val="0"/>
        <w:widowControl/>
        <w:spacing w:line="178" w:lineRule="exact" w:before="18" w:after="0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Risk management purposes:</w:t>
      </w:r>
    </w:p>
    <w:p>
      <w:pPr>
        <w:autoSpaceDN w:val="0"/>
        <w:autoSpaceDE w:val="0"/>
        <w:widowControl/>
        <w:spacing w:line="178" w:lineRule="exact" w:before="58" w:after="8"/>
        <w:ind w:left="234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Interest rate swaps, currency forward contracts,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47"/>
        <w:gridCol w:w="3147"/>
        <w:gridCol w:w="3147"/>
      </w:tblGrid>
      <w:tr>
        <w:trPr>
          <w:trHeight w:hRule="exact" w:val="190"/>
        </w:trPr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Investments—Trading</w:t>
            </w:r>
          </w:p>
        </w:tc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swaps, options, swaptions, futures 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currency and interest rate risks</w:t>
            </w:r>
          </w:p>
        </w:tc>
      </w:tr>
    </w:tbl>
    <w:p>
      <w:pPr>
        <w:autoSpaceDN w:val="0"/>
        <w:autoSpaceDE w:val="0"/>
        <w:widowControl/>
        <w:spacing w:line="178" w:lineRule="exact" w:before="8" w:after="30"/>
        <w:ind w:left="0" w:right="4934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16"/>
        </w:rPr>
        <w:t>contracts, and TBA securities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3147"/>
        <w:gridCol w:w="3147"/>
        <w:gridCol w:w="3147"/>
      </w:tblGrid>
      <w:tr>
        <w:trPr>
          <w:trHeight w:hRule="exact" w:val="204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assets/liabilities 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forward contracts, currency swaps and </w:t>
            </w:r>
          </w:p>
        </w:tc>
        <w:tc>
          <w:tcPr>
            <w:tcW w:type="dxa" w:w="32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currency and interest rate risks</w:t>
            </w:r>
          </w:p>
        </w:tc>
      </w:tr>
      <w:tr>
        <w:trPr>
          <w:trHeight w:hRule="exact" w:val="22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management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3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3147"/>
            <w:vMerge/>
            <w:tcBorders/>
          </w:tcPr>
          <w:p/>
        </w:tc>
      </w:tr>
      <w:tr>
        <w:trPr>
          <w:trHeight w:hRule="exact" w:val="280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Loans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0" w:after="0"/>
              <w:ind w:left="1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interest rate risk</w:t>
            </w:r>
          </w:p>
        </w:tc>
      </w:tr>
      <w:tr>
        <w:trPr>
          <w:trHeight w:hRule="exact" w:val="252"/>
        </w:trPr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12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25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 and currency swaps</w:t>
            </w:r>
          </w:p>
        </w:tc>
        <w:tc>
          <w:tcPr>
            <w:tcW w:type="dxa" w:w="3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Manage currency and interest rate risks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30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Other purposes: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362"/>
        </w:trPr>
        <w:tc>
          <w:tcPr>
            <w:tcW w:type="dxa" w:w="1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Client operations</w:t>
            </w:r>
          </w:p>
        </w:tc>
        <w:tc>
          <w:tcPr>
            <w:tcW w:type="dxa" w:w="37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 and currency swaps</w:t>
            </w:r>
          </w:p>
        </w:tc>
        <w:tc>
          <w:tcPr>
            <w:tcW w:type="dxa" w:w="3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4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Assist clients in managing risks</w:t>
            </w:r>
          </w:p>
        </w:tc>
      </w:tr>
    </w:tbl>
    <w:p>
      <w:pPr>
        <w:autoSpaceDN w:val="0"/>
        <w:autoSpaceDE w:val="0"/>
        <w:widowControl/>
        <w:spacing w:line="240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derivatives in the related tables of Note F are presented on a net basis by instrument. A reconciliation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Condensed Balance Sheet presentation is shown in Table F2.</w:t>
      </w:r>
    </w:p>
    <w:p>
      <w:pPr>
        <w:autoSpaceDN w:val="0"/>
        <w:autoSpaceDE w:val="0"/>
        <w:widowControl/>
        <w:spacing w:line="244" w:lineRule="exact" w:before="13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Offsetting assets and liabilities</w:t>
      </w:r>
    </w:p>
    <w:p>
      <w:pPr>
        <w:autoSpaceDN w:val="0"/>
        <w:autoSpaceDE w:val="0"/>
        <w:widowControl/>
        <w:spacing w:line="240" w:lineRule="exact" w:before="128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enters into International Swaps and Derivatives Association, Inc. (ISDA) master netting agreements with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substantially all of its derivative counterparties. These legally enforceable master netting agreements give IDA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right to liquidate securities held as collateral and to offset receivables and payables with the same counterparty,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event of default by the counterparty. </w:t>
      </w:r>
    </w:p>
    <w:p>
      <w:pPr>
        <w:autoSpaceDN w:val="0"/>
        <w:autoSpaceDE w:val="0"/>
        <w:widowControl/>
        <w:spacing w:line="240" w:lineRule="exact" w:before="60" w:after="0"/>
        <w:ind w:left="1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summarize the gross and net derivative positions by instrument type. Instruments that are in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net asset position are included in the Derivative Assets columns and instruments that are in a net liability position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are included in the Derivative Liabilities columns. The effects of the master netting agreements are applied on 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aggregate basis to the total derivative asset and liability positions and are presented net of any cash collateral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received on the Condensed Balance Sheets. The net derivative asset positions in the tables below have been further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reduced by any securities received as collateral to disclose IDA’s net exposure on its derivative asset positions. </w:t>
      </w:r>
    </w:p>
    <w:p>
      <w:pPr>
        <w:autoSpaceDN w:val="0"/>
        <w:autoSpaceDE w:val="0"/>
        <w:widowControl/>
        <w:spacing w:line="224" w:lineRule="exact" w:before="207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42     IDA Quarterly Financial Statements: September 30, 2024 (Unaudited)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F2: Derivative assets and liabilities before and after netting adjustments</w:t>
      </w:r>
    </w:p>
    <w:p>
      <w:pPr>
        <w:autoSpaceDN w:val="0"/>
        <w:autoSpaceDE w:val="0"/>
        <w:widowControl/>
        <w:spacing w:line="178" w:lineRule="exact" w:before="9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40"/>
        </w:trPr>
        <w:tc>
          <w:tcPr>
            <w:tcW w:type="dxa" w:w="4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34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2176"/>
            <w:gridSpan w:val="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3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20"/>
        </w:trPr>
        <w:tc>
          <w:tcPr>
            <w:tcW w:type="dxa" w:w="49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3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104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3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09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  <w:tc>
          <w:tcPr>
            <w:tcW w:type="dxa" w:w="108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4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Derivative </w:t>
            </w:r>
          </w:p>
        </w:tc>
      </w:tr>
      <w:tr>
        <w:trPr>
          <w:trHeight w:hRule="exact" w:val="214"/>
        </w:trPr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10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6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  <w:tc>
          <w:tcPr>
            <w:tcW w:type="dxa" w:w="109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2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Assets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Liabilities</w:t>
            </w:r>
          </w:p>
        </w:tc>
      </w:tr>
      <w:tr>
        <w:trPr>
          <w:trHeight w:hRule="exact" w:val="226"/>
        </w:trPr>
        <w:tc>
          <w:tcPr>
            <w:tcW w:type="dxa" w:w="49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2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2,309 </w:t>
            </w:r>
          </w:p>
        </w:tc>
        <w:tc>
          <w:tcPr>
            <w:tcW w:type="dxa" w:w="35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1,430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2,250 </w:t>
            </w:r>
          </w:p>
        </w:tc>
        <w:tc>
          <w:tcPr>
            <w:tcW w:type="dxa" w:w="332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8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1,694 </w:t>
            </w:r>
          </w:p>
        </w:tc>
      </w:tr>
      <w:tr>
        <w:trPr>
          <w:trHeight w:hRule="exact" w:val="240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432 </w:t>
            </w:r>
          </w:p>
        </w:tc>
        <w:tc>
          <w:tcPr>
            <w:tcW w:type="dxa" w:w="11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741 </w:t>
            </w:r>
          </w:p>
        </w:tc>
        <w:tc>
          <w:tcPr>
            <w:tcW w:type="dxa" w:w="109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  <w:tc>
          <w:tcPr>
            <w:tcW w:type="dxa" w:w="10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665 </w:t>
            </w:r>
          </w:p>
        </w:tc>
      </w:tr>
      <w:tr>
        <w:trPr>
          <w:trHeight w:hRule="exact" w:val="254"/>
        </w:trPr>
        <w:tc>
          <w:tcPr>
            <w:tcW w:type="dxa" w:w="4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103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104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9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0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08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40"/>
        </w:trPr>
        <w:tc>
          <w:tcPr>
            <w:tcW w:type="dxa" w:w="4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Gross Total</w:t>
            </w:r>
          </w:p>
        </w:tc>
        <w:tc>
          <w:tcPr>
            <w:tcW w:type="dxa" w:w="2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2,744 </w:t>
            </w:r>
          </w:p>
        </w:tc>
        <w:tc>
          <w:tcPr>
            <w:tcW w:type="dxa" w:w="35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2,171 </w:t>
            </w:r>
          </w:p>
        </w:tc>
        <w:tc>
          <w:tcPr>
            <w:tcW w:type="dxa" w:w="35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3,020 </w:t>
            </w:r>
          </w:p>
        </w:tc>
        <w:tc>
          <w:tcPr>
            <w:tcW w:type="dxa" w:w="33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8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2,359 </w:t>
            </w:r>
          </w:p>
        </w:tc>
      </w:tr>
    </w:tbl>
    <w:p>
      <w:pPr>
        <w:autoSpaceDN w:val="0"/>
        <w:autoSpaceDE w:val="0"/>
        <w:widowControl/>
        <w:spacing w:line="180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0.0" w:type="dxa"/>
      </w:tblPr>
      <w:tblGrid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  <w:gridCol w:w="944"/>
      </w:tblGrid>
      <w:tr>
        <w:trPr>
          <w:trHeight w:hRule="exact" w:val="202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</w:t>
            </w:r>
          </w:p>
        </w:tc>
        <w:tc>
          <w:tcPr>
            <w:tcW w:type="dxa" w:w="2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1,538 </w:t>
            </w:r>
          </w:p>
        </w:tc>
        <w:tc>
          <w:tcPr>
            <w:tcW w:type="dxa" w:w="3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10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1,467 </w:t>
            </w:r>
          </w:p>
        </w:tc>
        <w:tc>
          <w:tcPr>
            <w:tcW w:type="dxa" w:w="3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1,764 </w:t>
            </w:r>
          </w:p>
        </w:tc>
        <w:tc>
          <w:tcPr>
            <w:tcW w:type="dxa" w:w="3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2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4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1,692 </w:t>
            </w:r>
          </w:p>
        </w:tc>
        <w:tc>
          <w:tcPr>
            <w:tcW w:type="dxa" w:w="1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16" w:lineRule="exact" w:before="202" w:after="0"/>
              <w:ind w:left="0" w:right="0" w:firstLine="0"/>
              <w:jc w:val="center"/>
            </w:pP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</w:tr>
      <w:tr>
        <w:trPr>
          <w:trHeight w:hRule="exact" w:val="220"/>
        </w:trPr>
        <w:tc>
          <w:tcPr>
            <w:tcW w:type="dxa" w:w="48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agreements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/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50"/>
        </w:trPr>
        <w:tc>
          <w:tcPr>
            <w:tcW w:type="dxa" w:w="48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Cash collateral received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7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807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75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  <w:tc>
          <w:tcPr>
            <w:tcW w:type="dxa" w:w="94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31"/>
        </w:trPr>
        <w:tc>
          <w:tcPr>
            <w:tcW w:type="dxa" w:w="48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derivative positions on the Condensed Balance Sheet</w:t>
            </w:r>
          </w:p>
        </w:tc>
        <w:tc>
          <w:tcPr>
            <w:tcW w:type="dxa" w:w="2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399 </w:t>
            </w:r>
          </w:p>
        </w:tc>
        <w:tc>
          <w:tcPr>
            <w:tcW w:type="dxa" w:w="3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704 </w:t>
            </w:r>
          </w:p>
        </w:tc>
        <w:tc>
          <w:tcPr>
            <w:tcW w:type="dxa" w:w="3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  <w:tc>
          <w:tcPr>
            <w:tcW w:type="dxa" w:w="3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  <w:tc>
          <w:tcPr>
            <w:tcW w:type="dxa" w:w="1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78" w:lineRule="exact" w:before="4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38"/>
        </w:trPr>
        <w:tc>
          <w:tcPr>
            <w:tcW w:type="dxa" w:w="49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 Securities collateral received </w:t>
            </w:r>
          </w:p>
        </w:tc>
        <w:tc>
          <w:tcPr>
            <w:tcW w:type="dxa" w:w="3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114 </w:t>
            </w:r>
          </w:p>
        </w:tc>
        <w:tc>
          <w:tcPr>
            <w:tcW w:type="dxa" w:w="15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20"/>
        </w:trPr>
        <w:tc>
          <w:tcPr>
            <w:tcW w:type="dxa" w:w="4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Net derivative exposure after collateral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285 </w:t>
            </w:r>
          </w:p>
        </w:tc>
        <w:tc>
          <w:tcPr>
            <w:tcW w:type="dxa" w:w="15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</w:tr>
    </w:tbl>
    <w:p>
      <w:pPr>
        <w:autoSpaceDN w:val="0"/>
        <w:autoSpaceDE w:val="0"/>
        <w:widowControl/>
        <w:spacing w:line="180" w:lineRule="exact" w:before="156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Includes currency forward contracts.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b. These include swaptions, exchange traded options, futures contracts and TBA securities.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c. Includes $91 million Credit Valuation Adjustment (CVA) ($92 million-June 30, 2024).</w:t>
      </w:r>
    </w:p>
    <w:p>
      <w:pPr>
        <w:autoSpaceDN w:val="0"/>
        <w:autoSpaceDE w:val="0"/>
        <w:widowControl/>
        <w:spacing w:line="180" w:lineRule="exact" w:before="60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Includes $20 million Debit Valuation Adjustment (DVA) ($20 million-June 30, 2024).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information about the credit risk exposures at fair value, at the instrument level,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IDA’s derivative instruments. 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F3: Credit risk exposure of the derivative instruments</w:t>
      </w:r>
    </w:p>
    <w:p>
      <w:pPr>
        <w:autoSpaceDN w:val="0"/>
        <w:tabs>
          <w:tab w:pos="6104" w:val="left"/>
          <w:tab w:pos="6300" w:val="left"/>
        </w:tabs>
        <w:autoSpaceDE w:val="0"/>
        <w:widowControl/>
        <w:spacing w:line="244" w:lineRule="exact" w:before="90" w:after="8"/>
        <w:ind w:left="62" w:right="187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September 30, 2024 </w:t>
      </w:r>
      <w:r>
        <w:tab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Currency swaps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0.0" w:type="dxa"/>
      </w:tblPr>
      <w:tblGrid>
        <w:gridCol w:w="3146"/>
        <w:gridCol w:w="3146"/>
        <w:gridCol w:w="3146"/>
      </w:tblGrid>
      <w:tr>
        <w:trPr>
          <w:trHeight w:hRule="exact" w:val="190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9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(including currency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78" w:lineRule="exact" w:before="8" w:after="34"/>
        <w:ind w:left="0" w:right="192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forward contracts)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40"/>
        </w:trPr>
        <w:tc>
          <w:tcPr>
            <w:tcW w:type="dxa" w:w="43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 - Trading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7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</w:tr>
      <w:tr>
        <w:trPr>
          <w:trHeight w:hRule="exact" w:val="240"/>
        </w:trPr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Asset/liability management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1,958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383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2,341 </w:t>
            </w:r>
          </w:p>
        </w:tc>
      </w:tr>
      <w:tr>
        <w:trPr>
          <w:trHeight w:hRule="exact" w:val="220"/>
        </w:trPr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264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37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301 </w:t>
            </w:r>
          </w:p>
        </w:tc>
      </w:tr>
      <w:tr>
        <w:trPr>
          <w:trHeight w:hRule="exact" w:val="260"/>
        </w:trPr>
        <w:tc>
          <w:tcPr>
            <w:tcW w:type="dxa" w:w="43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86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87 </w:t>
            </w:r>
          </w:p>
        </w:tc>
      </w:tr>
      <w:tr>
        <w:trPr>
          <w:trHeight w:hRule="exact" w:val="220"/>
        </w:trPr>
        <w:tc>
          <w:tcPr>
            <w:tcW w:type="dxa" w:w="43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2,309 </w:t>
            </w:r>
          </w:p>
        </w:tc>
        <w:tc>
          <w:tcPr>
            <w:tcW w:type="dxa" w:w="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432 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2,741 </w:t>
            </w:r>
          </w:p>
        </w:tc>
      </w:tr>
    </w:tbl>
    <w:p>
      <w:pPr>
        <w:autoSpaceDN w:val="0"/>
        <w:tabs>
          <w:tab w:pos="6300" w:val="left"/>
          <w:tab w:pos="6322" w:val="left"/>
        </w:tabs>
        <w:autoSpaceDE w:val="0"/>
        <w:widowControl/>
        <w:spacing w:line="242" w:lineRule="exact" w:before="488" w:after="6"/>
        <w:ind w:left="62" w:right="1872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Table F3.1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June 30, 2024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Currency swaps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10.0" w:type="dxa"/>
      </w:tblPr>
      <w:tblGrid>
        <w:gridCol w:w="3146"/>
        <w:gridCol w:w="3146"/>
        <w:gridCol w:w="3146"/>
      </w:tblGrid>
      <w:tr>
        <w:trPr>
          <w:trHeight w:hRule="exact" w:val="192"/>
        </w:trPr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9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Interest rate swaps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1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(including currency 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autoSpaceDE w:val="0"/>
        <w:widowControl/>
        <w:spacing w:line="180" w:lineRule="exact" w:before="6" w:after="32"/>
        <w:ind w:left="0" w:right="1926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forward contracts)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26"/>
        </w:trPr>
        <w:tc>
          <w:tcPr>
            <w:tcW w:type="dxa" w:w="43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 - Trading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7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232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234 </w:t>
            </w:r>
          </w:p>
        </w:tc>
      </w:tr>
      <w:tr>
        <w:trPr>
          <w:trHeight w:hRule="exact" w:val="240"/>
        </w:trPr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Asset/liability management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2,063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519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2,582 </w:t>
            </w:r>
          </w:p>
        </w:tc>
      </w:tr>
      <w:tr>
        <w:trPr>
          <w:trHeight w:hRule="exact" w:val="240"/>
        </w:trPr>
        <w:tc>
          <w:tcPr>
            <w:tcW w:type="dxa" w:w="4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Borrowings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 </w:t>
            </w:r>
          </w:p>
        </w:tc>
      </w:tr>
      <w:tr>
        <w:trPr>
          <w:trHeight w:hRule="exact" w:val="254"/>
        </w:trPr>
        <w:tc>
          <w:tcPr>
            <w:tcW w:type="dxa" w:w="43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2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 </w:t>
            </w:r>
          </w:p>
        </w:tc>
        <w:tc>
          <w:tcPr>
            <w:tcW w:type="dxa" w:w="134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1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49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112 </w:t>
            </w:r>
          </w:p>
        </w:tc>
      </w:tr>
      <w:tr>
        <w:trPr>
          <w:trHeight w:hRule="exact" w:val="220"/>
        </w:trPr>
        <w:tc>
          <w:tcPr>
            <w:tcW w:type="dxa" w:w="43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5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 Exposure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5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2,250 </w:t>
            </w:r>
          </w:p>
        </w:tc>
        <w:tc>
          <w:tcPr>
            <w:tcW w:type="dxa" w:w="7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3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2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  <w:tc>
          <w:tcPr>
            <w:tcW w:type="dxa" w:w="5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2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3,017 </w:t>
            </w:r>
          </w:p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34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derivatives related to loans and PSW, and excludes exchange traded instruments as they are generally subject to daily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margin requirements and are deemed to have no material credit risk.</w:t>
      </w:r>
    </w:p>
    <w:p>
      <w:pPr>
        <w:autoSpaceDN w:val="0"/>
        <w:autoSpaceDE w:val="0"/>
        <w:widowControl/>
        <w:spacing w:line="224" w:lineRule="exact" w:before="1406" w:after="0"/>
        <w:ind w:left="0" w:right="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43</w:t>
      </w:r>
    </w:p>
    <w:p>
      <w:pPr>
        <w:sectPr>
          <w:pgSz w:w="12240" w:h="15840"/>
          <w:pgMar w:top="700" w:right="1372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6" w:lineRule="exact" w:before="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volume of derivative contracts is measured using the U.S. dollar equivalent notional balance. The notional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balance represents the face value or reference value on which the calculations of payments on the derivative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instrument are determined. As of September 30, 2024, the notional amounts of IDA's derivative contracts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outstanding were as follows: interest rate swaps $44,695 million ($39,153 million— June 30, 2024) and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swaps $23,825 million ($22,792 million as of June 30, 2024), long positions of other derivatives $627 million ($566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million— June 30, 2024) and short positions of other derivatives $72 million ($74 million— June 30, 2024).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Collateral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is not required to post collateral under its derivative agreements as long as it maintains a triple-A credit rating.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aggregate fair value of all derivative instruments with credit-risk related contingent features that are in a liability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position as of September 30, 2024, is $628 million ($593 million —June 30, 2024). As of September 30, 2024, IDA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was not required to post any collateral in accordance with the relevant agreements.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If the credit-risk related contingent features underlying these agreements were triggered to the extent that IDA would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 required to post collateral as of September 30, 2024, the amount of collateral that would need to be posted would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 $4 million ($30 million—June 30, 2024). Subsequent triggers of contingent features would require posting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additional collateral, up to a maximum of $628 million as of September 30, 2024 ($593 million—June 30, 2024).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gains or losses on the non-trading derivatives, by instrument type and their location in the Condensed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Statements of Income are as follows: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F4: Unrealized mark-to-market gains or losses on non-trading derivatives</w:t>
      </w:r>
    </w:p>
    <w:p>
      <w:pPr>
        <w:autoSpaceDN w:val="0"/>
        <w:autoSpaceDE w:val="0"/>
        <w:widowControl/>
        <w:spacing w:line="178" w:lineRule="exact" w:before="1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92" w:lineRule="exact" w:before="52" w:after="18"/>
        <w:ind w:left="7344" w:right="432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Three Months Ended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September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40"/>
        </w:trPr>
        <w:tc>
          <w:tcPr>
            <w:tcW w:type="dxa" w:w="36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Type of instrument</w:t>
            </w:r>
          </w:p>
        </w:tc>
        <w:tc>
          <w:tcPr>
            <w:tcW w:type="dxa" w:w="3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</w:t>
            </w:r>
          </w:p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12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566"/>
        </w:trPr>
        <w:tc>
          <w:tcPr>
            <w:tcW w:type="dxa" w:w="360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32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78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Unrealized mark-to-market gains on non-</w:t>
            </w:r>
          </w:p>
        </w:tc>
        <w:tc>
          <w:tcPr>
            <w:tcW w:type="dxa" w:w="3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421 </w:t>
            </w:r>
          </w:p>
        </w:tc>
        <w:tc>
          <w:tcPr>
            <w:tcW w:type="dxa" w:w="35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38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668 </w:t>
            </w:r>
          </w:p>
        </w:tc>
      </w:tr>
      <w:tr>
        <w:trPr>
          <w:trHeight w:hRule="exact" w:val="230"/>
        </w:trPr>
        <w:tc>
          <w:tcPr>
            <w:tcW w:type="dxa" w:w="360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currency forward contracts</w:t>
            </w:r>
          </w:p>
        </w:tc>
        <w:tc>
          <w:tcPr>
            <w:tcW w:type="dxa" w:w="32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trading portfolios, net</w:t>
            </w:r>
          </w:p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103 </w:t>
            </w:r>
          </w:p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 </w:t>
            </w:r>
          </w:p>
        </w:tc>
      </w:tr>
      <w:tr>
        <w:trPr>
          <w:trHeight w:hRule="exact" w:val="220"/>
        </w:trPr>
        <w:tc>
          <w:tcPr>
            <w:tcW w:type="dxa" w:w="36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524 </w:t>
            </w:r>
          </w:p>
        </w:tc>
        <w:tc>
          <w:tcPr>
            <w:tcW w:type="dxa" w:w="3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681 </w:t>
            </w:r>
          </w:p>
        </w:tc>
      </w:tr>
    </w:tbl>
    <w:p>
      <w:pPr>
        <w:autoSpaceDN w:val="0"/>
        <w:autoSpaceDE w:val="0"/>
        <w:widowControl/>
        <w:spacing w:line="240" w:lineRule="exact" w:before="352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majority of the instruments in IDA’s investment portfolio are held for trading purposes. Within the trading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portfolio, IDA holds highly rated fixed income instruments as well as derivatives. The trading portfolio is primarily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held to ensure the availability of funds to meet future cash flow requirements and for liquidity management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purposes.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 provides information on the amount of gains or losses on IDA’s investment trading portfolio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(derivative and non-derivative instruments), and their location on the Condensed Statements of Income: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F5: Unrealized mark-to-market gains or losses on investment trading portfolio</w:t>
      </w:r>
    </w:p>
    <w:p>
      <w:pPr>
        <w:autoSpaceDN w:val="0"/>
        <w:autoSpaceDE w:val="0"/>
        <w:widowControl/>
        <w:spacing w:line="178" w:lineRule="exact" w:before="1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92" w:lineRule="exact" w:before="52" w:after="20"/>
        <w:ind w:left="7344" w:right="432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Three Months Ended </w:t>
      </w:r>
      <w:r>
        <w:br/>
      </w:r>
      <w:r>
        <w:rPr>
          <w:rFonts w:ascii="Arial" w:hAnsi="Arial" w:eastAsia="Arial"/>
          <w:b w:val="0"/>
          <w:i/>
          <w:color w:val="000000"/>
          <w:sz w:val="16"/>
        </w:rPr>
        <w:t>September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240"/>
        </w:trPr>
        <w:tc>
          <w:tcPr>
            <w:tcW w:type="dxa" w:w="360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Type of instrument </w:t>
            </w:r>
          </w:p>
        </w:tc>
        <w:tc>
          <w:tcPr>
            <w:tcW w:type="dxa" w:w="32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Reported as</w:t>
            </w:r>
          </w:p>
        </w:tc>
        <w:tc>
          <w:tcPr>
            <w:tcW w:type="dxa" w:w="2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2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3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14"/>
        </w:trPr>
        <w:tc>
          <w:tcPr>
            <w:tcW w:type="dxa" w:w="360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94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Fixed income (including related derivatives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)</w:t>
            </w:r>
          </w:p>
        </w:tc>
        <w:tc>
          <w:tcPr>
            <w:tcW w:type="dxa" w:w="329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Unrealized mark-to-market gains on </w:t>
            </w:r>
          </w:p>
        </w:tc>
        <w:tc>
          <w:tcPr>
            <w:tcW w:type="dxa" w:w="2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8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170 </w:t>
            </w:r>
          </w:p>
        </w:tc>
        <w:tc>
          <w:tcPr>
            <w:tcW w:type="dxa" w:w="33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16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</w:tr>
      <w:tr>
        <w:trPr>
          <w:trHeight w:hRule="exact" w:val="200"/>
        </w:trPr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329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2" w:after="0"/>
              <w:ind w:left="19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Investment-Trading portfolios, net</w:t>
            </w:r>
          </w:p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78" w:lineRule="exact" w:before="262" w:after="0"/>
        <w:ind w:left="10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Includes unrealized mark-to-market gains/losses from IDA's share of PEBP and PCRF holdings. </w:t>
      </w:r>
    </w:p>
    <w:p>
      <w:pPr>
        <w:autoSpaceDN w:val="0"/>
        <w:autoSpaceDE w:val="0"/>
        <w:widowControl/>
        <w:spacing w:line="224" w:lineRule="exact" w:before="254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44     IDA Quarterly Financial Statements: September 30, 2024 (Unaudited)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312" w:lineRule="exact" w:before="0" w:after="22"/>
        <w:ind w:left="10" w:right="5328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 xml:space="preserve">NOTE G—DEVELOPMENT GRANTS </w:t>
      </w:r>
      <w:r>
        <w:br/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 summary of grant activities is presented below: </w:t>
      </w:r>
      <w:r>
        <w:br/>
      </w:r>
      <w:r>
        <w:rPr>
          <w:rFonts w:ascii="TimesNewRoman" w:hAnsi="TimesNewRoman" w:eastAsia="TimesNewRoman"/>
          <w:b/>
          <w:i w:val="0"/>
          <w:color w:val="000000"/>
          <w:sz w:val="20"/>
        </w:rPr>
        <w:t>Table G1: Grant activities</w:t>
      </w:r>
    </w:p>
    <w:p>
      <w:pPr>
        <w:sectPr>
          <w:pgSz w:w="12240" w:h="15840"/>
          <w:pgMar w:top="702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p>
      <w:pPr>
        <w:sectPr>
          <w:type w:val="continuous"/>
          <w:pgSz w:w="12240" w:h="15840"/>
          <w:pgMar w:top="702" w:right="1370" w:bottom="270" w:left="1430" w:header="720" w:footer="720" w:gutter="0"/>
          <w:cols w:num="2" w:equalWidth="0">
            <w:col w:w="6040" w:space="0"/>
            <w:col w:w="3400" w:space="0"/>
          </w:cols>
          <w:docGrid w:linePitch="360"/>
        </w:sectPr>
      </w:pPr>
    </w:p>
    <w:p>
      <w:pPr>
        <w:autoSpaceDN w:val="0"/>
        <w:autoSpaceDE w:val="0"/>
        <w:widowControl/>
        <w:spacing w:line="178" w:lineRule="exact" w:before="0" w:after="20"/>
        <w:ind w:left="0" w:right="0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>Three Months Ended September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0.0" w:type="dxa"/>
      </w:tblPr>
      <w:tblGrid>
        <w:gridCol w:w="4720"/>
        <w:gridCol w:w="4720"/>
      </w:tblGrid>
      <w:tr>
        <w:trPr>
          <w:trHeight w:hRule="exact" w:val="220"/>
        </w:trPr>
        <w:tc>
          <w:tcPr>
            <w:tcW w:type="dxa" w:w="16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1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</w:tbl>
    <w:p>
      <w:pPr>
        <w:autoSpaceDN w:val="0"/>
        <w:autoSpaceDE w:val="0"/>
        <w:widowControl/>
        <w:spacing w:line="14" w:lineRule="exact" w:before="0" w:after="22"/>
        <w:ind w:left="0" w:right="0"/>
      </w:pPr>
    </w:p>
    <w:p>
      <w:pPr>
        <w:sectPr>
          <w:type w:val="nextColumn"/>
          <w:pgSz w:w="12240" w:h="15840"/>
          <w:pgMar w:top="702" w:right="1370" w:bottom="270" w:left="1430" w:header="720" w:footer="720" w:gutter="0"/>
          <w:cols w:num="2" w:equalWidth="0">
            <w:col w:w="6040" w:space="0"/>
            <w:col w:w="3400" w:space="0"/>
          </w:cols>
          <w:docGrid w:linePitch="360"/>
        </w:sectPr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08"/>
        </w:trPr>
        <w:tc>
          <w:tcPr>
            <w:tcW w:type="dxa" w:w="3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Grants approved</w:t>
            </w:r>
          </w:p>
        </w:tc>
        <w:tc>
          <w:tcPr>
            <w:tcW w:type="dxa" w:w="2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2,432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2,144 </w:t>
            </w:r>
          </w:p>
        </w:tc>
      </w:tr>
      <w:tr>
        <w:trPr>
          <w:trHeight w:hRule="exact" w:val="242"/>
        </w:trPr>
        <w:tc>
          <w:tcPr>
            <w:tcW w:type="dxa" w:w="3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Grant disbursements</w:t>
            </w:r>
          </w:p>
        </w:tc>
        <w:tc>
          <w:tcPr>
            <w:tcW w:type="dxa" w:w="24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2" w:after="0"/>
              <w:ind w:left="0" w:right="1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2,374 </w:t>
            </w:r>
          </w:p>
        </w:tc>
        <w:tc>
          <w:tcPr>
            <w:tcW w:type="dxa" w:w="6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75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1,267 </w:t>
            </w:r>
          </w:p>
        </w:tc>
      </w:tr>
      <w:tr>
        <w:trPr>
          <w:trHeight w:hRule="exact" w:val="240"/>
        </w:trPr>
        <w:tc>
          <w:tcPr>
            <w:tcW w:type="dxa" w:w="3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Unconditional grants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9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149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235 </w:t>
            </w:r>
          </w:p>
        </w:tc>
      </w:tr>
      <w:tr>
        <w:trPr>
          <w:trHeight w:hRule="exact" w:val="240"/>
        </w:trPr>
        <w:tc>
          <w:tcPr>
            <w:tcW w:type="dxa" w:w="39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Conditional grants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2,225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1,032 </w:t>
            </w:r>
          </w:p>
        </w:tc>
      </w:tr>
      <w:tr>
        <w:trPr>
          <w:trHeight w:hRule="exact" w:val="238"/>
        </w:trPr>
        <w:tc>
          <w:tcPr>
            <w:tcW w:type="dxa" w:w="39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Grant expenses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0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5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1,932 </w:t>
            </w:r>
          </w:p>
        </w:tc>
        <w:tc>
          <w:tcPr>
            <w:tcW w:type="dxa" w:w="1888"/>
            <w:vMerge/>
            <w:tcBorders>
              <w:bottom w:sz="8.0" w:val="single" w:color="#000000"/>
            </w:tcBorders>
          </w:tcPr>
          <w:p/>
        </w:tc>
        <w:tc>
          <w:tcPr>
            <w:tcW w:type="dxa" w:w="13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776 </w:t>
            </w:r>
          </w:p>
        </w:tc>
      </w:tr>
    </w:tbl>
    <w:p>
      <w:pPr>
        <w:autoSpaceDN w:val="0"/>
        <w:autoSpaceDE w:val="0"/>
        <w:widowControl/>
        <w:spacing w:line="240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the cumulative amount of conditional grants approved but not yet expensed, since all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conditions have not been met, was $30,371 million ($29,135 million—June 30, 2024).</w:t>
      </w:r>
    </w:p>
    <w:p>
      <w:pPr>
        <w:autoSpaceDN w:val="0"/>
        <w:autoSpaceDE w:val="0"/>
        <w:widowControl/>
        <w:spacing w:line="224" w:lineRule="exact" w:before="26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H—TRANSACTIONS WITH AFFILIATED ORGANIZATIONS</w:t>
      </w:r>
    </w:p>
    <w:p>
      <w:pPr>
        <w:autoSpaceDN w:val="0"/>
        <w:autoSpaceDE w:val="0"/>
        <w:widowControl/>
        <w:spacing w:line="240" w:lineRule="exact" w:before="11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IDA transacts with affiliated organizations as a recipient of transfers and grants, administrative, derivative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intermediation services and through cost sharing of IBRD’s sponsored pension and other postretirement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benefit plans. 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total amounts receivable from (payable to) affiliated organizations is comprised of the following: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H1: IDA’s receivables and payables with affiliated organizations</w:t>
      </w:r>
    </w:p>
    <w:p>
      <w:pPr>
        <w:autoSpaceDN w:val="0"/>
        <w:autoSpaceDE w:val="0"/>
        <w:widowControl/>
        <w:spacing w:line="178" w:lineRule="exact" w:before="154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40"/>
        </w:trPr>
        <w:tc>
          <w:tcPr>
            <w:tcW w:type="dxa" w:w="4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24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1840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  <w:tc>
          <w:tcPr>
            <w:tcW w:type="dxa" w:w="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40"/>
        </w:trPr>
        <w:tc>
          <w:tcPr>
            <w:tcW w:type="dxa" w:w="4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4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IBRD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4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8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  <w:tc>
          <w:tcPr>
            <w:tcW w:type="dxa" w:w="102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IBRD</w:t>
            </w:r>
          </w:p>
        </w:tc>
        <w:tc>
          <w:tcPr>
            <w:tcW w:type="dxa" w:w="820"/>
            <w:gridSpan w:val="3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IFC</w:t>
            </w:r>
          </w:p>
        </w:tc>
        <w:tc>
          <w:tcPr>
            <w:tcW w:type="dxa" w:w="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Total</w:t>
            </w:r>
          </w:p>
        </w:tc>
      </w:tr>
      <w:tr>
        <w:trPr>
          <w:trHeight w:hRule="exact" w:val="240"/>
        </w:trPr>
        <w:tc>
          <w:tcPr>
            <w:tcW w:type="dxa" w:w="43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Administrative Services </w:t>
            </w:r>
          </w:p>
        </w:tc>
        <w:tc>
          <w:tcPr>
            <w:tcW w:type="dxa" w:w="2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(563) $ </w:t>
            </w:r>
          </w:p>
        </w:tc>
        <w:tc>
          <w:tcPr>
            <w:tcW w:type="dxa" w:w="6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2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(563) $ </w:t>
            </w:r>
          </w:p>
        </w:tc>
        <w:tc>
          <w:tcPr>
            <w:tcW w:type="dxa" w:w="73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(279) $ </w:t>
            </w:r>
          </w:p>
        </w:tc>
        <w:tc>
          <w:tcPr>
            <w:tcW w:type="dxa" w:w="5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(279) </w:t>
            </w:r>
          </w:p>
        </w:tc>
      </w:tr>
      <w:tr>
        <w:trPr>
          <w:trHeight w:hRule="exact" w:val="240"/>
        </w:trPr>
        <w:tc>
          <w:tcPr>
            <w:tcW w:type="dxa" w:w="4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Derivative (liabilities)/assets, net </w:t>
            </w:r>
          </w:p>
        </w:tc>
        <w:tc>
          <w:tcPr>
            <w:tcW w:type="dxa" w:w="9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(96) </w:t>
            </w:r>
          </w:p>
        </w:tc>
        <w:tc>
          <w:tcPr>
            <w:tcW w:type="dxa" w:w="1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(94)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(94) </w:t>
            </w:r>
          </w:p>
        </w:tc>
      </w:tr>
      <w:tr>
        <w:trPr>
          <w:trHeight w:hRule="exact" w:val="240"/>
        </w:trPr>
        <w:tc>
          <w:tcPr>
            <w:tcW w:type="dxa" w:w="4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PSW-Blended Finance Facility </w:t>
            </w:r>
          </w:p>
        </w:tc>
        <w:tc>
          <w:tcPr>
            <w:tcW w:type="dxa" w:w="9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109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109 </w:t>
            </w:r>
          </w:p>
        </w:tc>
        <w:tc>
          <w:tcPr>
            <w:tcW w:type="dxa" w:w="1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102 </w:t>
            </w:r>
          </w:p>
        </w:tc>
      </w:tr>
      <w:tr>
        <w:trPr>
          <w:trHeight w:hRule="exact" w:val="220"/>
        </w:trPr>
        <w:tc>
          <w:tcPr>
            <w:tcW w:type="dxa" w:w="4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</w:t>
            </w:r>
          </w:p>
        </w:tc>
        <w:tc>
          <w:tcPr>
            <w:tcW w:type="dxa" w:w="9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  <w:tc>
          <w:tcPr>
            <w:tcW w:type="dxa" w:w="1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260"/>
        </w:trPr>
        <w:tc>
          <w:tcPr>
            <w:tcW w:type="dxa" w:w="43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Post-Retirement Contribution Reserve Fund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98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555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555 </w:t>
            </w:r>
          </w:p>
        </w:tc>
        <w:tc>
          <w:tcPr>
            <w:tcW w:type="dxa" w:w="10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489 </w:t>
            </w:r>
          </w:p>
        </w:tc>
        <w:tc>
          <w:tcPr>
            <w:tcW w:type="dxa" w:w="82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489 </w:t>
            </w:r>
          </w:p>
        </w:tc>
      </w:tr>
      <w:tr>
        <w:trPr>
          <w:trHeight w:hRule="exact" w:val="240"/>
        </w:trPr>
        <w:tc>
          <w:tcPr>
            <w:tcW w:type="dxa" w:w="43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Pension and Other Postretirement Benefits</w:t>
            </w:r>
          </w:p>
        </w:tc>
        <w:tc>
          <w:tcPr>
            <w:tcW w:type="dxa" w:w="98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9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961 </w:t>
            </w:r>
          </w:p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82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961 </w:t>
            </w:r>
          </w:p>
        </w:tc>
        <w:tc>
          <w:tcPr>
            <w:tcW w:type="dxa" w:w="10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906 </w:t>
            </w:r>
          </w:p>
        </w:tc>
        <w:tc>
          <w:tcPr>
            <w:tcW w:type="dxa" w:w="820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6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906 </w:t>
            </w:r>
          </w:p>
        </w:tc>
      </w:tr>
      <w:tr>
        <w:trPr>
          <w:trHeight w:hRule="exact" w:val="220"/>
        </w:trPr>
        <w:tc>
          <w:tcPr>
            <w:tcW w:type="dxa" w:w="4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Total </w:t>
            </w:r>
          </w:p>
        </w:tc>
        <w:tc>
          <w:tcPr>
            <w:tcW w:type="dxa" w:w="24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953 </w:t>
            </w:r>
          </w:p>
        </w:tc>
        <w:tc>
          <w:tcPr>
            <w:tcW w:type="dxa" w:w="26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154 </w:t>
            </w:r>
          </w:p>
        </w:tc>
        <w:tc>
          <w:tcPr>
            <w:tcW w:type="dxa" w:w="82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$ 1,107 </w:t>
            </w:r>
          </w:p>
        </w:tc>
        <w:tc>
          <w:tcPr>
            <w:tcW w:type="dxa" w:w="810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$ 1,116 </w:t>
            </w:r>
          </w:p>
        </w:tc>
        <w:tc>
          <w:tcPr>
            <w:tcW w:type="dxa" w:w="2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4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179 </w:t>
            </w:r>
          </w:p>
        </w:tc>
        <w:tc>
          <w:tcPr>
            <w:tcW w:type="dxa" w:w="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1,295 </w:t>
            </w:r>
          </w:p>
        </w:tc>
      </w:tr>
      <w:tr>
        <w:trPr>
          <w:trHeight w:hRule="exact" w:val="246"/>
        </w:trPr>
        <w:tc>
          <w:tcPr>
            <w:tcW w:type="dxa" w:w="43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3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2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tabs>
          <w:tab w:pos="242" w:val="left"/>
        </w:tabs>
        <w:autoSpaceDE w:val="0"/>
        <w:widowControl/>
        <w:spacing w:line="192" w:lineRule="exact" w:before="10" w:after="0"/>
        <w:ind w:left="62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Receivable from IBRD for IDA's share of investments associated with Post-Retirement Contribution Reserve Fund (PCRF),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which is a fund established to stabilize contributions made to the pension plans.</w:t>
      </w:r>
    </w:p>
    <w:p>
      <w:pPr>
        <w:autoSpaceDN w:val="0"/>
        <w:autoSpaceDE w:val="0"/>
        <w:widowControl/>
        <w:spacing w:line="240" w:lineRule="exact" w:before="192" w:after="168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receivables from (payables to) these affiliated organizations are reported on the Condensed Balance Sheets 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182"/>
        </w:trPr>
        <w:tc>
          <w:tcPr>
            <w:tcW w:type="dxa" w:w="3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6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Receivables / Payables related to:</w:t>
            </w:r>
          </w:p>
        </w:tc>
        <w:tc>
          <w:tcPr>
            <w:tcW w:type="dxa" w:w="56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058" w:right="0" w:firstLine="0"/>
              <w:jc w:val="left"/>
            </w:pPr>
            <w:r>
              <w:rPr>
                <w:rFonts w:ascii="Arial" w:hAnsi="Arial" w:eastAsia="Arial"/>
                <w:b/>
                <w:i w:val="0"/>
                <w:color w:val="000000"/>
                <w:sz w:val="16"/>
              </w:rPr>
              <w:t>Reported as:</w:t>
            </w:r>
          </w:p>
        </w:tc>
      </w:tr>
    </w:tbl>
    <w:p>
      <w:pPr>
        <w:autoSpaceDN w:val="0"/>
        <w:autoSpaceDE w:val="0"/>
        <w:widowControl/>
        <w:spacing w:line="14" w:lineRule="exact" w:before="0" w:after="62"/>
        <w:ind w:left="0" w:right="0"/>
      </w:pPr>
    </w:p>
    <w:p>
      <w:pPr>
        <w:sectPr>
          <w:type w:val="continuous"/>
          <w:pgSz w:w="12240" w:h="15840"/>
          <w:pgMar w:top="702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68" w:right="43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Payable for administrative services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Net receivables (payables) for derivative transactions</w:t>
      </w:r>
    </w:p>
    <w:p>
      <w:pPr>
        <w:sectPr>
          <w:type w:val="continuous"/>
          <w:pgSz w:w="12240" w:h="15840"/>
          <w:pgMar w:top="702" w:right="1370" w:bottom="270" w:left="1430" w:header="720" w:footer="720" w:gutter="0"/>
          <w:cols w:num="2" w:equalWidth="0">
            <w:col w:w="4288" w:space="0"/>
            <w:col w:w="5152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62"/>
        <w:ind w:left="460" w:right="2304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Payable to affiliated organization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Derivative assets/liabilities, net</w:t>
      </w:r>
    </w:p>
    <w:p>
      <w:pPr>
        <w:sectPr>
          <w:type w:val="nextColumn"/>
          <w:pgSz w:w="12240" w:h="15840"/>
          <w:pgMar w:top="702" w:right="1370" w:bottom="270" w:left="1430" w:header="720" w:footer="720" w:gutter="0"/>
          <w:cols w:num="2" w:equalWidth="0">
            <w:col w:w="4288" w:space="0"/>
            <w:col w:w="5152" w:space="0"/>
          </w:cols>
          <w:docGrid w:linePitch="360"/>
        </w:sectPr>
      </w:pPr>
    </w:p>
    <w:p>
      <w:pPr>
        <w:autoSpaceDN w:val="0"/>
        <w:tabs>
          <w:tab w:pos="4748" w:val="left"/>
        </w:tabs>
        <w:autoSpaceDE w:val="0"/>
        <w:widowControl/>
        <w:spacing w:line="178" w:lineRule="exact" w:before="0" w:after="0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Receivable for PSW – Blended Finance Facility </w:t>
      </w:r>
      <w:r>
        <w:rPr>
          <w:rFonts w:ascii="ArialMT" w:hAnsi="ArialMT" w:eastAsia="ArialMT"/>
          <w:b w:val="0"/>
          <w:i w:val="0"/>
          <w:color w:val="000000"/>
          <w:sz w:val="16"/>
        </w:rPr>
        <w:t>Other Assets</w:t>
      </w:r>
    </w:p>
    <w:p>
      <w:pPr>
        <w:autoSpaceDN w:val="0"/>
        <w:tabs>
          <w:tab w:pos="4748" w:val="left"/>
        </w:tabs>
        <w:autoSpaceDE w:val="0"/>
        <w:widowControl/>
        <w:spacing w:line="178" w:lineRule="exact" w:before="62" w:after="62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Receivable for Investments </w:t>
      </w:r>
      <w:r>
        <w:rPr>
          <w:rFonts w:ascii="ArialMT" w:hAnsi="ArialMT" w:eastAsia="ArialMT"/>
          <w:b w:val="0"/>
          <w:i w:val="0"/>
          <w:color w:val="000000"/>
          <w:sz w:val="16"/>
        </w:rPr>
        <w:t>Investments</w:t>
      </w:r>
    </w:p>
    <w:p>
      <w:pPr>
        <w:sectPr>
          <w:type w:val="continuous"/>
          <w:pgSz w:w="12240" w:h="15840"/>
          <w:pgMar w:top="702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0"/>
        <w:ind w:left="68" w:right="288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Receivable for PCRF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Receivable for pension and other postretirement benefits</w:t>
      </w:r>
    </w:p>
    <w:p>
      <w:pPr>
        <w:sectPr>
          <w:type w:val="continuous"/>
          <w:pgSz w:w="12240" w:h="15840"/>
          <w:pgMar w:top="702" w:right="1370" w:bottom="270" w:left="1430" w:header="720" w:footer="720" w:gutter="0"/>
          <w:cols w:num="2" w:equalWidth="0">
            <w:col w:w="4416" w:space="0"/>
            <w:col w:w="5024" w:space="0"/>
          </w:cols>
          <w:docGrid w:linePitch="360"/>
        </w:sectPr>
      </w:pPr>
    </w:p>
    <w:p>
      <w:pPr>
        <w:autoSpaceDN w:val="0"/>
        <w:autoSpaceDE w:val="0"/>
        <w:widowControl/>
        <w:spacing w:line="208" w:lineRule="exact" w:before="0" w:after="28"/>
        <w:ind w:left="332" w:right="1872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Receivable from affiliated organization </w:t>
      </w:r>
      <w:r>
        <w:rPr>
          <w:rFonts w:ascii="ArialMT" w:hAnsi="ArialMT" w:eastAsia="ArialMT"/>
          <w:b w:val="0"/>
          <w:i w:val="0"/>
          <w:color w:val="000000"/>
          <w:sz w:val="16"/>
        </w:rPr>
        <w:t>Receivable from affiliated organization</w:t>
      </w:r>
    </w:p>
    <w:p>
      <w:pPr>
        <w:sectPr>
          <w:type w:val="nextColumn"/>
          <w:pgSz w:w="12240" w:h="15840"/>
          <w:pgMar w:top="702" w:right="1370" w:bottom="270" w:left="1430" w:header="720" w:footer="720" w:gutter="0"/>
          <w:cols w:num="2" w:equalWidth="0">
            <w:col w:w="4416" w:space="0"/>
            <w:col w:w="5024" w:space="0"/>
          </w:cols>
          <w:docGrid w:linePitch="360"/>
        </w:sectPr>
      </w:pPr>
    </w:p>
    <w:p>
      <w:pPr>
        <w:autoSpaceDN w:val="0"/>
        <w:autoSpaceDE w:val="0"/>
        <w:widowControl/>
        <w:spacing w:line="224" w:lineRule="exact" w:before="2586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45</w:t>
      </w:r>
    </w:p>
    <w:p>
      <w:pPr>
        <w:sectPr>
          <w:type w:val="continuous"/>
          <w:pgSz w:w="12240" w:h="15840"/>
          <w:pgMar w:top="702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Transfers and Grants</w:t>
      </w:r>
    </w:p>
    <w:p>
      <w:pPr>
        <w:autoSpaceDN w:val="0"/>
        <w:autoSpaceDE w:val="0"/>
        <w:widowControl/>
        <w:spacing w:line="240" w:lineRule="exact" w:before="120" w:after="0"/>
        <w:ind w:left="10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Cumulative transfers and grants made to IDA as of September 30, 2024 were $21,399 million ($20,884 million—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June 30, 2024). Details by transferor are as follows:</w:t>
      </w:r>
    </w:p>
    <w:p>
      <w:pPr>
        <w:autoSpaceDN w:val="0"/>
        <w:autoSpaceDE w:val="0"/>
        <w:widowControl/>
        <w:spacing w:line="220" w:lineRule="exact" w:before="14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H2: Transfers and grants</w:t>
      </w:r>
    </w:p>
    <w:p>
      <w:pPr>
        <w:autoSpaceDN w:val="0"/>
        <w:autoSpaceDE w:val="0"/>
        <w:widowControl/>
        <w:spacing w:line="178" w:lineRule="exact" w:before="144" w:after="0"/>
        <w:ind w:left="6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p>
      <w:pPr>
        <w:autoSpaceDN w:val="0"/>
        <w:tabs>
          <w:tab w:pos="8192" w:val="left"/>
        </w:tabs>
        <w:autoSpaceDE w:val="0"/>
        <w:widowControl/>
        <w:spacing w:line="192" w:lineRule="exact" w:before="84" w:after="6"/>
        <w:ind w:left="7722" w:right="144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 Cumulative transfers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 as of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7"/>
        <w:gridCol w:w="3147"/>
        <w:gridCol w:w="3147"/>
      </w:tblGrid>
      <w:tr>
        <w:trPr>
          <w:trHeight w:hRule="exact" w:val="216"/>
        </w:trPr>
        <w:tc>
          <w:tcPr>
            <w:tcW w:type="dxa" w:w="4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Transfers</w:t>
            </w:r>
          </w:p>
        </w:tc>
        <w:tc>
          <w:tcPr>
            <w:tcW w:type="dxa" w:w="3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6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</w:tr>
      <w:tr>
        <w:trPr>
          <w:trHeight w:hRule="exact" w:val="242"/>
        </w:trPr>
        <w:tc>
          <w:tcPr>
            <w:tcW w:type="dxa" w:w="40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8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21,399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32"/>
        <w:ind w:left="68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Of which transfers from: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20"/>
        <w:gridCol w:w="4720"/>
      </w:tblGrid>
      <w:tr>
        <w:trPr>
          <w:trHeight w:hRule="exact" w:val="718"/>
        </w:trPr>
        <w:tc>
          <w:tcPr>
            <w:tcW w:type="dxa" w:w="5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242" w:right="2592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IBRD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International Finance Corporation (IFC)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Nonaffiliated organizations</w:t>
            </w:r>
          </w:p>
        </w:tc>
        <w:tc>
          <w:tcPr>
            <w:tcW w:type="dxa" w:w="36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2592" w:right="4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17,284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3,885 </w:t>
            </w:r>
            <w:r>
              <w:br/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230 </w:t>
            </w:r>
          </w:p>
        </w:tc>
      </w:tr>
    </w:tbl>
    <w:p>
      <w:pPr>
        <w:autoSpaceDN w:val="0"/>
        <w:autoSpaceDE w:val="0"/>
        <w:widowControl/>
        <w:spacing w:line="240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On September 18, 2024, IBRD's Board of Governors approved a transfer of $515 million to IDA. This transfer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received on September 30, 2024.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Administrative Services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payable to IBRD represents IDA’s share of joint administrative expenses including contributions to special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programs, net of other revenue jointly earned. The allocation of expenses is based upon an agreed cost sharing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formula, and amounts are settled quarterly. 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the three months ended September 30, 2024, IDA’s share of joint administrative expenses and contributions to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special programs totaled $463 million ($428 million—three months ended September 30, 2023).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Other revenue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Includes IDA’s share of other revenue jointly earned with IBRD during the three months ended September 30, 2024,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totaling $68 million ($60 million—three months ended September 30, 2023).</w:t>
      </w:r>
    </w:p>
    <w:p>
      <w:pPr>
        <w:autoSpaceDN w:val="0"/>
        <w:autoSpaceDE w:val="0"/>
        <w:widowControl/>
        <w:spacing w:line="240" w:lineRule="exact" w:before="120" w:after="0"/>
        <w:ind w:left="1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Fee revenue associated with services provided to other affiliated organizations is included in Other revenue on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Condensed Statements of Income, as follows: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H3: Fee revenue from affiliated organizations</w:t>
      </w:r>
    </w:p>
    <w:p>
      <w:pPr>
        <w:autoSpaceDN w:val="0"/>
        <w:autoSpaceDE w:val="0"/>
        <w:widowControl/>
        <w:spacing w:line="178" w:lineRule="exact" w:before="154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p>
      <w:pPr>
        <w:autoSpaceDN w:val="0"/>
        <w:autoSpaceDE w:val="0"/>
        <w:widowControl/>
        <w:spacing w:line="178" w:lineRule="exact" w:before="62" w:after="20"/>
        <w:ind w:left="0" w:right="12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Three Months Ended September 30,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88"/>
        <w:gridCol w:w="1888"/>
        <w:gridCol w:w="1888"/>
        <w:gridCol w:w="1888"/>
        <w:gridCol w:w="1888"/>
      </w:tblGrid>
      <w:tr>
        <w:trPr>
          <w:trHeight w:hRule="exact" w:val="240"/>
        </w:trPr>
        <w:tc>
          <w:tcPr>
            <w:tcW w:type="dxa" w:w="66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2024</w:t>
            </w:r>
          </w:p>
        </w:tc>
        <w:tc>
          <w:tcPr>
            <w:tcW w:type="dxa" w:w="3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6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2023</w:t>
            </w:r>
          </w:p>
        </w:tc>
      </w:tr>
      <w:tr>
        <w:trPr>
          <w:trHeight w:hRule="exact" w:val="240"/>
        </w:trPr>
        <w:tc>
          <w:tcPr>
            <w:tcW w:type="dxa" w:w="66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IFC</w:t>
            </w:r>
          </w:p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 </w:t>
            </w:r>
          </w:p>
        </w:tc>
        <w:tc>
          <w:tcPr>
            <w:tcW w:type="dxa" w:w="33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22 </w:t>
            </w:r>
          </w:p>
        </w:tc>
      </w:tr>
      <w:tr>
        <w:trPr>
          <w:trHeight w:hRule="exact" w:val="480"/>
        </w:trPr>
        <w:tc>
          <w:tcPr>
            <w:tcW w:type="dxa" w:w="66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Fees charged to MIGA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  <w:tc>
          <w:tcPr>
            <w:tcW w:type="dxa" w:w="1888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222" w:lineRule="exact" w:before="17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Derivative transactions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the Local Currency Facility of the PSW, IDA enters into derivative transactions with IFC to support local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currency loan transactions where currency hedging capabilities are limited or unavailable.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Private Sector Window</w:t>
      </w:r>
    </w:p>
    <w:p>
      <w:pPr>
        <w:autoSpaceDN w:val="0"/>
        <w:autoSpaceDE w:val="0"/>
        <w:widowControl/>
        <w:spacing w:line="240" w:lineRule="exact" w:before="120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PSW was created under the Eighteenth Replenishment of IDA’s Resources (IDA18) to mobilize private sector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investment in IDA-only countries and IDA-eligible Fragile and Conflict-affected Situations. The PSW continued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under IDA’s Twentieth Replenishment of Resources (IDA20), which commenced on July 1, 2022, with an initial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allocation of $2.5 billion. Under the fee arrangement for the PSW, IDA receives fee income for transactions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executed under this window and reimburses IFC and MIGA for the related costs incurred in administering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transactions. As of September 30, 2024, the PSW exposures comprising mainly of MIGA Guarantee Facility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IFC Blended Finance Facility, were $1,662 million ($1,507 million—June 30, 2024), and the related accumulated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provision was $224 million ($212 million—June 30, 2024). </w:t>
      </w:r>
    </w:p>
    <w:p>
      <w:pPr>
        <w:autoSpaceDN w:val="0"/>
        <w:autoSpaceDE w:val="0"/>
        <w:widowControl/>
        <w:spacing w:line="224" w:lineRule="exact" w:before="954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46     IDA Quarterly Financial Statements: September 30, 2024 (Unaudited)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22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Investments – Non-trading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fiscal year ended June 30, 2015, IDA purchased a debt security issued by IFC for a principal amount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$1,179 million, amortizing over a period of 25 years. The investment carries a fixed interest rate of 1.84% and has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weighted average maturity of 4 years. As of September 30, 2024, the principal amount due on the debt security was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$151 million ($185 million—June 30, 2024), and it had a fair value of $141 million ($171 million—June 30, 2024). </w:t>
      </w:r>
    </w:p>
    <w:p>
      <w:pPr>
        <w:autoSpaceDN w:val="0"/>
        <w:autoSpaceDE w:val="0"/>
        <w:widowControl/>
        <w:spacing w:line="24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investment is reported under Investments in the Condensed Balance Sheets. During the three months ended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September 30, 2024, IDA recognized interest income of $1 million from this investment ($1 million— three months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ended September 30, 2023).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Pension and Other Post-Retirement Benefits</w:t>
      </w:r>
    </w:p>
    <w:p>
      <w:pPr>
        <w:autoSpaceDN w:val="0"/>
        <w:autoSpaceDE w:val="0"/>
        <w:widowControl/>
        <w:spacing w:line="240" w:lineRule="exact" w:before="120" w:after="0"/>
        <w:ind w:left="10" w:right="22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IBRD, along with IFC and Multilateral Investment Guarantee Agency (MIGA), sponsors a defined benefit Staff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Retirement Plan and Trust, a Retired Staff Benefits Plan and Trust and a Post-Employment Benefits Plan (PEBP)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that cover substantially all of their staff members.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While IDA is not a participating entity to these benefit plans, IDA shares in the costs and reimburses IBRD for its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proportionate share of any contributions made to these plans by IBRD based on an agreed cost sharing ratio.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months ended September 30, 2024, IDA’s share of IBRD’s benefit costs relating to all three plans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totaled $31 million ($25 million—three months ended September 30, 2023).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cost of any potential future liability arising from these plans would be shared by IBRD and IDA using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applicable cost sharing ratio.</w:t>
      </w:r>
    </w:p>
    <w:p>
      <w:pPr>
        <w:autoSpaceDN w:val="0"/>
        <w:autoSpaceDE w:val="0"/>
        <w:widowControl/>
        <w:spacing w:line="240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receivable from IBRD represents IDA’s net share of prepaid costs for pension and other postretirement benefit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plans and PEBP assets. These will be realized over the lives of the plan participants.</w:t>
      </w:r>
    </w:p>
    <w:p>
      <w:pPr>
        <w:autoSpaceDN w:val="0"/>
        <w:autoSpaceDE w:val="0"/>
        <w:widowControl/>
        <w:spacing w:line="224" w:lineRule="exact" w:before="262" w:after="0"/>
        <w:ind w:left="1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I—ACCUMULATED OTHER COMPREHENSIVE LOSS</w:t>
      </w:r>
    </w:p>
    <w:p>
      <w:pPr>
        <w:autoSpaceDN w:val="0"/>
        <w:autoSpaceDE w:val="0"/>
        <w:widowControl/>
        <w:spacing w:line="240" w:lineRule="exact" w:before="114" w:after="0"/>
        <w:ind w:left="1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Comprehensive income consists of net income (loss) and other gains or losses affecting equity that, under U.S.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GAAP, are excluded from net income (loss). For IDA, other comprehensive income (loss) is comprised of currency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translation adjustments on functional currencies and DVA on fair value option elected liabilities. These items are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presented in the Condensed Statements of Comprehensive Income.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 following table presents the changes in Accumulated Other Comprehensive Loss (AOCL) balances: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I1: Changes in AOCL</w:t>
      </w:r>
    </w:p>
    <w:p>
      <w:pPr>
        <w:autoSpaceDN w:val="0"/>
        <w:autoSpaceDE w:val="0"/>
        <w:widowControl/>
        <w:spacing w:line="180" w:lineRule="exact" w:before="138" w:after="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p>
      <w:pPr>
        <w:autoSpaceDN w:val="0"/>
        <w:autoSpaceDE w:val="0"/>
        <w:widowControl/>
        <w:spacing w:line="180" w:lineRule="exact" w:before="60" w:after="0"/>
        <w:ind w:left="0" w:right="70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Three Months Ended September 30, 2024</w:t>
      </w:r>
    </w:p>
    <w:p>
      <w:pPr>
        <w:autoSpaceDN w:val="0"/>
        <w:autoSpaceDE w:val="0"/>
        <w:widowControl/>
        <w:spacing w:line="178" w:lineRule="exact" w:before="82" w:after="6"/>
        <w:ind w:left="0" w:right="330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Balance,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178"/>
        </w:trPr>
        <w:tc>
          <w:tcPr>
            <w:tcW w:type="dxa" w:w="511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2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the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7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14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of </w:t>
            </w:r>
          </w:p>
        </w:tc>
      </w:tr>
      <w:tr>
        <w:trPr>
          <w:trHeight w:hRule="exact" w:val="230"/>
        </w:trPr>
        <w:tc>
          <w:tcPr>
            <w:tcW w:type="dxa" w:w="1573"/>
            <w:vMerge/>
            <w:tcBorders>
              <w:bottom w:sz="8.0" w:val="single" w:color="#000000"/>
            </w:tcBorders>
          </w:tcPr>
          <w:p/>
        </w:tc>
        <w:tc>
          <w:tcPr>
            <w:tcW w:type="dxa" w:w="13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</w:t>
            </w:r>
          </w:p>
        </w:tc>
        <w:tc>
          <w:tcPr>
            <w:tcW w:type="dxa" w:w="1573"/>
            <w:vMerge/>
            <w:tcBorders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AOCL</w:t>
            </w:r>
          </w:p>
        </w:tc>
        <w:tc>
          <w:tcPr>
            <w:tcW w:type="dxa" w:w="14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period</w:t>
            </w:r>
          </w:p>
        </w:tc>
      </w:tr>
      <w:tr>
        <w:trPr>
          <w:trHeight w:hRule="exact" w:val="190"/>
        </w:trPr>
        <w:tc>
          <w:tcPr>
            <w:tcW w:type="dxa" w:w="51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translation adjustments on functional currencies</w:t>
            </w:r>
          </w:p>
        </w:tc>
        <w:tc>
          <w:tcPr>
            <w:tcW w:type="dxa" w:w="13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(10,567) </w:t>
            </w:r>
          </w:p>
        </w:tc>
        <w:tc>
          <w:tcPr>
            <w:tcW w:type="dxa" w:w="4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4,884 </w:t>
            </w:r>
          </w:p>
        </w:tc>
        <w:tc>
          <w:tcPr>
            <w:tcW w:type="dxa" w:w="4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(5,683) </w:t>
            </w:r>
          </w:p>
        </w:tc>
      </w:tr>
      <w:tr>
        <w:trPr>
          <w:trHeight w:hRule="exact" w:val="260"/>
        </w:trPr>
        <w:tc>
          <w:tcPr>
            <w:tcW w:type="dxa" w:w="51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32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(25) </w:t>
            </w:r>
          </w:p>
        </w:tc>
        <w:tc>
          <w:tcPr>
            <w:tcW w:type="dxa" w:w="1573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36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31 </w:t>
            </w:r>
          </w:p>
        </w:tc>
        <w:tc>
          <w:tcPr>
            <w:tcW w:type="dxa" w:w="14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2" w:after="0"/>
              <w:ind w:left="0" w:right="4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 </w:t>
            </w:r>
          </w:p>
        </w:tc>
      </w:tr>
      <w:tr>
        <w:trPr>
          <w:trHeight w:hRule="exact" w:val="220"/>
        </w:trPr>
        <w:tc>
          <w:tcPr>
            <w:tcW w:type="dxa" w:w="51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AOCL</w:t>
            </w:r>
          </w:p>
        </w:tc>
        <w:tc>
          <w:tcPr>
            <w:tcW w:type="dxa" w:w="132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(10,592)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6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2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4,915 </w:t>
            </w:r>
          </w:p>
        </w:tc>
        <w:tc>
          <w:tcPr>
            <w:tcW w:type="dxa" w:w="4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(5,677) </w:t>
            </w:r>
          </w:p>
        </w:tc>
      </w:tr>
    </w:tbl>
    <w:p>
      <w:pPr>
        <w:autoSpaceDN w:val="0"/>
        <w:autoSpaceDE w:val="0"/>
        <w:widowControl/>
        <w:spacing w:line="222" w:lineRule="exact" w:before="51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I1.1</w:t>
      </w:r>
    </w:p>
    <w:p>
      <w:pPr>
        <w:autoSpaceDN w:val="0"/>
        <w:autoSpaceDE w:val="0"/>
        <w:widowControl/>
        <w:spacing w:line="178" w:lineRule="exact" w:before="138" w:after="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p>
      <w:pPr>
        <w:autoSpaceDN w:val="0"/>
        <w:autoSpaceDE w:val="0"/>
        <w:widowControl/>
        <w:spacing w:line="178" w:lineRule="exact" w:before="62" w:after="0"/>
        <w:ind w:left="0" w:right="70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>Three Months Ended September 30, 2023</w:t>
      </w:r>
    </w:p>
    <w:p>
      <w:pPr>
        <w:autoSpaceDN w:val="0"/>
        <w:autoSpaceDE w:val="0"/>
        <w:widowControl/>
        <w:spacing w:line="180" w:lineRule="exact" w:before="82" w:after="6"/>
        <w:ind w:left="0" w:right="3308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Balance,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573"/>
        <w:gridCol w:w="1573"/>
        <w:gridCol w:w="1573"/>
        <w:gridCol w:w="1573"/>
        <w:gridCol w:w="1573"/>
        <w:gridCol w:w="1573"/>
      </w:tblGrid>
      <w:tr>
        <w:trPr>
          <w:trHeight w:hRule="exact" w:val="182"/>
        </w:trPr>
        <w:tc>
          <w:tcPr>
            <w:tcW w:type="dxa" w:w="511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3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beginning of the </w:t>
            </w:r>
          </w:p>
        </w:tc>
        <w:tc>
          <w:tcPr>
            <w:tcW w:type="dxa" w:w="14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29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Changes </w:t>
            </w:r>
          </w:p>
        </w:tc>
        <w:tc>
          <w:tcPr>
            <w:tcW w:type="dxa" w:w="147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252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Balance, end of </w:t>
            </w:r>
          </w:p>
        </w:tc>
      </w:tr>
      <w:tr>
        <w:trPr>
          <w:trHeight w:hRule="exact" w:val="226"/>
        </w:trPr>
        <w:tc>
          <w:tcPr>
            <w:tcW w:type="dxa" w:w="1573"/>
            <w:vMerge/>
            <w:tcBorders>
              <w:bottom w:sz="8.0" w:val="single" w:color="#000000"/>
            </w:tcBorders>
          </w:tcPr>
          <w:p/>
        </w:tc>
        <w:tc>
          <w:tcPr>
            <w:tcW w:type="dxa" w:w="13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fiscal year</w:t>
            </w:r>
          </w:p>
        </w:tc>
        <w:tc>
          <w:tcPr>
            <w:tcW w:type="dxa" w:w="1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in AOCL</w:t>
            </w:r>
          </w:p>
        </w:tc>
        <w:tc>
          <w:tcPr>
            <w:tcW w:type="dxa" w:w="14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6" w:after="0"/>
              <w:ind w:left="0" w:right="306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the period</w:t>
            </w:r>
          </w:p>
        </w:tc>
      </w:tr>
      <w:tr>
        <w:trPr>
          <w:trHeight w:hRule="exact" w:val="214"/>
        </w:trPr>
        <w:tc>
          <w:tcPr>
            <w:tcW w:type="dxa" w:w="511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translation adjustments on functional currencies</w:t>
            </w:r>
          </w:p>
        </w:tc>
        <w:tc>
          <w:tcPr>
            <w:tcW w:type="dxa" w:w="2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(8,915) </w:t>
            </w:r>
          </w:p>
        </w:tc>
        <w:tc>
          <w:tcPr>
            <w:tcW w:type="dxa" w:w="1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(1,771)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(10,686) </w:t>
            </w:r>
          </w:p>
        </w:tc>
      </w:tr>
      <w:tr>
        <w:trPr>
          <w:trHeight w:hRule="exact" w:val="234"/>
        </w:trPr>
        <w:tc>
          <w:tcPr>
            <w:tcW w:type="dxa" w:w="511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DVA on Fair Value option elected liabilities</w:t>
            </w:r>
          </w:p>
        </w:tc>
        <w:tc>
          <w:tcPr>
            <w:tcW w:type="dxa" w:w="132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(31) </w:t>
            </w:r>
          </w:p>
        </w:tc>
        <w:tc>
          <w:tcPr>
            <w:tcW w:type="dxa" w:w="14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4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(7) </w:t>
            </w:r>
          </w:p>
        </w:tc>
        <w:tc>
          <w:tcPr>
            <w:tcW w:type="dxa" w:w="1470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6" w:after="0"/>
              <w:ind w:left="0" w:right="3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(38) </w:t>
            </w:r>
          </w:p>
        </w:tc>
      </w:tr>
      <w:tr>
        <w:trPr>
          <w:trHeight w:hRule="exact" w:val="220"/>
        </w:trPr>
        <w:tc>
          <w:tcPr>
            <w:tcW w:type="dxa" w:w="511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AOCL</w:t>
            </w:r>
          </w:p>
        </w:tc>
        <w:tc>
          <w:tcPr>
            <w:tcW w:type="dxa" w:w="276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11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(8,946) </w:t>
            </w:r>
          </w:p>
        </w:tc>
        <w:tc>
          <w:tcPr>
            <w:tcW w:type="dxa" w:w="14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20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(1,778) </w:t>
            </w:r>
          </w:p>
        </w:tc>
        <w:tc>
          <w:tcPr>
            <w:tcW w:type="dxa" w:w="4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0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9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(10,724) </w:t>
            </w:r>
          </w:p>
        </w:tc>
      </w:tr>
    </w:tbl>
    <w:p>
      <w:pPr>
        <w:autoSpaceDN w:val="0"/>
        <w:autoSpaceDE w:val="0"/>
        <w:widowControl/>
        <w:spacing w:line="224" w:lineRule="exact" w:before="1242" w:after="0"/>
        <w:ind w:left="0" w:right="7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47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224" w:lineRule="exact" w:before="0" w:after="0"/>
        <w:ind w:left="0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20"/>
        </w:rPr>
        <w:t>NOTE J— FAIR VALUE DISCLOSURES</w:t>
      </w:r>
    </w:p>
    <w:p>
      <w:pPr>
        <w:autoSpaceDN w:val="0"/>
        <w:autoSpaceDE w:val="0"/>
        <w:widowControl/>
        <w:spacing w:line="244" w:lineRule="exact" w:before="124" w:after="0"/>
        <w:ind w:left="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 xml:space="preserve">Valuation Methods and Assumptions </w:t>
      </w:r>
    </w:p>
    <w:p>
      <w:pPr>
        <w:autoSpaceDN w:val="0"/>
        <w:autoSpaceDE w:val="0"/>
        <w:widowControl/>
        <w:spacing w:line="240" w:lineRule="exact" w:before="13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and June 30, 2024, IDA had no financial assets or liabilities measured at fair value on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non–recurring basis.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Due from Banks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carrying amount of unrestricted and restricted cash is considered a reasonable estimate of the fair value of these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positions.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Loans and Loan commitments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There were no loans carried at fair value as of September 30, 2024, and June 30, 2024. IDA’s loans and loan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commitments would be classified as Level 3 within the fair value hierarchy. 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Summarized below are the techniques applied in determining the fair values of IDA’s financial instruments.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Investment securities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Where available, quoted market prices are used to determine the fair value of trading securities. For instruments for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which market quotations are not available, fair values are determined using model-based valuation techniques,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whether internally-generated or vendor-supplied, that include the standard discounted cash flow method using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observable market inputs such as yield curves, credit spreads, and constant prepayment spreads. Where applicable,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unobservable inputs such as conditional prepayment rates, probability of default, and loss severity are used.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Unless quoted prices are available, time deposits are reported at face value, which approximates fair value, as they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are short-term in nature.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 xml:space="preserve">Securities purchased under resale agreements, securities sold under repurchase agreements, and securities lent </w:t>
      </w:r>
      <w:r>
        <w:rPr>
          <w:rFonts w:ascii="TimesNewRoman" w:hAnsi="TimesNewRoman" w:eastAsia="TimesNewRoman"/>
          <w:b w:val="0"/>
          <w:i/>
          <w:color w:val="000000"/>
          <w:sz w:val="20"/>
        </w:rPr>
        <w:t>under securities lending agreements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>These securities are of a short-term nature and are reported at face value, which approximates fair value.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Borrowings</w:t>
      </w:r>
    </w:p>
    <w:p>
      <w:pPr>
        <w:autoSpaceDN w:val="0"/>
        <w:autoSpaceDE w:val="0"/>
        <w:widowControl/>
        <w:spacing w:line="240" w:lineRule="exact" w:before="120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fair value of IDA’s borrowings carried at fair value is calculated using a discounted cash flow method which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relies on observable market inputs such as yield curves, foreign exchange rates, basis spreads and funding spreads.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and June 30, 2024, the fair value of borrowings measured at amortized cost would be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calculated using the same methodology as described above for borrowings at fair value and classified as Level 2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within the fair value hierarchy.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Derivative instruments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Derivative contracts include currency forward contracts, TBA securities, swaptions, options and futures contracts,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currency swaps and interest rate swaps. Where available, quoted market prices are used to determine the fair value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of trading securities. Examples include options and futures contracts.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For instruments for which market quotations are not available, fair values are determined using model-based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valuation techniques, whether internally-generated or vendor-supplied, that include the standard discounted cash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flow method using observable market inputs such as yield curves, foreign exchange rates, credit spreads, basis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spreads, funding spreads and constant prepayment spreads. Where applicable, unobservable inputs such as constant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prepayment rates, probability of default, and loss severity are used.</w:t>
      </w:r>
    </w:p>
    <w:p>
      <w:pPr>
        <w:autoSpaceDN w:val="0"/>
        <w:autoSpaceDE w:val="0"/>
        <w:widowControl/>
        <w:spacing w:line="222" w:lineRule="exact" w:before="138" w:after="0"/>
        <w:ind w:left="0" w:right="0" w:firstLine="0"/>
        <w:jc w:val="left"/>
      </w:pPr>
      <w:r>
        <w:rPr>
          <w:rFonts w:ascii="TimesNewRoman" w:hAnsi="TimesNewRoman" w:eastAsia="TimesNewRoman"/>
          <w:b w:val="0"/>
          <w:i/>
          <w:color w:val="000000"/>
          <w:sz w:val="20"/>
        </w:rPr>
        <w:t>Valuation adjustments on fair value option elected liabilities</w:t>
      </w:r>
    </w:p>
    <w:p>
      <w:pPr>
        <w:autoSpaceDN w:val="0"/>
        <w:autoSpaceDE w:val="0"/>
        <w:widowControl/>
        <w:spacing w:line="240" w:lineRule="exact" w:before="120" w:after="0"/>
        <w:ind w:left="0" w:right="20" w:firstLine="0"/>
        <w:jc w:val="both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DVA on fair value option elected liabilities (market borrowings carried at fair value) is measured by revaluing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each liability to determine the changes in fair value of that liability arising from changes in IDA’s cost of funding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applicable to the relevant reference rates. </w:t>
      </w:r>
    </w:p>
    <w:p>
      <w:pPr>
        <w:autoSpaceDN w:val="0"/>
        <w:autoSpaceDE w:val="0"/>
        <w:widowControl/>
        <w:spacing w:line="224" w:lineRule="exact" w:before="143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48     IDA Quarterly Financial Statements: September 30, 2024 (Unaudited)</w:t>
      </w:r>
    </w:p>
    <w:p>
      <w:pPr>
        <w:sectPr>
          <w:pgSz w:w="12240" w:h="15840"/>
          <w:pgMar w:top="702" w:right="1370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72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table below presents IDA’s estimates of fair value of its financial assets and liabilities along with their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respective carrying amounts.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J1: Fair value and carrying amounts of financial assets and liabilities</w:t>
      </w:r>
    </w:p>
    <w:p>
      <w:pPr>
        <w:autoSpaceDN w:val="0"/>
        <w:autoSpaceDE w:val="0"/>
        <w:widowControl/>
        <w:spacing w:line="178" w:lineRule="exact" w:before="154" w:after="2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347"/>
        <w:gridCol w:w="2347"/>
        <w:gridCol w:w="2347"/>
        <w:gridCol w:w="2347"/>
      </w:tblGrid>
      <w:tr>
        <w:trPr>
          <w:trHeight w:hRule="exact" w:val="240"/>
        </w:trPr>
        <w:tc>
          <w:tcPr>
            <w:tcW w:type="dxa" w:w="6814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1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September 30, 2024</w:t>
            </w:r>
          </w:p>
        </w:tc>
        <w:tc>
          <w:tcPr>
            <w:tcW w:type="dxa" w:w="252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June 30, 2024</w:t>
            </w:r>
          </w:p>
        </w:tc>
      </w:tr>
      <w:tr>
        <w:trPr>
          <w:trHeight w:hRule="exact" w:val="240"/>
        </w:trPr>
        <w:tc>
          <w:tcPr>
            <w:tcW w:type="dxa" w:w="559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2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Carrying Value</w:t>
            </w:r>
          </w:p>
        </w:tc>
        <w:tc>
          <w:tcPr>
            <w:tcW w:type="dxa" w:w="12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</w:tr>
    </w:tbl>
    <w:p>
      <w:pPr>
        <w:autoSpaceDN w:val="0"/>
        <w:autoSpaceDE w:val="0"/>
        <w:widowControl/>
        <w:spacing w:line="178" w:lineRule="exact" w:before="22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Assets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3"/>
        <w:gridCol w:w="1043"/>
        <w:gridCol w:w="1043"/>
        <w:gridCol w:w="1043"/>
        <w:gridCol w:w="1043"/>
        <w:gridCol w:w="1043"/>
        <w:gridCol w:w="1043"/>
        <w:gridCol w:w="1043"/>
        <w:gridCol w:w="1043"/>
      </w:tblGrid>
      <w:tr>
        <w:trPr>
          <w:trHeight w:hRule="exact" w:val="240"/>
        </w:trPr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Due from banks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713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713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586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8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586 </w:t>
            </w:r>
          </w:p>
        </w:tc>
      </w:tr>
    </w:tbl>
    <w:p>
      <w:pPr>
        <w:autoSpaceDN w:val="0"/>
        <w:autoSpaceDE w:val="0"/>
        <w:widowControl/>
        <w:spacing w:line="180" w:lineRule="exact" w:before="32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Investments (including securities purchased under resale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200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3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agreements)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39,378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39,378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34,435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34,435 </w:t>
            </w:r>
          </w:p>
        </w:tc>
      </w:tr>
      <w:tr>
        <w:trPr>
          <w:trHeight w:hRule="exact" w:val="240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Net loans outstanding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205,367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161,764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198,457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151,428 </w:t>
            </w:r>
          </w:p>
        </w:tc>
      </w:tr>
      <w:tr>
        <w:trPr>
          <w:trHeight w:hRule="exact" w:val="256"/>
        </w:trPr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399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399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1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</w:tr>
    </w:tbl>
    <w:p>
      <w:pPr>
        <w:autoSpaceDN w:val="0"/>
        <w:autoSpaceDE w:val="0"/>
        <w:widowControl/>
        <w:spacing w:line="180" w:lineRule="exact" w:before="30" w:after="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Liabilities</w:t>
      </w:r>
    </w:p>
    <w:p>
      <w:pPr>
        <w:autoSpaceDN w:val="0"/>
        <w:autoSpaceDE w:val="0"/>
        <w:widowControl/>
        <w:spacing w:line="180" w:lineRule="exact" w:before="60" w:after="3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Borrowings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10.0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224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borrowings, at fair value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33,284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33,284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</w:tr>
      <w:tr>
        <w:trPr>
          <w:trHeight w:hRule="exact" w:val="240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borrowings, at amortized cost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12,012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10,930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11,494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9,920 </w:t>
            </w:r>
          </w:p>
        </w:tc>
      </w:tr>
      <w:tr>
        <w:trPr>
          <w:trHeight w:hRule="exact" w:val="252"/>
        </w:trPr>
        <w:tc>
          <w:tcPr>
            <w:tcW w:type="dxa" w:w="3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21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Concessional partner loans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7,470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6,573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7,004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6,049 </w:t>
            </w:r>
          </w:p>
        </w:tc>
      </w:tr>
    </w:tbl>
    <w:p>
      <w:pPr>
        <w:autoSpaceDN w:val="0"/>
        <w:autoSpaceDE w:val="0"/>
        <w:widowControl/>
        <w:spacing w:line="178" w:lineRule="exact" w:before="28" w:after="6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 under repurchase agreements, securities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78"/>
        <w:gridCol w:w="1878"/>
        <w:gridCol w:w="1878"/>
        <w:gridCol w:w="1878"/>
        <w:gridCol w:w="1878"/>
      </w:tblGrid>
      <w:tr>
        <w:trPr>
          <w:trHeight w:hRule="exact" w:val="176"/>
        </w:trPr>
        <w:tc>
          <w:tcPr>
            <w:tcW w:type="dxa" w:w="4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lent under securities lending agreements, and payable </w:t>
            </w:r>
          </w:p>
        </w:tc>
        <w:tc>
          <w:tcPr>
            <w:tcW w:type="dxa" w:w="12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2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45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  <w:tc>
          <w:tcPr>
            <w:tcW w:type="dxa" w:w="844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68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</w:tr>
      <w:tr>
        <w:trPr>
          <w:trHeight w:hRule="exact" w:val="199"/>
        </w:trPr>
        <w:tc>
          <w:tcPr>
            <w:tcW w:type="dxa" w:w="47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42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for cash collateral received</w:t>
            </w:r>
          </w:p>
        </w:tc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  <w:tc>
          <w:tcPr>
            <w:tcW w:type="dxa" w:w="1878"/>
            <w:vMerge/>
            <w:tcBorders/>
          </w:tcPr>
          <w:p/>
        </w:tc>
      </w:tr>
      <w:tr>
        <w:trPr>
          <w:trHeight w:hRule="exact" w:val="481"/>
        </w:trPr>
        <w:tc>
          <w:tcPr>
            <w:tcW w:type="dxa" w:w="47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12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704 </w:t>
            </w:r>
          </w:p>
        </w:tc>
        <w:tc>
          <w:tcPr>
            <w:tcW w:type="dxa" w:w="1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704 </w:t>
            </w:r>
          </w:p>
        </w:tc>
        <w:tc>
          <w:tcPr>
            <w:tcW w:type="dxa" w:w="12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  <w:tc>
          <w:tcPr>
            <w:tcW w:type="dxa" w:w="84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4" w:after="0"/>
              <w:ind w:left="0" w:right="4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</w:tr>
    </w:tbl>
    <w:p>
      <w:pPr>
        <w:autoSpaceDN w:val="0"/>
        <w:autoSpaceDE w:val="0"/>
        <w:widowControl/>
        <w:spacing w:line="240" w:lineRule="exact" w:before="16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IDA’s signed loan commitments were $71.2 billion ($68.9 billion — June 30, 2024)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had a fair value of $(13.1) billion ($(12.8) billion—June 30, 2024).</w:t>
      </w:r>
    </w:p>
    <w:p>
      <w:pPr>
        <w:autoSpaceDN w:val="0"/>
        <w:autoSpaceDE w:val="0"/>
        <w:widowControl/>
        <w:spacing w:line="224" w:lineRule="exact" w:before="7714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49</w:t>
      </w:r>
    </w:p>
    <w:p>
      <w:pPr>
        <w:sectPr>
          <w:pgSz w:w="12240" w:h="15840"/>
          <w:pgMar w:top="700" w:right="142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present IDA’s fair value hierarchy for assets and liabilities measured at fair value on a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recurring basis. 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J2: Fair value hierarchy of IDA’s assets and liabilities</w:t>
      </w:r>
    </w:p>
    <w:p>
      <w:pPr>
        <w:autoSpaceDN w:val="0"/>
        <w:tabs>
          <w:tab w:pos="5606" w:val="left"/>
          <w:tab w:pos="6358" w:val="left"/>
        </w:tabs>
        <w:autoSpaceDE w:val="0"/>
        <w:widowControl/>
        <w:spacing w:line="240" w:lineRule="exact" w:before="92" w:after="20"/>
        <w:ind w:left="62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Fair Value Measurements on a Recurring Basis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As of September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90.0" w:type="dxa"/>
      </w:tblPr>
      <w:tblGrid>
        <w:gridCol w:w="2359"/>
        <w:gridCol w:w="2359"/>
        <w:gridCol w:w="2359"/>
        <w:gridCol w:w="2359"/>
      </w:tblGrid>
      <w:tr>
        <w:trPr>
          <w:trHeight w:hRule="exact" w:val="240"/>
        </w:trPr>
        <w:tc>
          <w:tcPr>
            <w:tcW w:type="dxa" w:w="9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1</w:t>
            </w:r>
          </w:p>
        </w:tc>
        <w:tc>
          <w:tcPr>
            <w:tcW w:type="dxa" w:w="1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2</w:t>
            </w:r>
          </w:p>
        </w:tc>
        <w:tc>
          <w:tcPr>
            <w:tcW w:type="dxa" w:w="106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3</w:t>
            </w:r>
          </w:p>
        </w:tc>
        <w:tc>
          <w:tcPr>
            <w:tcW w:type="dxa" w:w="10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9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220" w:lineRule="exact" w:before="0" w:after="32"/>
        <w:ind w:left="62" w:right="7632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Assets: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Investments—Trading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38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Government, agency and corporate obligations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13,148 </w:t>
            </w:r>
          </w:p>
        </w:tc>
        <w:tc>
          <w:tcPr>
            <w:tcW w:type="dxa" w:w="41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10,807 </w:t>
            </w:r>
          </w:p>
        </w:tc>
        <w:tc>
          <w:tcPr>
            <w:tcW w:type="dxa" w:w="5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23,955 </w:t>
            </w:r>
          </w:p>
        </w:tc>
      </w:tr>
      <w:tr>
        <w:trPr>
          <w:trHeight w:hRule="exact" w:val="24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1,066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13,921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14,987 </w:t>
            </w:r>
          </w:p>
        </w:tc>
      </w:tr>
      <w:tr>
        <w:trPr>
          <w:trHeight w:hRule="exact" w:val="240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107 </w:t>
            </w:r>
          </w:p>
        </w:tc>
      </w:tr>
      <w:tr>
        <w:trPr>
          <w:trHeight w:hRule="exact" w:val="240"/>
        </w:trPr>
        <w:tc>
          <w:tcPr>
            <w:tcW w:type="dxa" w:w="5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Investments—Trading</w:t>
            </w:r>
          </w:p>
        </w:tc>
        <w:tc>
          <w:tcPr>
            <w:tcW w:type="dxa" w:w="2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14,214 </w:t>
            </w:r>
          </w:p>
        </w:tc>
        <w:tc>
          <w:tcPr>
            <w:tcW w:type="dxa" w:w="41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24,835 </w:t>
            </w:r>
          </w:p>
        </w:tc>
        <w:tc>
          <w:tcPr>
            <w:tcW w:type="dxa" w:w="576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39,049 </w:t>
            </w:r>
          </w:p>
        </w:tc>
      </w:tr>
      <w:tr>
        <w:trPr>
          <w:trHeight w:hRule="exact" w:val="240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Investments—Non-trading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8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</w:tr>
      <w:tr>
        <w:trPr>
          <w:trHeight w:hRule="exact" w:val="340"/>
        </w:trPr>
        <w:tc>
          <w:tcPr>
            <w:tcW w:type="dxa" w:w="5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</w:t>
            </w:r>
          </w:p>
        </w:tc>
        <w:tc>
          <w:tcPr>
            <w:tcW w:type="dxa" w:w="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14,214 </w:t>
            </w:r>
          </w:p>
        </w:tc>
        <w:tc>
          <w:tcPr>
            <w:tcW w:type="dxa" w:w="41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24,976 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39,190 </w:t>
            </w:r>
          </w:p>
        </w:tc>
      </w:tr>
      <w:tr>
        <w:trPr>
          <w:trHeight w:hRule="exact" w:val="396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188 </w:t>
            </w:r>
          </w:p>
        </w:tc>
        <w:tc>
          <w:tcPr>
            <w:tcW w:type="dxa" w:w="5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5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188 </w:t>
            </w:r>
          </w:p>
        </w:tc>
      </w:tr>
    </w:tbl>
    <w:p>
      <w:pPr>
        <w:autoSpaceDN w:val="0"/>
        <w:autoSpaceDE w:val="0"/>
        <w:widowControl/>
        <w:spacing w:line="178" w:lineRule="exact" w:before="226" w:after="32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8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and currency forward contracts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432 </w:t>
            </w:r>
          </w:p>
        </w:tc>
        <w:tc>
          <w:tcPr>
            <w:tcW w:type="dxa" w:w="5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432 </w:t>
            </w:r>
          </w:p>
        </w:tc>
      </w:tr>
      <w:tr>
        <w:trPr>
          <w:trHeight w:hRule="exact" w:val="240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2,309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2,309 </w:t>
            </w:r>
          </w:p>
        </w:tc>
      </w:tr>
      <w:tr>
        <w:trPr>
          <w:trHeight w:hRule="exact" w:val="250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42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4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2,741 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2,744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20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3146"/>
        <w:gridCol w:w="3146"/>
        <w:gridCol w:w="3146"/>
      </w:tblGrid>
      <w:tr>
        <w:trPr>
          <w:trHeight w:hRule="exact" w:val="240"/>
        </w:trPr>
        <w:tc>
          <w:tcPr>
            <w:tcW w:type="dxa" w:w="83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32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1,538 </w:t>
            </w:r>
          </w:p>
        </w:tc>
      </w:tr>
      <w:tr>
        <w:trPr>
          <w:trHeight w:hRule="exact" w:val="250"/>
        </w:trPr>
        <w:tc>
          <w:tcPr>
            <w:tcW w:type="dxa" w:w="83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collateral received</w:t>
            </w:r>
          </w:p>
        </w:tc>
        <w:tc>
          <w:tcPr>
            <w:tcW w:type="dxa" w:w="3146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807 </w:t>
            </w:r>
          </w:p>
        </w:tc>
      </w:tr>
      <w:tr>
        <w:trPr>
          <w:trHeight w:hRule="exact" w:val="240"/>
        </w:trPr>
        <w:tc>
          <w:tcPr>
            <w:tcW w:type="dxa" w:w="8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399 </w:t>
            </w:r>
          </w:p>
        </w:tc>
      </w:tr>
    </w:tbl>
    <w:p>
      <w:pPr>
        <w:autoSpaceDN w:val="0"/>
        <w:autoSpaceDE w:val="0"/>
        <w:widowControl/>
        <w:spacing w:line="180" w:lineRule="exact" w:before="316" w:after="30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70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Borrowings, at fair value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33,284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33,284 </w:t>
            </w:r>
          </w:p>
        </w:tc>
      </w:tr>
    </w:tbl>
    <w:p>
      <w:pPr>
        <w:autoSpaceDN w:val="0"/>
        <w:autoSpaceDE w:val="0"/>
        <w:widowControl/>
        <w:spacing w:line="180" w:lineRule="exact" w:before="246" w:after="6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 under repurchase agreements, securities lent under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80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 agreements, and payable for cash collateral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2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10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25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98" w:after="0"/>
              <w:ind w:left="0" w:right="4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</w:tr>
      <w:tr>
        <w:trPr>
          <w:trHeight w:hRule="exact" w:val="258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26" w:after="32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28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currency forward contracts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741 </w:t>
            </w:r>
          </w:p>
        </w:tc>
        <w:tc>
          <w:tcPr>
            <w:tcW w:type="dxa" w:w="5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741 </w:t>
            </w:r>
          </w:p>
        </w:tc>
      </w:tr>
      <w:tr>
        <w:trPr>
          <w:trHeight w:hRule="exact" w:val="250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1,430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4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1,430 </w:t>
            </w:r>
          </w:p>
        </w:tc>
      </w:tr>
      <w:tr>
        <w:trPr>
          <w:trHeight w:hRule="exact" w:val="240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5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2,171 </w:t>
            </w:r>
          </w:p>
        </w:tc>
        <w:tc>
          <w:tcPr>
            <w:tcW w:type="dxa" w:w="5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4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3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2,171 </w:t>
            </w:r>
          </w:p>
        </w:tc>
      </w:tr>
    </w:tbl>
    <w:p>
      <w:pPr>
        <w:autoSpaceDN w:val="0"/>
        <w:autoSpaceDE w:val="0"/>
        <w:widowControl/>
        <w:spacing w:line="178" w:lineRule="exact" w:before="32" w:after="20"/>
        <w:ind w:left="24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6"/>
        <w:gridCol w:w="3146"/>
        <w:gridCol w:w="3146"/>
      </w:tblGrid>
      <w:tr>
        <w:trPr>
          <w:trHeight w:hRule="exact" w:val="250"/>
        </w:trPr>
        <w:tc>
          <w:tcPr>
            <w:tcW w:type="dxa" w:w="844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3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32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1,467 </w:t>
            </w:r>
          </w:p>
        </w:tc>
      </w:tr>
      <w:tr>
        <w:trPr>
          <w:trHeight w:hRule="exact" w:val="240"/>
        </w:trPr>
        <w:tc>
          <w:tcPr>
            <w:tcW w:type="dxa" w:w="844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3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704 </w:t>
            </w:r>
          </w:p>
        </w:tc>
      </w:tr>
    </w:tbl>
    <w:p>
      <w:pPr>
        <w:autoSpaceDN w:val="0"/>
        <w:autoSpaceDE w:val="0"/>
        <w:widowControl/>
        <w:spacing w:line="240" w:lineRule="exact" w:before="210" w:after="0"/>
        <w:ind w:left="62" w:right="273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These relate to TBA Securities, swaptions, exchange traded options and futures contracts. </w:t>
      </w:r>
      <w:r>
        <w:rPr>
          <w:rFonts w:ascii="Arial" w:hAnsi="Arial" w:eastAsia="Arial"/>
          <w:b w:val="0"/>
          <w:i/>
          <w:color w:val="000000"/>
          <w:sz w:val="16"/>
        </w:rPr>
        <w:t>b. Includes $91 million CVA.</w:t>
      </w:r>
    </w:p>
    <w:p>
      <w:pPr>
        <w:autoSpaceDN w:val="0"/>
        <w:autoSpaceDE w:val="0"/>
        <w:widowControl/>
        <w:spacing w:line="240" w:lineRule="exact" w:before="0" w:after="0"/>
        <w:ind w:left="62" w:right="41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Excludes amount payable for cash collateral received of $807 million. </w:t>
      </w:r>
      <w:r>
        <w:rPr>
          <w:rFonts w:ascii="Arial" w:hAnsi="Arial" w:eastAsia="Arial"/>
          <w:b w:val="0"/>
          <w:i/>
          <w:color w:val="000000"/>
          <w:sz w:val="16"/>
        </w:rPr>
        <w:t>d. Includes $20 million DVA.</w:t>
      </w:r>
    </w:p>
    <w:p>
      <w:pPr>
        <w:autoSpaceDN w:val="0"/>
        <w:autoSpaceDE w:val="0"/>
        <w:widowControl/>
        <w:spacing w:line="224" w:lineRule="exact" w:before="229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50     IDA Quarterly Financial Statements: September 30, 2024 (Unaudited)</w:t>
      </w:r>
    </w:p>
    <w:p>
      <w:pPr>
        <w:sectPr>
          <w:pgSz w:w="12240" w:h="15840"/>
          <w:pgMar w:top="700" w:right="1372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78"/>
        <w:ind w:left="0" w:right="0"/>
      </w:pPr>
    </w:p>
    <w:p>
      <w:pPr>
        <w:autoSpaceDN w:val="0"/>
        <w:autoSpaceDE w:val="0"/>
        <w:widowControl/>
        <w:spacing w:line="220" w:lineRule="exact" w:before="0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J2.1</w:t>
      </w:r>
    </w:p>
    <w:p>
      <w:pPr>
        <w:autoSpaceDN w:val="0"/>
        <w:tabs>
          <w:tab w:pos="5606" w:val="left"/>
          <w:tab w:pos="6574" w:val="left"/>
        </w:tabs>
        <w:autoSpaceDE w:val="0"/>
        <w:widowControl/>
        <w:spacing w:line="224" w:lineRule="exact" w:before="92" w:after="18"/>
        <w:ind w:left="118" w:right="432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In millions of U.S. dollars </w:t>
      </w:r>
      <w:r>
        <w:br/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 xml:space="preserve">Fair Value Measurements on a Recurring Basis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As of June 30, 2024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190.0" w:type="dxa"/>
      </w:tblPr>
      <w:tblGrid>
        <w:gridCol w:w="2359"/>
        <w:gridCol w:w="2359"/>
        <w:gridCol w:w="2359"/>
        <w:gridCol w:w="2359"/>
      </w:tblGrid>
      <w:tr>
        <w:trPr>
          <w:trHeight w:hRule="exact" w:val="226"/>
        </w:trPr>
        <w:tc>
          <w:tcPr>
            <w:tcW w:type="dxa" w:w="9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1</w:t>
            </w:r>
          </w:p>
        </w:tc>
        <w:tc>
          <w:tcPr>
            <w:tcW w:type="dxa" w:w="111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2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2</w:t>
            </w:r>
          </w:p>
        </w:tc>
        <w:tc>
          <w:tcPr>
            <w:tcW w:type="dxa" w:w="10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0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Level 3</w:t>
            </w:r>
          </w:p>
        </w:tc>
        <w:tc>
          <w:tcPr>
            <w:tcW w:type="dxa" w:w="10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8" w:after="0"/>
              <w:ind w:left="0" w:right="28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</w:tr>
    </w:tbl>
    <w:p>
      <w:pPr>
        <w:autoSpaceDN w:val="0"/>
        <w:tabs>
          <w:tab w:pos="152" w:val="left"/>
        </w:tabs>
        <w:autoSpaceDE w:val="0"/>
        <w:widowControl/>
        <w:spacing w:line="210" w:lineRule="exact" w:before="0" w:after="20"/>
        <w:ind w:left="62" w:right="7632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 xml:space="preserve">Assets: </w:t>
      </w:r>
      <w:r>
        <w:br/>
      </w:r>
      <w:r>
        <w:rPr>
          <w:rFonts w:ascii="ArialMT" w:hAnsi="ArialMT" w:eastAsia="ArialMT"/>
          <w:b w:val="0"/>
          <w:i w:val="0"/>
          <w:color w:val="000000"/>
          <w:sz w:val="16"/>
        </w:rPr>
        <w:t>Investments—Trading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92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Government and agency obligations</w:t>
            </w:r>
          </w:p>
        </w:tc>
        <w:tc>
          <w:tcPr>
            <w:tcW w:type="dxa" w:w="28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12,806 </w:t>
            </w:r>
          </w:p>
        </w:tc>
        <w:tc>
          <w:tcPr>
            <w:tcW w:type="dxa" w:w="29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6,574 </w:t>
            </w:r>
          </w:p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19,380 </w:t>
            </w:r>
          </w:p>
        </w:tc>
      </w:tr>
      <w:tr>
        <w:trPr>
          <w:trHeight w:hRule="exact" w:val="220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Time deposits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2,032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12,683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14,715 </w:t>
            </w:r>
          </w:p>
        </w:tc>
      </w:tr>
      <w:tr>
        <w:trPr>
          <w:trHeight w:hRule="exact" w:val="266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4" w:after="0"/>
              <w:ind w:left="2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ABS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111 </w:t>
            </w:r>
          </w:p>
        </w:tc>
      </w:tr>
      <w:tr>
        <w:trPr>
          <w:trHeight w:hRule="exact" w:val="194"/>
        </w:trPr>
        <w:tc>
          <w:tcPr>
            <w:tcW w:type="dxa" w:w="5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Investments—Trading</w:t>
            </w:r>
          </w:p>
        </w:tc>
        <w:tc>
          <w:tcPr>
            <w:tcW w:type="dxa" w:w="28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8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14,838 </w:t>
            </w:r>
          </w:p>
        </w:tc>
        <w:tc>
          <w:tcPr>
            <w:tcW w:type="dxa" w:w="29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19,368 </w:t>
            </w:r>
          </w:p>
        </w:tc>
        <w:tc>
          <w:tcPr>
            <w:tcW w:type="dxa" w:w="56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34,206 </w:t>
            </w:r>
          </w:p>
        </w:tc>
      </w:tr>
      <w:tr>
        <w:trPr>
          <w:trHeight w:hRule="exact" w:val="254"/>
        </w:trPr>
        <w:tc>
          <w:tcPr>
            <w:tcW w:type="dxa" w:w="51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54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Investments—Non-trading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8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7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</w:tr>
      <w:tr>
        <w:trPr>
          <w:trHeight w:hRule="exact" w:val="186"/>
        </w:trPr>
        <w:tc>
          <w:tcPr>
            <w:tcW w:type="dxa" w:w="512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 Investments</w:t>
            </w:r>
          </w:p>
        </w:tc>
        <w:tc>
          <w:tcPr>
            <w:tcW w:type="dxa" w:w="2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14,838 </w:t>
            </w:r>
          </w:p>
        </w:tc>
        <w:tc>
          <w:tcPr>
            <w:tcW w:type="dxa" w:w="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19,539 </w:t>
            </w:r>
          </w:p>
        </w:tc>
        <w:tc>
          <w:tcPr>
            <w:tcW w:type="dxa" w:w="5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34,377 </w:t>
            </w:r>
          </w:p>
        </w:tc>
      </w:tr>
      <w:tr>
        <w:trPr>
          <w:trHeight w:hRule="exact" w:val="536"/>
        </w:trPr>
        <w:tc>
          <w:tcPr>
            <w:tcW w:type="dxa" w:w="5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Securities purchased under resale agreements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8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17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  <w:tc>
          <w:tcPr>
            <w:tcW w:type="dxa" w:w="5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6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9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58 </w:t>
            </w:r>
          </w:p>
        </w:tc>
      </w:tr>
    </w:tbl>
    <w:p>
      <w:pPr>
        <w:autoSpaceDN w:val="0"/>
        <w:autoSpaceDE w:val="0"/>
        <w:widowControl/>
        <w:spacing w:line="178" w:lineRule="exact" w:before="218" w:after="20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assets: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88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Currency swaps and currency forward contracts 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3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0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767 </w:t>
            </w:r>
          </w:p>
        </w:tc>
      </w:tr>
      <w:tr>
        <w:trPr>
          <w:trHeight w:hRule="exact" w:val="239"/>
        </w:trPr>
        <w:tc>
          <w:tcPr>
            <w:tcW w:type="dxa" w:w="5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2,250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6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2,250 </w:t>
            </w:r>
          </w:p>
        </w:tc>
      </w:tr>
      <w:tr>
        <w:trPr>
          <w:trHeight w:hRule="exact" w:val="267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3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a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58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</w:tr>
      <w:tr>
        <w:trPr>
          <w:trHeight w:hRule="exact" w:val="222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 </w:t>
            </w:r>
          </w:p>
        </w:tc>
        <w:tc>
          <w:tcPr>
            <w:tcW w:type="dxa" w:w="33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3,017 </w:t>
            </w:r>
          </w:p>
        </w:tc>
        <w:tc>
          <w:tcPr>
            <w:tcW w:type="dxa" w:w="5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0" w:right="1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3,020 </w:t>
            </w:r>
          </w:p>
        </w:tc>
      </w:tr>
    </w:tbl>
    <w:p>
      <w:pPr>
        <w:autoSpaceDN w:val="0"/>
        <w:autoSpaceDE w:val="0"/>
        <w:widowControl/>
        <w:spacing w:line="178" w:lineRule="exact" w:before="26" w:after="16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3146"/>
        <w:gridCol w:w="3146"/>
        <w:gridCol w:w="3146"/>
      </w:tblGrid>
      <w:tr>
        <w:trPr>
          <w:trHeight w:hRule="exact" w:val="232"/>
        </w:trPr>
        <w:tc>
          <w:tcPr>
            <w:tcW w:type="dxa" w:w="84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exact" w:before="16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</w:p>
        </w:tc>
        <w:tc>
          <w:tcPr>
            <w:tcW w:type="dxa" w:w="2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38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1,764 </w:t>
            </w:r>
          </w:p>
        </w:tc>
      </w:tr>
      <w:tr>
        <w:trPr>
          <w:trHeight w:hRule="exact" w:val="240"/>
        </w:trPr>
        <w:tc>
          <w:tcPr>
            <w:tcW w:type="dxa" w:w="840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0" w:after="0"/>
              <w:ind w:left="17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Cash collateral received</w:t>
            </w:r>
          </w:p>
        </w:tc>
        <w:tc>
          <w:tcPr>
            <w:tcW w:type="dxa" w:w="3146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893 </w:t>
            </w:r>
          </w:p>
        </w:tc>
      </w:tr>
      <w:tr>
        <w:trPr>
          <w:trHeight w:hRule="exact" w:val="226"/>
        </w:trPr>
        <w:tc>
          <w:tcPr>
            <w:tcW w:type="dxa" w:w="8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assets, net</w:t>
            </w:r>
          </w:p>
        </w:tc>
        <w:tc>
          <w:tcPr>
            <w:tcW w:type="dxa" w:w="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363 </w:t>
            </w:r>
          </w:p>
        </w:tc>
      </w:tr>
    </w:tbl>
    <w:p>
      <w:pPr>
        <w:autoSpaceDN w:val="0"/>
        <w:autoSpaceDE w:val="0"/>
        <w:widowControl/>
        <w:spacing w:line="180" w:lineRule="exact" w:before="240" w:after="24"/>
        <w:ind w:left="62" w:right="0" w:firstLine="0"/>
        <w:jc w:val="left"/>
      </w:pPr>
      <w:r>
        <w:rPr>
          <w:rFonts w:ascii="Arial" w:hAnsi="Arial" w:eastAsia="Arial"/>
          <w:b/>
          <w:i w:val="0"/>
          <w:color w:val="000000"/>
          <w:sz w:val="16"/>
        </w:rPr>
        <w:t>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268"/>
        </w:trPr>
        <w:tc>
          <w:tcPr>
            <w:tcW w:type="dxa" w:w="3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8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Market Borrowings, at fair value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</w:tr>
    </w:tbl>
    <w:p>
      <w:pPr>
        <w:autoSpaceDN w:val="0"/>
        <w:autoSpaceDE w:val="0"/>
        <w:widowControl/>
        <w:spacing w:line="178" w:lineRule="exact" w:before="240" w:after="6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 xml:space="preserve">Securities sold under repurchase agreements, securities lent under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78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securities lending agreements, and payable for cash collateral </w:t>
            </w:r>
          </w:p>
        </w:tc>
        <w:tc>
          <w:tcPr>
            <w:tcW w:type="dxa" w:w="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11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25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1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2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11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00" w:after="0"/>
              <w:ind w:left="0" w:right="4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71 </w:t>
            </w:r>
          </w:p>
        </w:tc>
      </w:tr>
      <w:tr>
        <w:trPr>
          <w:trHeight w:hRule="exact" w:val="260"/>
        </w:trPr>
        <w:tc>
          <w:tcPr>
            <w:tcW w:type="dxa" w:w="4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received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c</w:t>
            </w:r>
          </w:p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78" w:lineRule="exact" w:before="220" w:after="20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Derivative liabilities: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rHeight w:hRule="exact" w:val="182"/>
        </w:trPr>
        <w:tc>
          <w:tcPr>
            <w:tcW w:type="dxa" w:w="5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Currency swaps and currency forward contracts</w:t>
            </w:r>
          </w:p>
        </w:tc>
        <w:tc>
          <w:tcPr>
            <w:tcW w:type="dxa" w:w="4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665 </w:t>
            </w:r>
          </w:p>
        </w:tc>
        <w:tc>
          <w:tcPr>
            <w:tcW w:type="dxa" w:w="56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9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18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665 </w:t>
            </w:r>
          </w:p>
        </w:tc>
      </w:tr>
      <w:tr>
        <w:trPr>
          <w:trHeight w:hRule="exact" w:val="46"/>
        </w:trPr>
        <w:tc>
          <w:tcPr>
            <w:tcW w:type="dxa" w:w="1049"/>
            <w:vMerge/>
            <w:tcBorders/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5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3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1,694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4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6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2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1,694 </w:t>
            </w:r>
          </w:p>
        </w:tc>
      </w:tr>
      <w:tr>
        <w:trPr>
          <w:trHeight w:hRule="exact" w:val="224"/>
        </w:trPr>
        <w:tc>
          <w:tcPr>
            <w:tcW w:type="dxa" w:w="50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4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Interest rate swaps</w:t>
            </w:r>
          </w:p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  <w:tc>
          <w:tcPr>
            <w:tcW w:type="dxa" w:w="1049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222"/>
        </w:trPr>
        <w:tc>
          <w:tcPr>
            <w:tcW w:type="dxa" w:w="50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50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7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56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2,359 </w:t>
            </w:r>
          </w:p>
        </w:tc>
        <w:tc>
          <w:tcPr>
            <w:tcW w:type="dxa" w:w="5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4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18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2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2,359 </w:t>
            </w:r>
          </w:p>
        </w:tc>
      </w:tr>
    </w:tbl>
    <w:p>
      <w:pPr>
        <w:autoSpaceDN w:val="0"/>
        <w:autoSpaceDE w:val="0"/>
        <w:widowControl/>
        <w:spacing w:line="178" w:lineRule="exact" w:before="28" w:after="16"/>
        <w:ind w:left="15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Less: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146"/>
        <w:gridCol w:w="3146"/>
        <w:gridCol w:w="3146"/>
      </w:tblGrid>
      <w:tr>
        <w:trPr>
          <w:trHeight w:hRule="exact" w:val="246"/>
        </w:trPr>
        <w:tc>
          <w:tcPr>
            <w:tcW w:type="dxa" w:w="847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1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Amounts subject to legally enforceable master netting agreements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2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1,692 </w:t>
            </w:r>
          </w:p>
        </w:tc>
      </w:tr>
      <w:tr>
        <w:trPr>
          <w:trHeight w:hRule="exact" w:val="226"/>
        </w:trPr>
        <w:tc>
          <w:tcPr>
            <w:tcW w:type="dxa" w:w="847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14" w:after="0"/>
              <w:ind w:left="15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Derivative liabilities, net</w:t>
            </w:r>
          </w:p>
        </w:tc>
        <w:tc>
          <w:tcPr>
            <w:tcW w:type="dxa" w:w="29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0" w:right="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667 </w:t>
            </w:r>
          </w:p>
        </w:tc>
      </w:tr>
    </w:tbl>
    <w:p>
      <w:pPr>
        <w:autoSpaceDN w:val="0"/>
        <w:autoSpaceDE w:val="0"/>
        <w:widowControl/>
        <w:spacing w:line="240" w:lineRule="exact" w:before="180" w:after="0"/>
        <w:ind w:left="62" w:right="273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a. These relate to TBA Securities, swaptions, exchange traded options and futures contracts. </w:t>
      </w:r>
      <w:r>
        <w:rPr>
          <w:rFonts w:ascii="Arial" w:hAnsi="Arial" w:eastAsia="Arial"/>
          <w:b w:val="0"/>
          <w:i/>
          <w:color w:val="000000"/>
          <w:sz w:val="16"/>
        </w:rPr>
        <w:t>b. Includes $92 million CVA.</w:t>
      </w:r>
    </w:p>
    <w:p>
      <w:pPr>
        <w:autoSpaceDN w:val="0"/>
        <w:autoSpaceDE w:val="0"/>
        <w:widowControl/>
        <w:spacing w:line="224" w:lineRule="exact" w:before="16" w:after="0"/>
        <w:ind w:left="62" w:right="4176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Excludes amount payable for cash collateral received of $893 million. </w:t>
      </w:r>
      <w:r>
        <w:rPr>
          <w:rFonts w:ascii="Arial" w:hAnsi="Arial" w:eastAsia="Arial"/>
          <w:b w:val="0"/>
          <w:i/>
          <w:color w:val="000000"/>
          <w:sz w:val="16"/>
        </w:rPr>
        <w:t>d. Includes $20 million DVA.</w:t>
      </w:r>
    </w:p>
    <w:p>
      <w:pPr>
        <w:autoSpaceDN w:val="0"/>
        <w:autoSpaceDE w:val="0"/>
        <w:widowControl/>
        <w:spacing w:line="240" w:lineRule="exact" w:before="192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Presented below is the difference between the aggregate fair value and aggregate contractual principal balance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non-trading securities in the investment portfolio:</w:t>
      </w:r>
    </w:p>
    <w:p>
      <w:pPr>
        <w:autoSpaceDN w:val="0"/>
        <w:autoSpaceDE w:val="0"/>
        <w:widowControl/>
        <w:spacing w:line="222" w:lineRule="exact" w:before="138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J3: Investment portfolio-Non-trading security</w:t>
      </w:r>
    </w:p>
    <w:p>
      <w:pPr>
        <w:autoSpaceDN w:val="0"/>
        <w:autoSpaceDE w:val="0"/>
        <w:widowControl/>
        <w:spacing w:line="178" w:lineRule="exact" w:before="150" w:after="20"/>
        <w:ind w:left="11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rHeight w:hRule="exact" w:val="240"/>
        </w:trPr>
        <w:tc>
          <w:tcPr>
            <w:tcW w:type="dxa" w:w="27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9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2400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58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Principal amount due</w:t>
            </w:r>
          </w:p>
        </w:tc>
        <w:tc>
          <w:tcPr>
            <w:tcW w:type="dxa" w:w="9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5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7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Difference</w:t>
            </w:r>
          </w:p>
        </w:tc>
      </w:tr>
      <w:tr>
        <w:trPr>
          <w:trHeight w:hRule="exact" w:val="240"/>
        </w:trPr>
        <w:tc>
          <w:tcPr>
            <w:tcW w:type="dxa" w:w="276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30, 2024</w:t>
            </w:r>
          </w:p>
        </w:tc>
        <w:tc>
          <w:tcPr>
            <w:tcW w:type="dxa" w:w="37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141 </w:t>
            </w:r>
          </w:p>
        </w:tc>
        <w:tc>
          <w:tcPr>
            <w:tcW w:type="dxa" w:w="129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151 </w:t>
            </w:r>
          </w:p>
        </w:tc>
        <w:tc>
          <w:tcPr>
            <w:tcW w:type="dxa" w:w="9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6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(10) </w:t>
            </w:r>
          </w:p>
        </w:tc>
      </w:tr>
      <w:tr>
        <w:trPr>
          <w:trHeight w:hRule="exact" w:val="480"/>
        </w:trPr>
        <w:tc>
          <w:tcPr>
            <w:tcW w:type="dxa" w:w="2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11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37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171 </w:t>
            </w:r>
          </w:p>
        </w:tc>
        <w:tc>
          <w:tcPr>
            <w:tcW w:type="dxa" w:w="129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51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11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2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185 </w:t>
            </w:r>
          </w:p>
        </w:tc>
        <w:tc>
          <w:tcPr>
            <w:tcW w:type="dxa" w:w="9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17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5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2" w:after="0"/>
              <w:ind w:left="0" w:right="63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(14) </w:t>
            </w:r>
          </w:p>
        </w:tc>
      </w:tr>
    </w:tbl>
    <w:p>
      <w:pPr>
        <w:autoSpaceDN w:val="0"/>
        <w:autoSpaceDE w:val="0"/>
        <w:widowControl/>
        <w:spacing w:line="224" w:lineRule="exact" w:before="1046" w:after="0"/>
        <w:ind w:left="0" w:right="68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IDA Quarterly Financial Statements: September 30, 2024 (Unaudited)     51</w:t>
      </w:r>
    </w:p>
    <w:p>
      <w:pPr>
        <w:sectPr>
          <w:pgSz w:w="12240" w:h="15840"/>
          <w:pgMar w:top="700" w:right="1372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0"/>
        <w:ind w:left="0" w:right="0"/>
      </w:pPr>
    </w:p>
    <w:p>
      <w:pPr>
        <w:autoSpaceDN w:val="0"/>
        <w:autoSpaceDE w:val="0"/>
        <w:widowControl/>
        <w:spacing w:line="230" w:lineRule="exact" w:before="0" w:after="0"/>
        <w:ind w:left="10" w:right="288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Presented below is the difference between the aggregate fair value and aggregate contractual principal balance of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market borrowings at fair value:</w:t>
      </w:r>
    </w:p>
    <w:p>
      <w:pPr>
        <w:autoSpaceDN w:val="0"/>
        <w:autoSpaceDE w:val="0"/>
        <w:widowControl/>
        <w:spacing w:line="220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>Table J4: Market Borrowings at fair value</w:t>
      </w:r>
    </w:p>
    <w:p>
      <w:pPr>
        <w:autoSpaceDN w:val="0"/>
        <w:autoSpaceDE w:val="0"/>
        <w:widowControl/>
        <w:spacing w:line="178" w:lineRule="exact" w:before="154" w:after="0"/>
        <w:ind w:left="38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p>
      <w:pPr>
        <w:autoSpaceDN w:val="0"/>
        <w:autoSpaceDE w:val="0"/>
        <w:widowControl/>
        <w:spacing w:line="180" w:lineRule="exact" w:before="64" w:after="6"/>
        <w:ind w:left="0" w:right="2450" w:firstLine="0"/>
        <w:jc w:val="righ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Principal Due Upon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14"/>
        </w:trPr>
        <w:tc>
          <w:tcPr>
            <w:tcW w:type="dxa" w:w="31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Fair Value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7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22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Maturity</w:t>
            </w:r>
          </w:p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6" w:after="0"/>
              <w:ind w:left="174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Difference</w:t>
            </w:r>
          </w:p>
        </w:tc>
      </w:tr>
      <w:tr>
        <w:trPr>
          <w:trHeight w:hRule="exact" w:val="226"/>
        </w:trPr>
        <w:tc>
          <w:tcPr>
            <w:tcW w:type="dxa" w:w="31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September 30, 2024</w:t>
            </w:r>
          </w:p>
        </w:tc>
        <w:tc>
          <w:tcPr>
            <w:tcW w:type="dxa" w:w="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33,284 </w:t>
            </w:r>
          </w:p>
        </w:tc>
        <w:tc>
          <w:tcPr>
            <w:tcW w:type="dxa" w:w="78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9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7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34,331 </w:t>
            </w:r>
          </w:p>
        </w:tc>
        <w:tc>
          <w:tcPr>
            <w:tcW w:type="dxa" w:w="364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2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(1,047) </w:t>
            </w:r>
          </w:p>
        </w:tc>
      </w:tr>
      <w:tr>
        <w:trPr>
          <w:trHeight w:hRule="exact" w:val="494"/>
        </w:trPr>
        <w:tc>
          <w:tcPr>
            <w:tcW w:type="dxa" w:w="316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3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June 30, 2024</w:t>
            </w:r>
          </w:p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26,425 </w:t>
            </w:r>
          </w:p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2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79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788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27,886 </w:t>
            </w:r>
          </w:p>
        </w:tc>
        <w:tc>
          <w:tcPr>
            <w:tcW w:type="dxa" w:w="3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144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46" w:after="0"/>
              <w:ind w:left="0" w:right="522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(1,461) </w:t>
            </w:r>
          </w:p>
        </w:tc>
      </w:tr>
    </w:tbl>
    <w:p>
      <w:pPr>
        <w:autoSpaceDN w:val="0"/>
        <w:autoSpaceDE w:val="0"/>
        <w:widowControl/>
        <w:spacing w:line="224" w:lineRule="exact" w:before="178" w:after="0"/>
        <w:ind w:left="10" w:right="144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During the three months ended September 30, 2024, IDA recorded unrealized mark-to-market gains of $31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($7 million loss – three months ended September 30, 2023) in Other Comprehensive Income, in relation to the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changes in its own credit (DVA) on fair value option elected liabilities (market borrowings).</w:t>
      </w:r>
    </w:p>
    <w:p>
      <w:pPr>
        <w:autoSpaceDN w:val="0"/>
        <w:autoSpaceDE w:val="0"/>
        <w:widowControl/>
        <w:spacing w:line="224" w:lineRule="exact" w:before="12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As of September 30, 2024, IDA’s Condensed Balance Sheets included a DVA of $6 million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cumulative gains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($25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million cumulative loss—June 30, 2024) in Accumulated other comprehensive income, associated with the changes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in IDA’s own credit for its market borrowings reported at fair value.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 </w:t>
      </w:r>
    </w:p>
    <w:p>
      <w:pPr>
        <w:autoSpaceDN w:val="0"/>
        <w:autoSpaceDE w:val="0"/>
        <w:widowControl/>
        <w:spacing w:line="240" w:lineRule="exact" w:before="104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The following tables reflect the components of the unrealized mark-to-market gains or losses on IDA’s trading and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non-trading portfolios, net. </w:t>
      </w:r>
    </w:p>
    <w:p>
      <w:pPr>
        <w:autoSpaceDN w:val="0"/>
        <w:autoSpaceDE w:val="0"/>
        <w:widowControl/>
        <w:spacing w:line="222" w:lineRule="exact" w:before="136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0"/>
        </w:rPr>
        <w:t xml:space="preserve">Table J5: Unrealized mark-to-market gains (losses) on trading and non-trading portfolios, net </w:t>
      </w:r>
    </w:p>
    <w:p>
      <w:pPr>
        <w:autoSpaceDN w:val="0"/>
        <w:autoSpaceDE w:val="0"/>
        <w:widowControl/>
        <w:spacing w:line="180" w:lineRule="exact" w:before="152" w:after="2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In millions of U.S. dollars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  <w:gridCol w:w="674"/>
      </w:tblGrid>
      <w:tr>
        <w:trPr>
          <w:trHeight w:hRule="exact" w:val="240"/>
        </w:trPr>
        <w:tc>
          <w:tcPr>
            <w:tcW w:type="dxa" w:w="29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172"/>
            <w:gridSpan w:val="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 September 30, 2024</w:t>
            </w:r>
          </w:p>
        </w:tc>
        <w:tc>
          <w:tcPr>
            <w:tcW w:type="dxa" w:w="3208"/>
            <w:gridSpan w:val="7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0" w:lineRule="exact" w:before="20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Three Months Ended September 30, 2023</w:t>
            </w:r>
          </w:p>
        </w:tc>
      </w:tr>
      <w:tr>
        <w:trPr>
          <w:trHeight w:hRule="exact" w:val="620"/>
        </w:trPr>
        <w:tc>
          <w:tcPr>
            <w:tcW w:type="dxa" w:w="2954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216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2" w:after="0"/>
              <w:ind w:left="18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920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excluding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036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2" w:after="0"/>
              <w:ind w:left="1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  <w:tc>
          <w:tcPr>
            <w:tcW w:type="dxa" w:w="1244"/>
            <w:gridSpan w:val="3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2" w:after="0"/>
              <w:ind w:left="22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</w:p>
        </w:tc>
        <w:tc>
          <w:tcPr>
            <w:tcW w:type="dxa" w:w="936"/>
            <w:gridSpan w:val="2"/>
            <w:vMerge w:val="restart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34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(losses)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excluding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realized </w:t>
            </w:r>
            <w:r>
              <w:br/>
            </w: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amounts </w:t>
            </w:r>
            <w:r>
              <w:rPr>
                <w:w w:val="103.99999618530273"/>
                <w:rFonts w:ascii="Arial" w:hAnsi="Arial" w:eastAsia="Arial"/>
                <w:b w:val="0"/>
                <w:i/>
                <w:color w:val="000000"/>
                <w:sz w:val="10"/>
              </w:rPr>
              <w:t>a</w:t>
            </w:r>
          </w:p>
        </w:tc>
        <w:tc>
          <w:tcPr>
            <w:tcW w:type="dxa" w:w="1028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32" w:after="0"/>
              <w:ind w:left="150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Unrealized </w:t>
            </w:r>
          </w:p>
        </w:tc>
      </w:tr>
      <w:tr>
        <w:trPr>
          <w:trHeight w:hRule="exact" w:val="180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1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48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64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124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472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  <w:tc>
          <w:tcPr>
            <w:tcW w:type="dxa" w:w="13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2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" w:after="0"/>
              <w:ind w:left="0" w:right="260" w:firstLine="0"/>
              <w:jc w:val="righ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 xml:space="preserve">gains </w:t>
            </w:r>
          </w:p>
        </w:tc>
      </w:tr>
      <w:tr>
        <w:trPr>
          <w:trHeight w:hRule="exact" w:val="234"/>
        </w:trPr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216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18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674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3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244"/>
            <w:gridSpan w:val="3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256" w:right="0" w:firstLine="0"/>
              <w:jc w:val="left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  <w:tc>
          <w:tcPr>
            <w:tcW w:type="dxa" w:w="1348"/>
            <w:gridSpan w:val="2"/>
            <w:vMerge/>
            <w:tcBorders>
              <w:top w:sz="8.0" w:val="single" w:color="#000000"/>
              <w:bottom w:sz="8.0" w:val="single" w:color="#000000"/>
            </w:tcBorders>
          </w:tcPr>
          <w:p/>
        </w:tc>
        <w:tc>
          <w:tcPr>
            <w:tcW w:type="dxa" w:w="1028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6" w:after="0"/>
              <w:ind w:left="0" w:right="0" w:firstLine="0"/>
              <w:jc w:val="center"/>
            </w:pPr>
            <w:r>
              <w:rPr>
                <w:rFonts w:ascii="Arial" w:hAnsi="Arial" w:eastAsia="Arial"/>
                <w:b w:val="0"/>
                <w:i/>
                <w:color w:val="000000"/>
                <w:sz w:val="16"/>
              </w:rPr>
              <w:t>(losses)</w:t>
            </w:r>
          </w:p>
        </w:tc>
      </w:tr>
      <w:tr>
        <w:trPr>
          <w:trHeight w:hRule="exact" w:val="220"/>
        </w:trPr>
        <w:tc>
          <w:tcPr>
            <w:tcW w:type="dxa" w:w="29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Investments, Trading, net—Note F</w:t>
            </w:r>
          </w:p>
        </w:tc>
        <w:tc>
          <w:tcPr>
            <w:tcW w:type="dxa" w:w="31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(21) </w:t>
            </w:r>
          </w:p>
        </w:tc>
        <w:tc>
          <w:tcPr>
            <w:tcW w:type="dxa" w:w="2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9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191 </w:t>
            </w:r>
          </w:p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170 </w:t>
            </w:r>
          </w:p>
        </w:tc>
        <w:tc>
          <w:tcPr>
            <w:tcW w:type="dxa" w:w="34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9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0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(57) </w:t>
            </w:r>
          </w:p>
        </w:tc>
        <w:tc>
          <w:tcPr>
            <w:tcW w:type="dxa" w:w="468"/>
            <w:gridSpan w:val="2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0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78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69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12 </w:t>
            </w:r>
          </w:p>
        </w:tc>
      </w:tr>
    </w:tbl>
    <w:p>
      <w:pPr>
        <w:autoSpaceDN w:val="0"/>
        <w:autoSpaceDE w:val="0"/>
        <w:widowControl/>
        <w:spacing w:line="178" w:lineRule="exact" w:before="282" w:after="20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Non-trading portfolios, net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0.0" w:type="dxa"/>
      </w:tblPr>
      <w:tblGrid>
        <w:gridCol w:w="1349"/>
        <w:gridCol w:w="1349"/>
        <w:gridCol w:w="1349"/>
        <w:gridCol w:w="1349"/>
        <w:gridCol w:w="1349"/>
        <w:gridCol w:w="1349"/>
        <w:gridCol w:w="1349"/>
      </w:tblGrid>
      <w:tr>
        <w:trPr>
          <w:trHeight w:hRule="exact" w:val="252"/>
        </w:trPr>
        <w:tc>
          <w:tcPr>
            <w:tcW w:type="dxa" w:w="3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0" w:after="0"/>
              <w:ind w:left="13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Asset-liability management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b</w:t>
            </w: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—Note F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40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(90)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(90)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628 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15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628 </w:t>
            </w:r>
          </w:p>
        </w:tc>
      </w:tr>
    </w:tbl>
    <w:p>
      <w:pPr>
        <w:autoSpaceDN w:val="0"/>
        <w:autoSpaceDE w:val="0"/>
        <w:widowControl/>
        <w:spacing w:line="178" w:lineRule="exact" w:before="30" w:after="32"/>
        <w:ind w:left="62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16"/>
        </w:rPr>
        <w:t>Other Non-trading portfolios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</w:tblGrid>
      <w:tr>
        <w:trPr>
          <w:trHeight w:hRule="exact" w:val="224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Investment portfolio—Note C</w:t>
            </w:r>
          </w:p>
        </w:tc>
        <w:tc>
          <w:tcPr>
            <w:tcW w:type="dxa" w:w="376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6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26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30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5 </w:t>
            </w:r>
          </w:p>
        </w:tc>
        <w:tc>
          <w:tcPr>
            <w:tcW w:type="dxa" w:w="404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370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0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</w:tr>
      <w:tr>
        <w:trPr>
          <w:trHeight w:hRule="exact" w:val="22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Borrowing portfolio—Note E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38" w:after="0"/>
              <w:ind w:left="0" w:right="7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(9)  ᶜ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2" w:after="0"/>
              <w:ind w:left="0" w:right="24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  ᶜ </w:t>
            </w:r>
          </w:p>
        </w:tc>
      </w:tr>
      <w:tr>
        <w:trPr>
          <w:trHeight w:hRule="exact" w:val="260"/>
        </w:trPr>
        <w:tc>
          <w:tcPr>
            <w:tcW w:type="dxa" w:w="29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Loan-related derivatives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(32)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6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32 </w:t>
            </w:r>
          </w:p>
        </w:tc>
      </w:tr>
      <w:tr>
        <w:trPr>
          <w:trHeight w:hRule="exact" w:val="254"/>
        </w:trPr>
        <w:tc>
          <w:tcPr>
            <w:tcW w:type="dxa" w:w="295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0" w:lineRule="exact" w:before="24" w:after="0"/>
              <w:ind w:left="2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Other </w:t>
            </w:r>
            <w:r>
              <w:rPr>
                <w:w w:val="103.99999618530273"/>
                <w:rFonts w:ascii="ArialMT" w:hAnsi="ArialMT" w:eastAsia="ArialMT"/>
                <w:b w:val="0"/>
                <w:i w:val="0"/>
                <w:color w:val="000000"/>
                <w:sz w:val="10"/>
              </w:rPr>
              <w:t>d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2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8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20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6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(8)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73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76" w:firstLine="0"/>
              <w:jc w:val="righ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  <w:tc>
          <w:tcPr>
            <w:tcW w:type="dxa" w:w="726"/>
            <w:vMerge/>
            <w:tcBorders>
              <w:bottom w:sz="8.0" w:val="single" w:color="#000000"/>
            </w:tcBorders>
          </w:tcPr>
          <w:p/>
        </w:tc>
        <w:tc>
          <w:tcPr>
            <w:tcW w:type="dxa" w:w="664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(2) </w:t>
            </w:r>
          </w:p>
        </w:tc>
      </w:tr>
      <w:tr>
        <w:trPr>
          <w:trHeight w:hRule="exact" w:val="220"/>
        </w:trPr>
        <w:tc>
          <w:tcPr>
            <w:tcW w:type="dxa" w:w="295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>Total</w:t>
            </w:r>
          </w:p>
        </w:tc>
        <w:tc>
          <w:tcPr>
            <w:tcW w:type="dxa" w:w="37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6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2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36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8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42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(134) </w:t>
            </w:r>
          </w:p>
        </w:tc>
        <w:tc>
          <w:tcPr>
            <w:tcW w:type="dxa" w:w="30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6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98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(134) </w:t>
            </w:r>
          </w:p>
        </w:tc>
        <w:tc>
          <w:tcPr>
            <w:tcW w:type="dxa" w:w="40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— </w:t>
            </w:r>
          </w:p>
        </w:tc>
        <w:tc>
          <w:tcPr>
            <w:tcW w:type="dxa" w:w="41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73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656 </w:t>
            </w:r>
          </w:p>
        </w:tc>
        <w:tc>
          <w:tcPr>
            <w:tcW w:type="dxa" w:w="370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0" w:right="0" w:firstLine="0"/>
              <w:jc w:val="center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$ </w:t>
            </w:r>
          </w:p>
        </w:tc>
        <w:tc>
          <w:tcPr>
            <w:tcW w:type="dxa" w:w="664"/>
            <w:tcBorders>
              <w:top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22" w:after="0"/>
              <w:ind w:left="134" w:right="0" w:firstLine="0"/>
              <w:jc w:val="left"/>
            </w:pPr>
            <w:r>
              <w:rPr>
                <w:rFonts w:ascii="ArialMT" w:hAnsi="ArialMT" w:eastAsia="ArialMT"/>
                <w:b w:val="0"/>
                <w:i w:val="0"/>
                <w:color w:val="000000"/>
                <w:sz w:val="16"/>
              </w:rPr>
              <w:t xml:space="preserve">656 </w:t>
            </w:r>
          </w:p>
        </w:tc>
      </w:tr>
    </w:tbl>
    <w:p>
      <w:pPr>
        <w:autoSpaceDN w:val="0"/>
        <w:autoSpaceDE w:val="0"/>
        <w:widowControl/>
        <w:spacing w:line="178" w:lineRule="exact" w:before="29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a. Adjusted to exclude amounts reclassified to realized gains (losses).</w:t>
      </w:r>
    </w:p>
    <w:p>
      <w:pPr>
        <w:autoSpaceDN w:val="0"/>
        <w:tabs>
          <w:tab w:pos="242" w:val="left"/>
        </w:tabs>
        <w:autoSpaceDE w:val="0"/>
        <w:widowControl/>
        <w:spacing w:line="192" w:lineRule="exact" w:before="52" w:after="0"/>
        <w:ind w:left="62" w:right="72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b. Includes mark-to-market gains (losses) on the Capital Value Protection program (CVP) portfolio and other Asset-liability </w:t>
      </w:r>
      <w:r>
        <w:tab/>
      </w:r>
      <w:r>
        <w:rPr>
          <w:rFonts w:ascii="Arial" w:hAnsi="Arial" w:eastAsia="Arial"/>
          <w:b w:val="0"/>
          <w:i/>
          <w:color w:val="000000"/>
          <w:sz w:val="16"/>
        </w:rPr>
        <w:t>management portfolios.</w:t>
      </w:r>
    </w:p>
    <w:p>
      <w:pPr>
        <w:autoSpaceDN w:val="0"/>
        <w:autoSpaceDE w:val="0"/>
        <w:widowControl/>
        <w:spacing w:line="192" w:lineRule="exact" w:before="50" w:after="0"/>
        <w:ind w:left="0" w:right="432" w:firstLine="0"/>
        <w:jc w:val="center"/>
      </w:pPr>
      <w:r>
        <w:rPr>
          <w:rFonts w:ascii="Arial" w:hAnsi="Arial" w:eastAsia="Arial"/>
          <w:b w:val="0"/>
          <w:i/>
          <w:color w:val="000000"/>
          <w:sz w:val="16"/>
        </w:rPr>
        <w:t xml:space="preserve">c. Includes $654 million of unrealized mark-to-market gains related to derivatives associated with borrowings for three months </w:t>
      </w:r>
      <w:r>
        <w:rPr>
          <w:rFonts w:ascii="Arial" w:hAnsi="Arial" w:eastAsia="Arial"/>
          <w:b w:val="0"/>
          <w:i/>
          <w:color w:val="000000"/>
          <w:sz w:val="16"/>
        </w:rPr>
        <w:t>ended September 30, 2024 (unrealized mark-to-market gains of $23 million—three months ended September 30, 2023).</w:t>
      </w:r>
    </w:p>
    <w:p>
      <w:pPr>
        <w:autoSpaceDN w:val="0"/>
        <w:autoSpaceDE w:val="0"/>
        <w:widowControl/>
        <w:spacing w:line="178" w:lineRule="exact" w:before="62" w:after="0"/>
        <w:ind w:left="62" w:right="0" w:firstLine="0"/>
        <w:jc w:val="left"/>
      </w:pPr>
      <w:r>
        <w:rPr>
          <w:rFonts w:ascii="Arial" w:hAnsi="Arial" w:eastAsia="Arial"/>
          <w:b w:val="0"/>
          <w:i/>
          <w:color w:val="000000"/>
          <w:sz w:val="16"/>
        </w:rPr>
        <w:t>d. Represents mark-to-market gains (losses) on PSW.</w:t>
      </w:r>
    </w:p>
    <w:p>
      <w:pPr>
        <w:autoSpaceDN w:val="0"/>
        <w:autoSpaceDE w:val="0"/>
        <w:widowControl/>
        <w:spacing w:line="244" w:lineRule="exact" w:before="442" w:after="0"/>
        <w:ind w:left="10" w:right="0" w:firstLine="0"/>
        <w:jc w:val="left"/>
      </w:pPr>
      <w:r>
        <w:rPr>
          <w:rFonts w:ascii="TimesNewRoman" w:hAnsi="TimesNewRoman" w:eastAsia="TimesNewRoman"/>
          <w:b/>
          <w:i w:val="0"/>
          <w:color w:val="000000"/>
          <w:sz w:val="22"/>
        </w:rPr>
        <w:t>NOTE K—CONTINGENCIES</w:t>
      </w:r>
    </w:p>
    <w:p>
      <w:pPr>
        <w:autoSpaceDN w:val="0"/>
        <w:autoSpaceDE w:val="0"/>
        <w:widowControl/>
        <w:spacing w:line="240" w:lineRule="exact" w:before="130" w:after="0"/>
        <w:ind w:left="10" w:right="0" w:firstLine="0"/>
        <w:jc w:val="left"/>
      </w:pP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From time to time, IDA may be named as a defendant or co-defendant in legal actions on different grounds in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various jurisdictions. The outcome of any existing legal action, in which IDA has been named as a defendant or co-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 xml:space="preserve">defendant, as of and for the three months ended September 30, 2024, is not expected to have a material adverse </w:t>
      </w:r>
      <w:r>
        <w:rPr>
          <w:rFonts w:ascii="TimesNewRoman" w:hAnsi="TimesNewRoman" w:eastAsia="TimesNewRoman"/>
          <w:b w:val="0"/>
          <w:i w:val="0"/>
          <w:color w:val="000000"/>
          <w:sz w:val="20"/>
        </w:rPr>
        <w:t>effect on IDA's financial position, results of operations or cash flows.</w:t>
      </w:r>
    </w:p>
    <w:p>
      <w:pPr>
        <w:autoSpaceDN w:val="0"/>
        <w:autoSpaceDE w:val="0"/>
        <w:widowControl/>
        <w:spacing w:line="224" w:lineRule="exact" w:before="1386" w:after="0"/>
        <w:ind w:left="1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52     IDA Quarterly Financial Statements: September 30, 2024 (Unaudited)</w:t>
      </w:r>
    </w:p>
    <w:p>
      <w:pPr>
        <w:sectPr>
          <w:pgSz w:w="12240" w:h="15840"/>
          <w:pgMar w:top="700" w:right="1370" w:bottom="27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4"/>
        <w:ind w:left="0" w:right="0"/>
      </w:pPr>
    </w:p>
    <w:p>
      <w:pPr>
        <w:autoSpaceDN w:val="0"/>
        <w:autoSpaceDE w:val="0"/>
        <w:widowControl/>
        <w:spacing w:line="314" w:lineRule="exact" w:before="0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8"/>
        </w:rPr>
        <w:t>INDEPENDENT AUDITOR'S REVIEW REPORT</w:t>
      </w:r>
    </w:p>
    <w:p>
      <w:pPr>
        <w:autoSpaceDN w:val="0"/>
        <w:autoSpaceDE w:val="0"/>
        <w:widowControl/>
        <w:spacing w:line="240" w:lineRule="auto" w:before="912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699008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90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4" w:lineRule="exact" w:before="2172" w:after="0"/>
        <w:ind w:left="0" w:right="20" w:firstLine="0"/>
        <w:jc w:val="right"/>
      </w:pPr>
      <w:r>
        <w:rPr>
          <w:rFonts w:ascii="ArialMT" w:hAnsi="ArialMT" w:eastAsia="ArialMT"/>
          <w:b w:val="0"/>
          <w:i w:val="0"/>
          <w:color w:val="000000"/>
          <w:sz w:val="20"/>
        </w:rPr>
        <w:t>53</w:t>
      </w:r>
    </w:p>
    <w:p>
      <w:pPr>
        <w:sectPr>
          <w:pgSz w:w="12240" w:h="15840"/>
          <w:pgMar w:top="336" w:right="1420" w:bottom="27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80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3600" cy="260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24" w:lineRule="exact" w:before="9176" w:after="0"/>
        <w:ind w:left="0" w:right="0" w:firstLine="0"/>
        <w:jc w:val="left"/>
      </w:pPr>
      <w:r>
        <w:rPr>
          <w:rFonts w:ascii="ArialMT" w:hAnsi="ArialMT" w:eastAsia="ArialMT"/>
          <w:b w:val="0"/>
          <w:i w:val="0"/>
          <w:color w:val="000000"/>
          <w:sz w:val="20"/>
        </w:rPr>
        <w:t>54</w:t>
      </w:r>
    </w:p>
    <w:sectPr w:rsidR="00FC693F" w:rsidRPr="0006063C" w:rsidSect="00034616">
      <w:pgSz w:w="12240" w:h="15840"/>
      <w:pgMar w:top="900" w:right="1420" w:bottom="27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