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842"/>
        <w:ind w:left="0" w:right="0"/>
      </w:pPr>
    </w:p>
    <w:p>
      <w:pPr>
        <w:autoSpaceDN w:val="0"/>
        <w:autoSpaceDE w:val="0"/>
        <w:widowControl/>
        <w:spacing w:line="556" w:lineRule="exact" w:before="40" w:after="0"/>
        <w:ind w:left="348" w:right="288" w:firstLine="0"/>
        <w:jc w:val="left"/>
      </w:pPr>
      <w:r>
        <w:rPr>
          <w:rFonts w:ascii="CIDFont+F4" w:hAnsi="CIDFont+F4" w:eastAsia="CIDFont+F4"/>
          <w:b/>
          <w:i w:val="0"/>
          <w:color w:val="065AA6"/>
          <w:sz w:val="52"/>
        </w:rPr>
        <w:t xml:space="preserve">Trust Fund Operations </w:t>
      </w:r>
      <w:r>
        <w:br/>
      </w:r>
      <w:r>
        <w:rPr>
          <w:rFonts w:ascii="CIDFont+F4" w:hAnsi="CIDFont+F4" w:eastAsia="CIDFont+F4"/>
          <w:b/>
          <w:i w:val="0"/>
          <w:color w:val="065AA6"/>
          <w:sz w:val="49"/>
        </w:rPr>
        <w:t>Financial Information Summary</w:t>
      </w:r>
    </w:p>
    <w:p>
      <w:pPr>
        <w:autoSpaceDN w:val="0"/>
        <w:autoSpaceDE w:val="0"/>
        <w:widowControl/>
        <w:spacing w:line="472" w:lineRule="exact" w:before="364" w:after="0"/>
        <w:ind w:left="348" w:right="864" w:firstLine="0"/>
        <w:jc w:val="left"/>
      </w:pPr>
      <w:r>
        <w:rPr>
          <w:rFonts w:ascii="CIDFont+F5" w:hAnsi="CIDFont+F5" w:eastAsia="CIDFont+F5"/>
          <w:b w:val="0"/>
          <w:i w:val="0"/>
          <w:color w:val="065AA6"/>
          <w:sz w:val="41"/>
        </w:rPr>
        <w:t xml:space="preserve">Six months ended December 31, 2025 and </w:t>
      </w:r>
      <w:r>
        <w:rPr>
          <w:rFonts w:ascii="CIDFont+F5" w:hAnsi="CIDFont+F5" w:eastAsia="CIDFont+F5"/>
          <w:b w:val="0"/>
          <w:i w:val="0"/>
          <w:color w:val="065AA6"/>
          <w:sz w:val="41"/>
        </w:rPr>
        <w:t>2024</w:t>
      </w:r>
    </w:p>
    <w:p>
      <w:pPr>
        <w:autoSpaceDN w:val="0"/>
        <w:autoSpaceDE w:val="0"/>
        <w:widowControl/>
        <w:spacing w:line="240" w:lineRule="auto" w:before="4708" w:after="0"/>
        <w:ind w:left="3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687320" cy="528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7320" cy="5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2240" w:h="15840"/>
          <w:pgMar w:top="1440" w:right="1440" w:bottom="1168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288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28" w:lineRule="exact" w:before="230" w:after="0"/>
        <w:ind w:left="348" w:right="0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497B"/>
          <w:sz w:val="19"/>
        </w:rPr>
        <w:t>Trust Fund Operations – Financial Information Summary for the six months ended December 31, 2025 and 2024</w:t>
      </w:r>
    </w:p>
    <w:p>
      <w:pPr>
        <w:autoSpaceDN w:val="0"/>
        <w:autoSpaceDE w:val="0"/>
        <w:widowControl/>
        <w:spacing w:line="266" w:lineRule="exact" w:before="366" w:after="0"/>
        <w:ind w:left="348" w:right="288" w:firstLine="0"/>
        <w:jc w:val="left"/>
      </w:pPr>
      <w:r>
        <w:rPr>
          <w:w w:val="101.77799987792969"/>
          <w:rFonts w:ascii="CIDFont+F4" w:hAnsi="CIDFont+F4" w:eastAsia="CIDFont+F4"/>
          <w:b/>
          <w:i w:val="0"/>
          <w:color w:val="00497B"/>
          <w:sz w:val="25"/>
        </w:rPr>
        <w:t xml:space="preserve">Introduction </w:t>
      </w:r>
      <w:r>
        <w:br/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>Trust Funds</w:t>
      </w:r>
      <w:r>
        <w:rPr>
          <w:w w:val="101.3277530670166"/>
          <w:rFonts w:ascii="CIDFont+F2" w:hAnsi="CIDFont+F2" w:eastAsia="CIDFont+F2"/>
          <w:b w:val="0"/>
          <w:i w:val="0"/>
          <w:color w:val="000000"/>
          <w:sz w:val="12"/>
        </w:rPr>
        <w:t>1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 are financial and administrative arrangements made between Development Partners (DPs) and one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or more World Bank Group entities to meet diverse development needs including project preparation, technical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>assistance, advisory services, debt relief, post conflict transition, disaster recovery, climate change, and co-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financing of lending projects. Trust funds contribute to the Bank Group’s mission of poverty reduction on a livable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planet by supporting the design and implementation of development projects. </w:t>
      </w:r>
    </w:p>
    <w:p>
      <w:pPr>
        <w:autoSpaceDN w:val="0"/>
        <w:autoSpaceDE w:val="0"/>
        <w:widowControl/>
        <w:spacing w:line="264" w:lineRule="exact" w:before="188" w:after="0"/>
        <w:ind w:left="348" w:right="408" w:firstLine="0"/>
        <w:jc w:val="both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This report provides aggregate financial information on trust fund operations administered individually or jointly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by the International Bank for Reconstruction and Development (IBRD), the International Development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Association (IDA), the International Finance Corporation (IFC) and the Multilateral Investment Guarantee Agency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(MIGA). These four entities are collectively referred to as the “Bank Group.” This report is unaudited, and is not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intended to represent the combined financial position of trust funds and programs administered by the Bank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Group. Numbers presented for previous periods have been regrouped to conform to the current period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presentation. </w:t>
      </w:r>
    </w:p>
    <w:p>
      <w:pPr>
        <w:autoSpaceDN w:val="0"/>
        <w:autoSpaceDE w:val="0"/>
        <w:widowControl/>
        <w:spacing w:line="262" w:lineRule="exact" w:before="192" w:after="0"/>
        <w:ind w:left="348" w:right="288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Questions or comments on the report should be addressed to </w:t>
      </w:r>
      <w:r>
        <w:rPr>
          <w:w w:val="98.36526168020147"/>
          <w:rFonts w:ascii="CIDFont+F1" w:hAnsi="CIDFont+F1" w:eastAsia="CIDFont+F1"/>
          <w:b/>
          <w:i w:val="0"/>
          <w:color w:val="000000"/>
          <w:sz w:val="19"/>
        </w:rPr>
        <w:t>Christopher R. Vallyeason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, Manager, Trust Funds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Accounting and Reporting at </w:t>
      </w:r>
      <w:r>
        <w:rPr>
          <w:w w:val="98.36526168020147"/>
          <w:rFonts w:ascii="CIDFont+F1" w:hAnsi="CIDFont+F1" w:eastAsia="CIDFont+F1"/>
          <w:b/>
          <w:i w:val="0"/>
          <w:color w:val="000000"/>
          <w:sz w:val="19"/>
        </w:rPr>
        <w:t>cvallyeason@worldbank.org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. </w:t>
      </w:r>
    </w:p>
    <w:p>
      <w:pPr>
        <w:autoSpaceDN w:val="0"/>
        <w:autoSpaceDE w:val="0"/>
        <w:widowControl/>
        <w:spacing w:line="228" w:lineRule="exact" w:before="7188" w:after="0"/>
        <w:ind w:left="348" w:right="0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______________________________________ </w:t>
      </w:r>
    </w:p>
    <w:p>
      <w:pPr>
        <w:autoSpaceDN w:val="0"/>
        <w:autoSpaceDE w:val="0"/>
        <w:widowControl/>
        <w:spacing w:line="188" w:lineRule="exact" w:before="170" w:after="0"/>
        <w:ind w:left="348" w:right="410" w:firstLine="0"/>
        <w:jc w:val="both"/>
      </w:pPr>
      <w:r>
        <w:rPr>
          <w:w w:val="105.08066813151042"/>
          <w:rFonts w:ascii="CIDFont+F8" w:hAnsi="CIDFont+F8" w:eastAsia="CIDFont+F8"/>
          <w:b w:val="0"/>
          <w:i/>
          <w:color w:val="000000"/>
          <w:sz w:val="9"/>
        </w:rPr>
        <w:t>1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This report uses the Trust Fund typology of IBRD/IDA Trust Funds, Financial Intermediary Funds (FIFs) and IFC Trust Funds. The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following are not included in this report: (1) the Advance Market Commitment (AMC), which is a FIF but not a trust fund, and (2) trust funds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that are managed separately by IFC (trust funds which support IFC's Special Initiatives and Investment Programs) which do not form part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>of the investment portfolio maintained by IBRD for trust funds.</w:t>
      </w:r>
    </w:p>
    <w:p>
      <w:pPr>
        <w:autoSpaceDN w:val="0"/>
        <w:autoSpaceDE w:val="0"/>
        <w:widowControl/>
        <w:spacing w:line="228" w:lineRule="exact" w:before="482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2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288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98" w:lineRule="exact" w:before="300" w:after="458"/>
        <w:ind w:left="348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Abbreviations and Acronyms 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5.99999999999994" w:type="dxa"/>
      </w:tblPr>
      <w:tblGrid>
        <w:gridCol w:w="4680"/>
        <w:gridCol w:w="4680"/>
      </w:tblGrid>
      <w:tr>
        <w:trPr>
          <w:trHeight w:hRule="exact" w:val="176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0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ABS</w:t>
            </w:r>
          </w:p>
        </w:tc>
        <w:tc>
          <w:tcPr>
            <w:tcW w:type="dxa" w:w="3580"/>
            <w:tcBorders/>
            <w:shd w:fill="dbe4f0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0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Asset Backed Securities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AFE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Africa East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AFW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Africa West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AGF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Agriculture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ARTF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Afghanistan Resilience Trust Fund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BE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Bank Executed 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BoC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Basis of Commitment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CAGR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Compound Annual Growth Rate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CCG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Climate Change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CGIAR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Consultative Group on International Agricultural Research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CIF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Climate Investment Funds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CRO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Chief Risk Officer Vice Presidency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CTR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Controllers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CU-DFI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Central Unit for Development Finance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CWA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Compact with Africa 2.0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DDP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Digital Development Partnership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0" w:right="0" w:firstLine="0"/>
              <w:jc w:val="center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DFTFPR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Development Finance,Trust Funds &amp; Partner Relations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DP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Development Partner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DPI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Digital Public Infrastructure &amp; Services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EAP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East Asia and Pacific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EC/EU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European Commission/ European Union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ECA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Europe and Central Asia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EDU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Education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EEX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Energy and Extractives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ENB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Environment, Natural Resources and Blue Economy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ESMAP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Energy Sector Management Assistance Program 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ETC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Extended Term Consultant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ETT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Extended Term Temporary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FCV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Fragility, Conflict and Violence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FHIT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Funds Held In Trust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FIF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Financial Intermediary Funds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FORTIE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F.O.R.T.I.S. Ukraine FIF - IBRD as Implementing Entity Trust Fund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FORTIS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Facilitation of Resources to Invest in Strengthening Ukraine FIF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FS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Free Standing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FS-CFP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Free - Standing Tfs For Cfp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FY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Fiscal Year 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GCF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Green Climate Fund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GEF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Global Environment Facility 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GFATM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Global Fund For Aids, Tuberculosis And Malaria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GFDRR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Global Facility for Disaster Reduction and Recovery</w:t>
            </w:r>
          </w:p>
        </w:tc>
      </w:tr>
      <w:tr>
        <w:trPr>
          <w:trHeight w:hRule="exact" w:val="18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GFF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Global Financing Facility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GFR</w:t>
            </w:r>
          </w:p>
        </w:tc>
        <w:tc>
          <w:tcPr>
            <w:tcW w:type="dxa" w:w="3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Grant Funding Request</w:t>
            </w:r>
          </w:p>
        </w:tc>
      </w:tr>
      <w:tr>
        <w:trPr>
          <w:trHeight w:hRule="exact" w:val="164"/>
        </w:trPr>
        <w:tc>
          <w:tcPr>
            <w:tcW w:type="dxa" w:w="512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GP</w:t>
            </w:r>
          </w:p>
        </w:tc>
        <w:tc>
          <w:tcPr>
            <w:tcW w:type="dxa" w:w="3580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8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Global Practices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type w:val="continuous"/>
          <w:pgSz w:w="12240" w:h="15840"/>
          <w:pgMar w:top="356" w:right="1440" w:bottom="116" w:left="1440" w:header="720" w:footer="720" w:gutter="0"/>
          <w:cols w:num="2" w:equalWidth="0">
            <w:col w:w="4512" w:space="0"/>
            <w:col w:w="484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3.99999999999977" w:type="dxa"/>
      </w:tblPr>
      <w:tblGrid>
        <w:gridCol w:w="4680"/>
        <w:gridCol w:w="4680"/>
      </w:tblGrid>
      <w:tr>
        <w:trPr>
          <w:trHeight w:hRule="exact" w:val="176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0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HNP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0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Health, Nutrition and Population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IA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Implementing Agency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IBRD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International Bank for Reconstruction and Development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ICSID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International Centre for Settlement of Investment Disputes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IDA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International Development Association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IDASTF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IDA Crisis Facility Special Transfer Fund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IFC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International Finance Corporation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IFFIM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International Finance Facility for Immunization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LCR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Latin America and the Caribbean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LDC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Least Developed Countries for Climate Change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LEG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Legal Vice Presidency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LPF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Livable Planet Fund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MBS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Mortgage Backed Securities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MDTF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Multi-donor Trust fund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MIGA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Multilateral Investment Guarantee Agency 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MM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Money Market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MNA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Middle East and North Africa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MP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Model Portfolio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OTH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Others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PEND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Pending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PPR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Pandemic Prevention, Preparedness and Response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PSNP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Productive Safety Net Project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RE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Recipient Executed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SALNTF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Standalone Trust funds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SAR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South Asia Region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SCALE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Scaling Climate Action by Lowering Emissions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SDTF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Single Donor Trust Fund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STC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Short Term Consultant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STT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Short Term Temporary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TF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Trust Fund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TFFF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Tropical Forest Forever Facility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TRE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Treasury Vice Presidency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UFT2.0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TRTA - Umbrella Facility for Trade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UK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United Kingdom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URL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Urban, Resilience and Land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URTF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0" w:right="0" w:firstLine="0"/>
              <w:jc w:val="center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Ukraine Relief, Recovery, Reconstruction and Reform Trust Fund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US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United States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VPU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Vice Presidential Unit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WBG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World Bank Group, comprising IBRD, IDA, IFC and MIGA 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WBGBK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West Bank &amp; Gaza - IBRD Funded</w:t>
            </w:r>
          </w:p>
        </w:tc>
      </w:tr>
      <w:tr>
        <w:trPr>
          <w:trHeight w:hRule="exact" w:val="18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WGPGTF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IBRD Fund for Innovative GPG Solutions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WSP</w:t>
            </w:r>
          </w:p>
        </w:tc>
        <w:tc>
          <w:tcPr>
            <w:tcW w:type="dxa" w:w="369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2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Water And Sanitation Program (WSP)</w:t>
            </w:r>
          </w:p>
        </w:tc>
      </w:tr>
      <w:tr>
        <w:trPr>
          <w:trHeight w:hRule="exact" w:val="164"/>
        </w:trPr>
        <w:tc>
          <w:tcPr>
            <w:tcW w:type="dxa" w:w="64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28" w:right="0" w:firstLine="0"/>
              <w:jc w:val="lef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YoY</w:t>
            </w:r>
          </w:p>
        </w:tc>
        <w:tc>
          <w:tcPr>
            <w:tcW w:type="dxa" w:w="3694"/>
            <w:tcBorders/>
            <w:shd w:fill="d8e1f2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8" w:after="0"/>
              <w:ind w:left="16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Year on Year</w:t>
            </w:r>
          </w:p>
        </w:tc>
      </w:tr>
    </w:tbl>
    <w:p>
      <w:pPr>
        <w:autoSpaceDN w:val="0"/>
        <w:autoSpaceDE w:val="0"/>
        <w:widowControl/>
        <w:spacing w:line="14" w:lineRule="exact" w:before="0" w:after="8"/>
        <w:ind w:left="0" w:right="0"/>
      </w:pPr>
    </w:p>
    <w:p>
      <w:pPr>
        <w:sectPr>
          <w:type w:val="nextColumn"/>
          <w:pgSz w:w="12240" w:h="15840"/>
          <w:pgMar w:top="356" w:right="1440" w:bottom="116" w:left="1440" w:header="720" w:footer="720" w:gutter="0"/>
          <w:cols w:num="2" w:equalWidth="0">
            <w:col w:w="4512" w:space="0"/>
            <w:col w:w="4848" w:space="0"/>
          </w:cols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2340"/>
        <w:gridCol w:w="2340"/>
        <w:gridCol w:w="2340"/>
        <w:gridCol w:w="2340"/>
      </w:tblGrid>
      <w:tr>
        <w:trPr>
          <w:trHeight w:hRule="exact" w:val="222"/>
        </w:trPr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0" w:after="0"/>
              <w:ind w:left="0" w:right="108" w:firstLine="0"/>
              <w:jc w:val="righ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GPEF</w:t>
            </w:r>
          </w:p>
        </w:tc>
        <w:tc>
          <w:tcPr>
            <w:tcW w:type="dxa" w:w="2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0" w:after="0"/>
              <w:ind w:left="12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Global Partnership for Education Fund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0" w:after="0"/>
              <w:ind w:left="0" w:right="286" w:firstLine="0"/>
              <w:jc w:val="right"/>
            </w:pPr>
            <w:r>
              <w:rPr>
                <w:w w:val="101.13251759455754"/>
                <w:rFonts w:ascii="CIDFont+F1" w:hAnsi="CIDFont+F1" w:eastAsia="CIDFont+F1"/>
                <w:b/>
                <w:i w:val="0"/>
                <w:color w:val="000000"/>
                <w:sz w:val="13"/>
              </w:rPr>
              <w:t>YTD</w:t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0" w:after="0"/>
              <w:ind w:left="286" w:right="0" w:firstLine="0"/>
              <w:jc w:val="left"/>
            </w:pPr>
            <w:r>
              <w:rPr>
                <w:w w:val="101.13251759455754"/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>Year to Date</w:t>
            </w:r>
          </w:p>
        </w:tc>
      </w:tr>
    </w:tbl>
    <w:p>
      <w:pPr>
        <w:autoSpaceDN w:val="0"/>
        <w:autoSpaceDE w:val="0"/>
        <w:widowControl/>
        <w:spacing w:line="228" w:lineRule="exact" w:before="5210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3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type w:val="continuous"/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288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98" w:lineRule="exact" w:before="228" w:after="330"/>
        <w:ind w:left="348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Contents and Summary of Financial Data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5.99999999999994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2155"/>
        </w:trPr>
        <w:tc>
          <w:tcPr>
            <w:tcW w:type="dxa" w:w="8404"/>
            <w:gridSpan w:val="4"/>
            <w:tcBorders>
              <w:end w:sz="8.0" w:val="single" w:color="#000000"/>
              <w:bottom w:sz="11.200000000000045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1705" w:type="dxa"/>
            </w:tblPr>
            <w:tblGrid>
              <w:gridCol w:w="4202"/>
              <w:gridCol w:w="4202"/>
            </w:tblGrid>
            <w:tr>
              <w:trPr>
                <w:trHeight w:hRule="exact" w:val="398"/>
              </w:trPr>
              <w:tc>
                <w:tcPr>
                  <w:tcW w:type="dxa" w:w="4088"/>
                  <w:tcBorders/>
                  <w:shd w:fill="00497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6" w:lineRule="exact" w:before="108" w:after="0"/>
                    <w:ind w:left="0" w:right="0" w:firstLine="0"/>
                    <w:jc w:val="center"/>
                  </w:pPr>
                  <w:r>
                    <w:rPr>
                      <w:w w:val="97.14728673299153"/>
                      <w:rFonts w:ascii="CIDFont+F5" w:hAnsi="CIDFont+F5" w:eastAsia="CIDFont+F5"/>
                      <w:b w:val="0"/>
                      <w:i w:val="0"/>
                      <w:color w:val="FFFFFF"/>
                      <w:sz w:val="15"/>
                    </w:rPr>
                    <w:t xml:space="preserve"> Total Trust Fund Assets- As of December 31, 2025</w:t>
                  </w:r>
                </w:p>
              </w:tc>
              <w:tc>
                <w:tcPr>
                  <w:tcW w:type="dxa" w:w="432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30.0" w:type="dxa"/>
                  </w:tblPr>
                  <w:tblGrid>
                    <w:gridCol w:w="4324"/>
                  </w:tblGrid>
                  <w:tr>
                    <w:trPr>
                      <w:trHeight w:hRule="exact" w:val="378"/>
                    </w:trPr>
                    <w:tc>
                      <w:tcPr>
                        <w:tcW w:type="dxa" w:w="4294"/>
                        <w:tcBorders/>
                        <w:shd w:fill="00497b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166" w:lineRule="exact" w:before="108" w:after="0"/>
                          <w:ind w:left="0" w:right="0" w:firstLine="0"/>
                          <w:jc w:val="center"/>
                        </w:pPr>
                        <w:r>
                          <w:rPr>
                            <w:w w:val="97.14728673299153"/>
                            <w:rFonts w:ascii="CIDFont+F5" w:hAnsi="CIDFont+F5" w:eastAsia="CIDFont+F5"/>
                            <w:b w:val="0"/>
                            <w:i w:val="0"/>
                            <w:color w:val="FFFFFF"/>
                            <w:sz w:val="15"/>
                          </w:rPr>
                          <w:t xml:space="preserve"> Total Trust Fund Assets- As of December 31, 2024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  <w:tr>
              <w:trPr>
                <w:trHeight w:hRule="exact" w:val="582"/>
              </w:trPr>
              <w:tc>
                <w:tcPr>
                  <w:tcW w:type="dxa" w:w="4088"/>
                  <w:tcBorders/>
                  <w:shd w:fill="f2f2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94" w:lineRule="exact" w:before="124" w:after="0"/>
                    <w:ind w:left="0" w:right="1612" w:firstLine="0"/>
                    <w:jc w:val="righ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474747"/>
                      <w:sz w:val="26"/>
                    </w:rPr>
                    <w:t>$95,208</w:t>
                  </w:r>
                </w:p>
              </w:tc>
              <w:tc>
                <w:tcPr>
                  <w:tcW w:type="dxa" w:w="4324"/>
                  <w:tcBorders/>
                  <w:tcMar>
                    <w:start w:w="0" w:type="dxa"/>
                    <w:end w:w="0" w:type="dxa"/>
                  </w:tcMar>
                </w:tcPr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30.0" w:type="dxa"/>
                  </w:tblPr>
                  <w:tblGrid>
                    <w:gridCol w:w="4324"/>
                  </w:tblGrid>
                  <w:tr>
                    <w:trPr>
                      <w:trHeight w:hRule="exact" w:val="572"/>
                    </w:trPr>
                    <w:tc>
                      <w:tcPr>
                        <w:tcW w:type="dxa" w:w="4294"/>
                        <w:tcBorders/>
                        <w:shd w:fill="f2f2f2"/>
                        <w:tcMar>
                          <w:start w:w="0" w:type="dxa"/>
                          <w:end w:w="0" w:type="dxa"/>
                        </w:tcMar>
                      </w:tcPr>
                      <w:p>
                        <w:pPr>
                          <w:autoSpaceDN w:val="0"/>
                          <w:autoSpaceDE w:val="0"/>
                          <w:widowControl/>
                          <w:spacing w:line="294" w:lineRule="exact" w:before="134" w:after="0"/>
                          <w:ind w:left="0" w:right="1642" w:firstLine="0"/>
                          <w:jc w:val="right"/>
                        </w:pPr>
                        <w:r>
                          <w:rPr>
                            <w:rFonts w:ascii="CIDFont+F7" w:hAnsi="CIDFont+F7" w:eastAsia="CIDFont+F7"/>
                            <w:b w:val="0"/>
                            <w:i w:val="0"/>
                            <w:color w:val="474747"/>
                            <w:sz w:val="26"/>
                          </w:rPr>
                          <w:t>$101,597</w:t>
                        </w:r>
                      </w:p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</w:tr>
          </w:tbl>
          <w:p>
            <w:pPr>
              <w:autoSpaceDN w:val="0"/>
              <w:autoSpaceDE w:val="0"/>
              <w:widowControl/>
              <w:spacing w:line="178" w:lineRule="exact" w:before="292" w:after="166"/>
              <w:ind w:left="40" w:right="0" w:firstLine="0"/>
              <w:jc w:val="left"/>
            </w:pPr>
            <w:r>
              <w:rPr>
                <w:w w:val="97.14585542678833"/>
                <w:rFonts w:ascii="CIDFont+F4" w:hAnsi="CIDFont+F4" w:eastAsia="CIDFont+F4"/>
                <w:b/>
                <w:i w:val="0"/>
                <w:color w:val="00497B"/>
                <w:sz w:val="16"/>
              </w:rPr>
              <w:t>Key Trust Fund Activity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94.00000000000006" w:type="dxa"/>
            </w:tblPr>
            <w:tblGrid>
              <w:gridCol w:w="2101"/>
              <w:gridCol w:w="2101"/>
              <w:gridCol w:w="2101"/>
              <w:gridCol w:w="2101"/>
            </w:tblGrid>
            <w:tr>
              <w:trPr>
                <w:trHeight w:hRule="exact" w:val="208"/>
              </w:trPr>
              <w:tc>
                <w:tcPr>
                  <w:tcW w:type="dxa" w:w="16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2" w:lineRule="exact" w:before="86" w:after="0"/>
                    <w:ind w:left="328" w:right="0" w:firstLine="0"/>
                    <w:jc w:val="left"/>
                  </w:pPr>
                  <w:r>
                    <w:rPr>
                      <w:w w:val="97.14668447321112"/>
                      <w:rFonts w:ascii="CIDFont+F4" w:hAnsi="CIDFont+F4" w:eastAsia="CIDFont+F4"/>
                      <w:b/>
                      <w:i w:val="0"/>
                      <w:color w:val="606060"/>
                      <w:sz w:val="11"/>
                    </w:rPr>
                    <w:t>A ctiv e Trust Funds</w:t>
                  </w:r>
                </w:p>
              </w:tc>
              <w:tc>
                <w:tcPr>
                  <w:tcW w:type="dxa" w:w="226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exact" w:before="60" w:after="0"/>
                    <w:ind w:left="100" w:right="0" w:firstLine="0"/>
                    <w:jc w:val="left"/>
                  </w:pPr>
                  <w:r>
                    <w:rPr>
                      <w:w w:val="101.36958412502123"/>
                      <w:rFonts w:ascii="CIDFont+F7" w:hAnsi="CIDFont+F7" w:eastAsia="CIDFont+F7"/>
                      <w:b w:val="0"/>
                      <w:i w:val="0"/>
                      <w:color w:val="00497B"/>
                      <w:sz w:val="23"/>
                    </w:rPr>
                    <w:t>712</w:t>
                  </w:r>
                </w:p>
              </w:tc>
              <w:tc>
                <w:tcPr>
                  <w:tcW w:type="dxa" w:w="20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2" w:lineRule="exact" w:before="86" w:after="0"/>
                    <w:ind w:left="402" w:right="0" w:firstLine="0"/>
                    <w:jc w:val="left"/>
                  </w:pPr>
                  <w:r>
                    <w:rPr>
                      <w:w w:val="97.14668447321112"/>
                      <w:rFonts w:ascii="CIDFont+F4" w:hAnsi="CIDFont+F4" w:eastAsia="CIDFont+F4"/>
                      <w:b/>
                      <w:i w:val="0"/>
                      <w:color w:val="606060"/>
                      <w:sz w:val="11"/>
                    </w:rPr>
                    <w:t>Num ber of Activ e Gran ts</w:t>
                  </w:r>
                </w:p>
              </w:tc>
              <w:tc>
                <w:tcPr>
                  <w:tcW w:type="dxa" w:w="20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exact" w:before="60" w:after="0"/>
                    <w:ind w:left="92" w:right="0" w:firstLine="0"/>
                    <w:jc w:val="left"/>
                  </w:pPr>
                  <w:r>
                    <w:rPr>
                      <w:w w:val="101.36958412502123"/>
                      <w:rFonts w:ascii="CIDFont+F7" w:hAnsi="CIDFont+F7" w:eastAsia="CIDFont+F7"/>
                      <w:b w:val="0"/>
                      <w:i w:val="0"/>
                      <w:color w:val="00497B"/>
                      <w:sz w:val="23"/>
                    </w:rPr>
                    <w:t>9,233</w:t>
                  </w:r>
                </w:p>
              </w:tc>
            </w:tr>
            <w:tr>
              <w:trPr>
                <w:trHeight w:hRule="exact" w:val="120"/>
              </w:trPr>
              <w:tc>
                <w:tcPr>
                  <w:tcW w:type="dxa" w:w="160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2" w:lineRule="exact" w:before="30" w:after="0"/>
                    <w:ind w:left="0" w:right="68" w:firstLine="0"/>
                    <w:jc w:val="right"/>
                  </w:pPr>
                  <w:r>
                    <w:rPr>
                      <w:w w:val="97.14668447321112"/>
                      <w:rFonts w:ascii="CIDFont+F5" w:hAnsi="CIDFont+F5" w:eastAsia="CIDFont+F5"/>
                      <w:b w:val="0"/>
                      <w:i w:val="0"/>
                      <w:color w:val="606060"/>
                      <w:sz w:val="11"/>
                    </w:rPr>
                    <w:t>Page #1 0</w:t>
                  </w:r>
                </w:p>
              </w:tc>
              <w:tc>
                <w:tcPr>
                  <w:tcW w:type="dxa" w:w="2101"/>
                  <w:vMerge/>
                  <w:tcBorders/>
                </w:tcPr>
                <w:p/>
              </w:tc>
              <w:tc>
                <w:tcPr>
                  <w:tcW w:type="dxa" w:w="20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2" w:lineRule="exact" w:before="30" w:after="0"/>
                    <w:ind w:left="0" w:right="80" w:firstLine="0"/>
                    <w:jc w:val="right"/>
                  </w:pPr>
                  <w:r>
                    <w:rPr>
                      <w:w w:val="97.14668447321112"/>
                      <w:rFonts w:ascii="CIDFont+F5" w:hAnsi="CIDFont+F5" w:eastAsia="CIDFont+F5"/>
                      <w:b w:val="0"/>
                      <w:i w:val="0"/>
                      <w:color w:val="606060"/>
                      <w:sz w:val="11"/>
                    </w:rPr>
                    <w:t>Page #1 2</w:t>
                  </w:r>
                </w:p>
              </w:tc>
              <w:tc>
                <w:tcPr>
                  <w:tcW w:type="dxa" w:w="2101"/>
                  <w:vMerge/>
                  <w:tcBorders/>
                </w:tcPr>
                <w:p/>
              </w:tc>
            </w:tr>
            <w:tr>
              <w:trPr>
                <w:trHeight w:hRule="exact" w:val="168"/>
              </w:trPr>
              <w:tc>
                <w:tcPr>
                  <w:tcW w:type="dxa" w:w="2101"/>
                  <w:vMerge/>
                  <w:tcBorders/>
                </w:tcPr>
                <w:p/>
              </w:tc>
              <w:tc>
                <w:tcPr>
                  <w:tcW w:type="dxa" w:w="22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0" w:lineRule="exact" w:before="40" w:after="0"/>
                    <w:ind w:left="80" w:right="0" w:firstLine="0"/>
                    <w:jc w:val="left"/>
                  </w:pPr>
                  <w:r>
                    <w:rPr>
                      <w:w w:val="97.14687665303549"/>
                      <w:rFonts w:ascii="CIDFont+F7" w:hAnsi="CIDFont+F7" w:eastAsia="CIDFont+F7"/>
                      <w:b w:val="0"/>
                      <w:i w:val="0"/>
                      <w:color w:val="00497B"/>
                      <w:sz w:val="12"/>
                    </w:rPr>
                    <w:t>▼ from 757 as of December 2024</w:t>
                  </w:r>
                </w:p>
              </w:tc>
              <w:tc>
                <w:tcPr>
                  <w:tcW w:type="dxa" w:w="2101"/>
                  <w:vMerge/>
                  <w:tcBorders/>
                </w:tcPr>
                <w:p/>
              </w:tc>
              <w:tc>
                <w:tcPr>
                  <w:tcW w:type="dxa" w:w="20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0" w:lineRule="exact" w:before="12" w:after="0"/>
                    <w:ind w:left="0" w:right="0" w:firstLine="0"/>
                    <w:jc w:val="center"/>
                  </w:pPr>
                  <w:r>
                    <w:rPr>
                      <w:w w:val="97.14687665303549"/>
                      <w:rFonts w:ascii="CIDFont+F7" w:hAnsi="CIDFont+F7" w:eastAsia="CIDFont+F7"/>
                      <w:b w:val="0"/>
                      <w:i w:val="0"/>
                      <w:color w:val="00497B"/>
                      <w:sz w:val="12"/>
                    </w:rPr>
                    <w:t>▲ from 8,848 as of December 2024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46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2"/>
        </w:trPr>
        <w:tc>
          <w:tcPr>
            <w:tcW w:type="dxa" w:w="1950"/>
            <w:tcBorders>
              <w:top w:sz="11.200000000000045" w:val="single" w:color="#FFFFFF"/>
              <w:end w:sz="11.200000000000045" w:val="single" w:color="#FFFFFF"/>
              <w:bottom w:sz="11.199999999999818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4" w:lineRule="exact" w:before="116" w:after="0"/>
              <w:ind w:left="1324" w:right="0" w:hanging="914"/>
              <w:jc w:val="left"/>
            </w:pP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V alu e of Activ e Gran ts </w:t>
            </w:r>
            <w:r>
              <w:rPr>
                <w:w w:val="97.14668447321112"/>
                <w:rFonts w:ascii="CIDFont+F5" w:hAnsi="CIDFont+F5" w:eastAsia="CIDFont+F5"/>
                <w:b w:val="0"/>
                <w:i w:val="0"/>
                <w:color w:val="606060"/>
                <w:sz w:val="11"/>
              </w:rPr>
              <w:t>Page #1 2</w:t>
            </w:r>
          </w:p>
        </w:tc>
        <w:tc>
          <w:tcPr>
            <w:tcW w:type="dxa" w:w="2164"/>
            <w:tcBorders>
              <w:start w:sz="11.200000000000045" w:val="single" w:color="#FFFFFF"/>
              <w:top w:sz="11.200000000000045" w:val="single" w:color="#FFFFFF"/>
              <w:end w:sz="19.200000000000273" w:val="single" w:color="#FFFFFF"/>
              <w:bottom w:sz="11.199999999999818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226" w:after="0"/>
              <w:ind w:left="10" w:right="0" w:firstLine="20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00497B"/>
                <w:sz w:val="23"/>
              </w:rPr>
              <w:t>$42,697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00497B"/>
                <w:sz w:val="12"/>
              </w:rPr>
              <w:t>▼ from $56,103 as of December 2024</w:t>
            </w:r>
          </w:p>
        </w:tc>
        <w:tc>
          <w:tcPr>
            <w:tcW w:type="dxa" w:w="2130"/>
            <w:tcBorders>
              <w:start w:sz="19.200000000000273" w:val="single" w:color="#FFFFFF"/>
              <w:top w:sz="11.200000000000045" w:val="single" w:color="#FFFFFF"/>
              <w:end w:sz="11.199999999999818" w:val="single" w:color="#FFFFFF"/>
              <w:bottom w:sz="11.199999999999818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138" w:val="left"/>
                <w:tab w:pos="1480" w:val="left"/>
              </w:tabs>
              <w:autoSpaceDE w:val="0"/>
              <w:widowControl/>
              <w:spacing w:line="146" w:lineRule="exact" w:before="44" w:after="0"/>
              <w:ind w:left="768" w:right="0" w:firstLine="0"/>
              <w:jc w:val="left"/>
            </w:pP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Disbu rsem ent s an d </w:t>
            </w:r>
            <w:r>
              <w:tab/>
            </w: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FIF Transfers </w:t>
            </w:r>
            <w:r>
              <w:tab/>
            </w:r>
            <w:r>
              <w:rPr>
                <w:w w:val="97.14668447321112"/>
                <w:rFonts w:ascii="CIDFont+F5" w:hAnsi="CIDFont+F5" w:eastAsia="CIDFont+F5"/>
                <w:b w:val="0"/>
                <w:i w:val="0"/>
                <w:color w:val="606060"/>
                <w:sz w:val="11"/>
              </w:rPr>
              <w:t>Page #1 3</w:t>
            </w:r>
          </w:p>
        </w:tc>
        <w:tc>
          <w:tcPr>
            <w:tcW w:type="dxa" w:w="2160"/>
            <w:tcBorders>
              <w:start w:sz="11.199999999999818" w:val="single" w:color="#FFFFFF"/>
              <w:top w:sz="11.200000000000045" w:val="single" w:color="#FFFFFF"/>
              <w:end w:sz="8.0" w:val="single" w:color="#000000"/>
              <w:bottom w:sz="11.199999999999818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226" w:after="0"/>
              <w:ind w:left="10" w:right="144" w:firstLine="18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00497B"/>
                <w:sz w:val="23"/>
              </w:rPr>
              <w:t>$14,485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00497B"/>
                <w:sz w:val="12"/>
              </w:rPr>
              <w:t>▼  from $15,640 in December 2024</w:t>
            </w:r>
          </w:p>
        </w:tc>
        <w:tc>
          <w:tcPr>
            <w:tcW w:type="dxa" w:w="1872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2"/>
        </w:trPr>
        <w:tc>
          <w:tcPr>
            <w:tcW w:type="dxa" w:w="1950"/>
            <w:tcBorders>
              <w:top w:sz="11.199999999999818" w:val="single" w:color="#FFFFFF"/>
              <w:end w:sz="11.200000000000045" w:val="single" w:color="#FFFFFF"/>
              <w:bottom w:sz="12.0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6" w:lineRule="exact" w:before="112" w:after="0"/>
              <w:ind w:left="1324" w:right="0" w:hanging="1214"/>
              <w:jc w:val="left"/>
            </w:pP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Undisbursed Com m itm ents </w:t>
            </w:r>
            <w:r>
              <w:rPr>
                <w:w w:val="97.14668447321112"/>
                <w:rFonts w:ascii="CIDFont+F5" w:hAnsi="CIDFont+F5" w:eastAsia="CIDFont+F5"/>
                <w:b w:val="0"/>
                <w:i w:val="0"/>
                <w:color w:val="606060"/>
                <w:sz w:val="11"/>
              </w:rPr>
              <w:t>Page #1 4</w:t>
            </w:r>
          </w:p>
        </w:tc>
        <w:tc>
          <w:tcPr>
            <w:tcW w:type="dxa" w:w="2164"/>
            <w:tcBorders>
              <w:start w:sz="11.200000000000045" w:val="single" w:color="#FFFFFF"/>
              <w:top w:sz="11.199999999999818" w:val="single" w:color="#FFFFFF"/>
              <w:end w:sz="19.200000000000273" w:val="single" w:color="#FFFFFF"/>
              <w:bottom w:sz="12.0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226" w:after="0"/>
              <w:ind w:left="10" w:right="0" w:firstLine="20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00497B"/>
                <w:sz w:val="23"/>
              </w:rPr>
              <w:t>$38,491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00497B"/>
                <w:sz w:val="12"/>
              </w:rPr>
              <w:t>▼ from $51,532 as of December 2024</w:t>
            </w:r>
          </w:p>
        </w:tc>
        <w:tc>
          <w:tcPr>
            <w:tcW w:type="dxa" w:w="2130"/>
            <w:tcBorders>
              <w:start w:sz="19.200000000000273" w:val="single" w:color="#FFFFFF"/>
              <w:top w:sz="11.199999999999818" w:val="single" w:color="#FFFFFF"/>
              <w:end w:sz="11.199999999999818" w:val="single" w:color="#FFFFFF"/>
              <w:bottom w:sz="12.0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6" w:lineRule="exact" w:before="112" w:after="0"/>
              <w:ind w:left="1480" w:right="0" w:hanging="682"/>
              <w:jc w:val="left"/>
            </w:pP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New Com m itm ents </w:t>
            </w:r>
            <w:r>
              <w:rPr>
                <w:w w:val="97.14668447321112"/>
                <w:rFonts w:ascii="CIDFont+F5" w:hAnsi="CIDFont+F5" w:eastAsia="CIDFont+F5"/>
                <w:b w:val="0"/>
                <w:i w:val="0"/>
                <w:color w:val="606060"/>
                <w:sz w:val="11"/>
              </w:rPr>
              <w:t>Page #1 5</w:t>
            </w:r>
          </w:p>
        </w:tc>
        <w:tc>
          <w:tcPr>
            <w:tcW w:type="dxa" w:w="2160"/>
            <w:tcBorders>
              <w:start w:sz="11.199999999999818" w:val="single" w:color="#FFFFFF"/>
              <w:top w:sz="11.199999999999818" w:val="single" w:color="#FFFFFF"/>
              <w:end w:sz="8.0" w:val="single" w:color="#000000"/>
              <w:bottom w:sz="12.0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226" w:after="0"/>
              <w:ind w:left="10" w:right="144" w:firstLine="18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00497B"/>
                <w:sz w:val="23"/>
              </w:rPr>
              <w:t>$10,014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00497B"/>
                <w:sz w:val="12"/>
              </w:rPr>
              <w:t>▼ from $49,414 in December 2024</w:t>
            </w:r>
          </w:p>
        </w:tc>
        <w:tc>
          <w:tcPr>
            <w:tcW w:type="dxa" w:w="1872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4"/>
        </w:trPr>
        <w:tc>
          <w:tcPr>
            <w:tcW w:type="dxa" w:w="1950"/>
            <w:vMerge w:val="restart"/>
            <w:tcBorders>
              <w:top w:sz="12.0" w:val="single" w:color="#FFFFFF"/>
              <w:bottom w:sz="12.800000000000182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1070" w:val="left"/>
                <w:tab w:pos="1324" w:val="left"/>
              </w:tabs>
              <w:autoSpaceDE w:val="0"/>
              <w:widowControl/>
              <w:spacing w:line="146" w:lineRule="exact" w:before="42" w:after="0"/>
              <w:ind w:left="536" w:right="0" w:firstLine="0"/>
              <w:jc w:val="left"/>
            </w:pP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New A dm inistra tion </w:t>
            </w:r>
            <w:r>
              <w:tab/>
            </w: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A greem ents </w:t>
            </w:r>
            <w:r>
              <w:tab/>
            </w:r>
            <w:r>
              <w:tab/>
            </w:r>
            <w:r>
              <w:rPr>
                <w:w w:val="97.14668447321112"/>
                <w:rFonts w:ascii="CIDFont+F5" w:hAnsi="CIDFont+F5" w:eastAsia="CIDFont+F5"/>
                <w:b w:val="0"/>
                <w:i w:val="0"/>
                <w:color w:val="606060"/>
                <w:sz w:val="11"/>
              </w:rPr>
              <w:t>Page #1 6</w:t>
            </w:r>
          </w:p>
          <w:p>
            <w:pPr>
              <w:autoSpaceDN w:val="0"/>
              <w:autoSpaceDE w:val="0"/>
              <w:widowControl/>
              <w:spacing w:line="176" w:lineRule="exact" w:before="412" w:after="106"/>
              <w:ind w:left="0" w:right="0" w:firstLine="0"/>
              <w:jc w:val="center"/>
            </w:pPr>
            <w:r>
              <w:rPr>
                <w:w w:val="97.14585542678833"/>
                <w:rFonts w:ascii="CIDFont+F4" w:hAnsi="CIDFont+F4" w:eastAsia="CIDFont+F4"/>
                <w:b/>
                <w:i w:val="0"/>
                <w:color w:val="5989B3"/>
                <w:sz w:val="16"/>
              </w:rPr>
              <w:t>Contributions and Rece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1705" w:type="dxa"/>
            </w:tblPr>
            <w:tblGrid>
              <w:gridCol w:w="1950"/>
            </w:tblGrid>
            <w:tr>
              <w:trPr>
                <w:trHeight w:hRule="exact" w:val="286"/>
              </w:trPr>
              <w:tc>
                <w:tcPr>
                  <w:tcW w:type="dxa" w:w="1872"/>
                  <w:tcBorders/>
                  <w:shd w:fill="edf2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0" w:lineRule="exact" w:before="154" w:after="0"/>
                    <w:ind w:left="0" w:right="40" w:firstLine="0"/>
                    <w:jc w:val="right"/>
                  </w:pPr>
                  <w:r>
                    <w:rPr>
                      <w:w w:val="97.14668447321112"/>
                      <w:rFonts w:ascii="CIDFont+F4" w:hAnsi="CIDFont+F4" w:eastAsia="CIDFont+F4"/>
                      <w:b/>
                      <w:i w:val="0"/>
                      <w:color w:val="606060"/>
                      <w:sz w:val="11"/>
                    </w:rPr>
                    <w:t>Cash Contribu tion 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54.0" w:type="dxa"/>
            </w:tblPr>
            <w:tblGrid>
              <w:gridCol w:w="1950"/>
            </w:tblGrid>
            <w:tr>
              <w:trPr>
                <w:trHeight w:hRule="exact" w:val="176"/>
              </w:trPr>
              <w:tc>
                <w:tcPr>
                  <w:tcW w:type="dxa" w:w="1220"/>
                  <w:tcBorders/>
                  <w:shd w:fill="edf2f4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2" w:lineRule="exact" w:before="14" w:after="0"/>
                    <w:ind w:left="0" w:right="50" w:firstLine="0"/>
                    <w:jc w:val="right"/>
                  </w:pPr>
                  <w:r>
                    <w:rPr>
                      <w:w w:val="97.14668447321112"/>
                      <w:rFonts w:ascii="CIDFont+F5" w:hAnsi="CIDFont+F5" w:eastAsia="CIDFont+F5"/>
                      <w:b w:val="0"/>
                      <w:i w:val="0"/>
                      <w:color w:val="606060"/>
                      <w:sz w:val="11"/>
                    </w:rPr>
                    <w:t>Page #1 8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164"/>
            <w:tcBorders>
              <w:start w:sz="11.200000000000045" w:val="single" w:color="#FFFFFF"/>
              <w:top w:sz="12.0" w:val="single" w:color="#FFFFFF"/>
              <w:end w:sz="19.200000000000273" w:val="single" w:color="#FFFFFF"/>
              <w:bottom w:sz="12.0" w:val="single" w:color="#FFFFFF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8" w:lineRule="exact" w:before="234" w:after="0"/>
              <w:ind w:left="10" w:right="144" w:firstLine="20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00497B"/>
                <w:sz w:val="23"/>
              </w:rPr>
              <w:t>$4,629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00497B"/>
                <w:sz w:val="12"/>
              </w:rPr>
              <w:t>▼  from $40,290 in December 2024</w:t>
            </w:r>
          </w:p>
        </w:tc>
        <w:tc>
          <w:tcPr>
            <w:tcW w:type="dxa" w:w="4290"/>
            <w:gridSpan w:val="2"/>
            <w:vMerge w:val="restart"/>
            <w:tcBorders>
              <w:top w:sz="12.0" w:val="single" w:color="#FFFFFF"/>
              <w:end w:sz="8.0" w:val="single" w:color="#000000"/>
              <w:bottom w:sz="12.800000000000182" w:val="single" w:color="#FFFFF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3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00.0" w:type="dxa"/>
            </w:tblPr>
            <w:tblGrid>
              <w:gridCol w:w="2145"/>
              <w:gridCol w:w="2145"/>
            </w:tblGrid>
            <w:tr>
              <w:trPr>
                <w:trHeight w:hRule="exact" w:val="482"/>
              </w:trPr>
              <w:tc>
                <w:tcPr>
                  <w:tcW w:type="dxa" w:w="1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48" w:lineRule="exact" w:before="64" w:after="0"/>
                    <w:ind w:left="1294" w:right="0" w:hanging="1080"/>
                    <w:jc w:val="left"/>
                  </w:pPr>
                  <w:r>
                    <w:rPr>
                      <w:w w:val="97.14668447321112"/>
                      <w:rFonts w:ascii="CIDFont+F4" w:hAnsi="CIDFont+F4" w:eastAsia="CIDFont+F4"/>
                      <w:b/>
                      <w:i w:val="0"/>
                      <w:color w:val="606060"/>
                      <w:sz w:val="11"/>
                    </w:rPr>
                    <w:t xml:space="preserve">Cont ributions Receiv able </w:t>
                  </w:r>
                  <w:r>
                    <w:rPr>
                      <w:w w:val="97.14668447321112"/>
                      <w:rFonts w:ascii="CIDFont+F5" w:hAnsi="CIDFont+F5" w:eastAsia="CIDFont+F5"/>
                      <w:b w:val="0"/>
                      <w:i w:val="0"/>
                      <w:color w:val="606060"/>
                      <w:sz w:val="11"/>
                    </w:rPr>
                    <w:t>Page #2 0</w:t>
                  </w:r>
                </w:p>
              </w:tc>
              <w:tc>
                <w:tcPr>
                  <w:tcW w:type="dxa" w:w="2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48" w:lineRule="exact" w:before="172" w:after="0"/>
                    <w:ind w:left="74" w:right="0" w:firstLine="18"/>
                    <w:jc w:val="left"/>
                  </w:pPr>
                  <w:r>
                    <w:rPr>
                      <w:w w:val="101.36958412502123"/>
                      <w:rFonts w:ascii="CIDFont+F7" w:hAnsi="CIDFont+F7" w:eastAsia="CIDFont+F7"/>
                      <w:b w:val="0"/>
                      <w:i w:val="0"/>
                      <w:color w:val="5989B3"/>
                      <w:sz w:val="23"/>
                    </w:rPr>
                    <w:t>$20,011</w:t>
                  </w:r>
                  <w:r>
                    <w:br/>
                  </w:r>
                  <w:r>
                    <w:rPr>
                      <w:w w:val="97.14687665303549"/>
                      <w:rFonts w:ascii="CIDFont+F7" w:hAnsi="CIDFont+F7" w:eastAsia="CIDFont+F7"/>
                      <w:b w:val="0"/>
                      <w:i w:val="0"/>
                      <w:color w:val="5989B3"/>
                      <w:sz w:val="12"/>
                    </w:rPr>
                    <w:t>▼ from $21,137 as of December 2024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72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184"/>
        </w:trPr>
        <w:tc>
          <w:tcPr>
            <w:tcW w:type="dxa" w:w="1872"/>
            <w:vMerge/>
            <w:tcBorders>
              <w:top w:sz="12.0" w:val="single" w:color="#FFFFFF"/>
              <w:bottom w:sz="12.800000000000182" w:val="single" w:color="#FFFFFF"/>
            </w:tcBorders>
          </w:tcPr>
          <w:p/>
        </w:tc>
        <w:tc>
          <w:tcPr>
            <w:tcW w:type="dxa" w:w="2164"/>
            <w:tcBorders>
              <w:top w:sz="12.0" w:val="single" w:color="#FFFFFF"/>
              <w:bottom w:sz="12.800000000000182" w:val="single" w:color="#FFFFF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18" w:lineRule="exact" w:before="148" w:after="0"/>
              <w:ind w:left="58" w:right="144" w:hanging="58"/>
              <w:jc w:val="left"/>
            </w:pPr>
            <w:r>
              <w:rPr>
                <w:w w:val="97.14585542678833"/>
                <w:rFonts w:ascii="CIDFont+F4" w:hAnsi="CIDFont+F4" w:eastAsia="CIDFont+F4"/>
                <w:b/>
                <w:i w:val="0"/>
                <w:color w:val="5989B3"/>
                <w:sz w:val="16"/>
              </w:rPr>
              <w:t xml:space="preserve">ivables </w:t>
            </w:r>
            <w:r>
              <w:br/>
            </w: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5989B3"/>
                <w:sz w:val="23"/>
              </w:rPr>
              <w:t>$8,144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5989B3"/>
                <w:sz w:val="12"/>
              </w:rPr>
              <w:t>▼  from $36,663 in December 2024</w:t>
            </w:r>
          </w:p>
        </w:tc>
        <w:tc>
          <w:tcPr>
            <w:tcW w:type="dxa" w:w="3744"/>
            <w:gridSpan w:val="2"/>
            <w:vMerge/>
            <w:tcBorders>
              <w:top w:sz="12.0" w:val="single" w:color="#FFFFFF"/>
              <w:end w:sz="8.0" w:val="single" w:color="#000000"/>
              <w:bottom w:sz="12.800000000000182" w:val="single" w:color="#FFFFFF"/>
            </w:tcBorders>
          </w:tcPr>
          <w:p/>
        </w:tc>
        <w:tc>
          <w:tcPr>
            <w:tcW w:type="dxa" w:w="1872"/>
            <w:tcBorders>
              <w:start w:sz="8.0" w:val="single" w:color="#000000"/>
            </w:tcBorders>
            <w:tcMar>
              <w:start w:w="0" w:type="dxa"/>
              <w:end w:w="0" w:type="dxa"/>
            </w:tcMar>
          </w:tcPr>
          <w:p/>
        </w:tc>
      </w:tr>
      <w:tr>
        <w:trPr>
          <w:trHeight w:hRule="exact" w:val="602"/>
        </w:trPr>
        <w:tc>
          <w:tcPr>
            <w:tcW w:type="dxa" w:w="8550"/>
            <w:gridSpan w:val="5"/>
            <w:vMerge w:val="restart"/>
            <w:tcBorders>
              <w:top w:sz="7.199999999999818" w:val="single" w:color="#000000"/>
              <w:bottom w:sz="7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22" w:lineRule="exact" w:before="134" w:after="0"/>
              <w:ind w:left="30" w:right="0" w:firstLine="0"/>
              <w:jc w:val="left"/>
            </w:pP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>Prom issory Notes Receiv able</w:t>
            </w:r>
          </w:p>
          <w:p>
            <w:pPr>
              <w:autoSpaceDN w:val="0"/>
              <w:autoSpaceDE w:val="0"/>
              <w:widowControl/>
              <w:spacing w:line="122" w:lineRule="exact" w:before="24" w:after="0"/>
              <w:ind w:left="0" w:right="130" w:firstLine="0"/>
              <w:jc w:val="right"/>
            </w:pPr>
            <w:r>
              <w:rPr>
                <w:w w:val="97.14668447321112"/>
                <w:rFonts w:ascii="CIDFont+F5" w:hAnsi="CIDFont+F5" w:eastAsia="CIDFont+F5"/>
                <w:b w:val="0"/>
                <w:i w:val="0"/>
                <w:color w:val="606060"/>
                <w:sz w:val="11"/>
              </w:rPr>
              <w:t>Page #2 2</w:t>
            </w:r>
          </w:p>
          <w:p>
            <w:pPr>
              <w:autoSpaceDN w:val="0"/>
              <w:autoSpaceDE w:val="0"/>
              <w:widowControl/>
              <w:spacing w:line="176" w:lineRule="exact" w:before="610" w:after="102"/>
              <w:ind w:left="40" w:right="0" w:firstLine="0"/>
              <w:jc w:val="left"/>
            </w:pPr>
            <w:r>
              <w:rPr>
                <w:w w:val="97.14585542678833"/>
                <w:rFonts w:ascii="CIDFont+F4" w:hAnsi="CIDFont+F4" w:eastAsia="CIDFont+F4"/>
                <w:b/>
                <w:i w:val="0"/>
                <w:color w:val="474747"/>
                <w:sz w:val="16"/>
              </w:rPr>
              <w:t>Investments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1705" w:type="dxa"/>
            </w:tblPr>
            <w:tblGrid>
              <w:gridCol w:w="1950"/>
            </w:tblGrid>
            <w:tr>
              <w:trPr>
                <w:trHeight w:hRule="exact" w:val="280"/>
              </w:trPr>
              <w:tc>
                <w:tcPr>
                  <w:tcW w:type="dxa" w:w="1872"/>
                  <w:tcBorders/>
                  <w:shd w:fill="f2f2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0" w:lineRule="exact" w:before="148" w:after="0"/>
                    <w:ind w:left="436" w:right="0" w:firstLine="0"/>
                    <w:jc w:val="left"/>
                  </w:pPr>
                  <w:r>
                    <w:rPr>
                      <w:w w:val="97.14668447321112"/>
                      <w:rFonts w:ascii="CIDFont+F4" w:hAnsi="CIDFont+F4" w:eastAsia="CIDFont+F4"/>
                      <w:b/>
                      <w:i w:val="0"/>
                      <w:color w:val="606060"/>
                      <w:sz w:val="11"/>
                    </w:rPr>
                    <w:t>Cash and Inv estm ents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54.0" w:type="dxa"/>
            </w:tblPr>
            <w:tblGrid>
              <w:gridCol w:w="1950"/>
            </w:tblGrid>
            <w:tr>
              <w:trPr>
                <w:trHeight w:hRule="exact" w:val="192"/>
              </w:trPr>
              <w:tc>
                <w:tcPr>
                  <w:tcW w:type="dxa" w:w="1220"/>
                  <w:tcBorders/>
                  <w:shd w:fill="f2f2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0" w:lineRule="exact" w:before="12" w:after="0"/>
                    <w:ind w:left="0" w:right="54" w:firstLine="0"/>
                    <w:jc w:val="right"/>
                  </w:pPr>
                  <w:r>
                    <w:rPr>
                      <w:w w:val="97.14668447321112"/>
                      <w:rFonts w:ascii="CIDFont+F5" w:hAnsi="CIDFont+F5" w:eastAsia="CIDFont+F5"/>
                      <w:b w:val="0"/>
                      <w:i w:val="0"/>
                      <w:color w:val="606060"/>
                      <w:sz w:val="11"/>
                    </w:rPr>
                    <w:t>Page #2 4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76" w:lineRule="exact" w:before="414" w:after="104"/>
              <w:ind w:left="40" w:right="0" w:firstLine="0"/>
              <w:jc w:val="left"/>
            </w:pPr>
            <w:r>
              <w:rPr>
                <w:w w:val="97.14585542678833"/>
                <w:rFonts w:ascii="CIDFont+F4" w:hAnsi="CIDFont+F4" w:eastAsia="CIDFont+F4"/>
                <w:b/>
                <w:i w:val="0"/>
                <w:color w:val="474747"/>
                <w:sz w:val="16"/>
              </w:rPr>
              <w:t>Cost Recovery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.0000000000001705" w:type="dxa"/>
            </w:tblPr>
            <w:tblGrid>
              <w:gridCol w:w="1950"/>
            </w:tblGrid>
            <w:tr>
              <w:trPr>
                <w:trHeight w:hRule="exact" w:val="288"/>
              </w:trPr>
              <w:tc>
                <w:tcPr>
                  <w:tcW w:type="dxa" w:w="1872"/>
                  <w:tcBorders/>
                  <w:shd w:fill="f2f2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0" w:lineRule="exact" w:before="156" w:after="0"/>
                    <w:ind w:left="0" w:right="54" w:firstLine="0"/>
                    <w:jc w:val="right"/>
                  </w:pPr>
                  <w:r>
                    <w:rPr>
                      <w:w w:val="97.14668447321112"/>
                      <w:rFonts w:ascii="CIDFont+F4" w:hAnsi="CIDFont+F4" w:eastAsia="CIDFont+F4"/>
                      <w:b/>
                      <w:i w:val="0"/>
                      <w:color w:val="606060"/>
                      <w:sz w:val="11"/>
                    </w:rPr>
                    <w:t>Cost Recov ery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54.0" w:type="dxa"/>
            </w:tblPr>
            <w:tblGrid>
              <w:gridCol w:w="1950"/>
            </w:tblGrid>
            <w:tr>
              <w:trPr>
                <w:trHeight w:hRule="exact" w:val="174"/>
              </w:trPr>
              <w:tc>
                <w:tcPr>
                  <w:tcW w:type="dxa" w:w="1220"/>
                  <w:tcBorders/>
                  <w:shd w:fill="f2f2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0" w:lineRule="exact" w:before="14" w:after="0"/>
                    <w:ind w:left="0" w:right="60" w:firstLine="0"/>
                    <w:jc w:val="right"/>
                  </w:pPr>
                  <w:r>
                    <w:rPr>
                      <w:w w:val="97.14668447321112"/>
                      <w:rFonts w:ascii="CIDFont+F5" w:hAnsi="CIDFont+F5" w:eastAsia="CIDFont+F5"/>
                      <w:b w:val="0"/>
                      <w:i w:val="0"/>
                      <w:color w:val="606060"/>
                      <w:sz w:val="11"/>
                    </w:rPr>
                    <w:t>Page #2 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  <w:p>
            <w:pPr>
              <w:autoSpaceDN w:val="0"/>
              <w:autoSpaceDE w:val="0"/>
              <w:widowControl/>
              <w:spacing w:line="148" w:lineRule="exact" w:before="224" w:after="0"/>
              <w:ind w:left="24" w:right="0" w:firstLine="20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5989B3"/>
                <w:sz w:val="23"/>
              </w:rPr>
              <w:t>$13,409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5989B3"/>
                <w:sz w:val="12"/>
              </w:rPr>
              <w:t>▲ from $12,119 as of December 2024</w:t>
            </w:r>
          </w:p>
          <w:p>
            <w:pPr>
              <w:autoSpaceDN w:val="0"/>
              <w:autoSpaceDE w:val="0"/>
              <w:widowControl/>
              <w:spacing w:line="146" w:lineRule="exact" w:before="1010" w:after="0"/>
              <w:ind w:left="24" w:right="0" w:firstLine="20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474747"/>
                <w:sz w:val="23"/>
              </w:rPr>
              <w:t>$61,788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474747"/>
                <w:sz w:val="12"/>
              </w:rPr>
              <w:t>▼ from $68,341 as of December 2024</w:t>
            </w:r>
          </w:p>
          <w:p>
            <w:pPr>
              <w:autoSpaceDN w:val="0"/>
              <w:autoSpaceDE w:val="0"/>
              <w:widowControl/>
              <w:spacing w:line="148" w:lineRule="exact" w:before="880" w:after="0"/>
              <w:ind w:left="24" w:right="432" w:firstLine="20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474747"/>
                <w:sz w:val="23"/>
              </w:rPr>
              <w:t>$122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474747"/>
                <w:sz w:val="12"/>
              </w:rPr>
              <w:t>▲ from $118 in December 2024</w:t>
            </w:r>
          </w:p>
          <w:p>
            <w:pPr>
              <w:autoSpaceDN w:val="0"/>
              <w:autoSpaceDE w:val="0"/>
              <w:widowControl/>
              <w:spacing w:line="146" w:lineRule="exact" w:before="110" w:after="0"/>
              <w:ind w:left="1470" w:right="0" w:hanging="1002"/>
              <w:jc w:val="left"/>
            </w:pPr>
            <w:r>
              <w:rPr>
                <w:w w:val="97.14668447321112"/>
                <w:rFonts w:ascii="CIDFont+F4" w:hAnsi="CIDFont+F4" w:eastAsia="CIDFont+F4"/>
                <w:b/>
                <w:i w:val="0"/>
                <w:color w:val="606060"/>
                <w:sz w:val="11"/>
              </w:rPr>
              <w:t xml:space="preserve">Com m itm ent Au th ority </w:t>
            </w:r>
            <w:r>
              <w:rPr>
                <w:w w:val="97.14668447321112"/>
                <w:rFonts w:ascii="CIDFont+F5" w:hAnsi="CIDFont+F5" w:eastAsia="CIDFont+F5"/>
                <w:b w:val="0"/>
                <w:i w:val="0"/>
                <w:color w:val="606060"/>
                <w:sz w:val="11"/>
              </w:rPr>
              <w:t>Page #2 3</w:t>
            </w:r>
          </w:p>
          <w:p>
            <w:pPr>
              <w:autoSpaceDN w:val="0"/>
              <w:autoSpaceDE w:val="0"/>
              <w:widowControl/>
              <w:spacing w:line="148" w:lineRule="exact" w:before="224" w:after="0"/>
              <w:ind w:left="24" w:right="0" w:firstLine="18"/>
              <w:jc w:val="left"/>
            </w:pPr>
            <w:r>
              <w:rPr>
                <w:w w:val="101.36958412502123"/>
                <w:rFonts w:ascii="CIDFont+F7" w:hAnsi="CIDFont+F7" w:eastAsia="CIDFont+F7"/>
                <w:b w:val="0"/>
                <w:i w:val="0"/>
                <w:color w:val="5989B3"/>
                <w:sz w:val="23"/>
              </w:rPr>
              <w:t>$39,160</w:t>
            </w:r>
            <w:r>
              <w:br/>
            </w:r>
            <w:r>
              <w:rPr>
                <w:w w:val="97.14687665303549"/>
                <w:rFonts w:ascii="CIDFont+F7" w:hAnsi="CIDFont+F7" w:eastAsia="CIDFont+F7"/>
                <w:b w:val="0"/>
                <w:i w:val="0"/>
                <w:color w:val="5989B3"/>
                <w:sz w:val="12"/>
              </w:rPr>
              <w:t>▲ from $32,920 as of December 2024</w:t>
            </w:r>
          </w:p>
        </w:tc>
      </w:tr>
      <w:tr>
        <w:trPr>
          <w:trHeight w:hRule="exact" w:val="55"/>
        </w:trPr>
        <w:tc>
          <w:tcPr>
            <w:tcW w:type="dxa" w:w="9360"/>
            <w:gridSpan w:val="5"/>
            <w:vMerge/>
            <w:tcBorders>
              <w:top w:sz="12.800000000000182" w:val="single" w:color="#FFFFFF"/>
              <w:bottom w:sz="7.199999999999818" w:val="single" w:color="#000000"/>
            </w:tcBorders>
          </w:tcPr>
          <w:p/>
        </w:tc>
      </w:tr>
    </w:tbl>
    <w:p>
      <w:pPr>
        <w:autoSpaceDN w:val="0"/>
        <w:autoSpaceDE w:val="0"/>
        <w:widowControl/>
        <w:spacing w:line="228" w:lineRule="exact" w:before="4858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4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2844800</wp:posOffset>
            </wp:positionH>
            <wp:positionV relativeFrom="page">
              <wp:posOffset>1879600</wp:posOffset>
            </wp:positionV>
            <wp:extent cx="3721100" cy="4572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211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1257300</wp:posOffset>
            </wp:positionH>
            <wp:positionV relativeFrom="page">
              <wp:posOffset>3073400</wp:posOffset>
            </wp:positionV>
            <wp:extent cx="2743200" cy="17145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1272540</wp:posOffset>
            </wp:positionH>
            <wp:positionV relativeFrom="page">
              <wp:posOffset>3088640</wp:posOffset>
            </wp:positionV>
            <wp:extent cx="2719070" cy="1690465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19070" cy="1690465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1270000</wp:posOffset>
            </wp:positionH>
            <wp:positionV relativeFrom="page">
              <wp:posOffset>4914900</wp:posOffset>
            </wp:positionV>
            <wp:extent cx="2743200" cy="19812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981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1281430</wp:posOffset>
            </wp:positionH>
            <wp:positionV relativeFrom="page">
              <wp:posOffset>4923790</wp:posOffset>
            </wp:positionV>
            <wp:extent cx="2719070" cy="1968389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19070" cy="1968389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5974" w:val="left"/>
        </w:tabs>
        <w:autoSpaceDE w:val="0"/>
        <w:widowControl/>
        <w:spacing w:line="174" w:lineRule="exact" w:before="0" w:after="0"/>
        <w:ind w:left="3500" w:right="288" w:firstLine="0"/>
        <w:jc w:val="lef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98" w:lineRule="exact" w:before="298" w:after="10"/>
        <w:ind w:left="348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>Portfolio at a Glance - IBRD/IDA/IFC Trust Funds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8.0000000000001" w:type="dxa"/>
      </w:tblPr>
      <w:tblGrid>
        <w:gridCol w:w="3120"/>
        <w:gridCol w:w="3120"/>
        <w:gridCol w:w="3120"/>
      </w:tblGrid>
      <w:tr>
        <w:trPr>
          <w:trHeight w:hRule="exact" w:val="540"/>
        </w:trPr>
        <w:tc>
          <w:tcPr>
            <w:tcW w:type="dxa" w:w="1752"/>
            <w:tcBorders>
              <w:top w:sz="7.679999828338623" w:val="single" w:color="#1F49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2160"/>
            <w:tcBorders>
              <w:top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38" w:after="0"/>
              <w:ind w:left="0" w:right="136" w:firstLine="0"/>
              <w:jc w:val="right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1F497D"/>
                <w:sz w:val="19"/>
              </w:rPr>
              <w:t xml:space="preserve">Contributions </w:t>
            </w:r>
          </w:p>
        </w:tc>
        <w:tc>
          <w:tcPr>
            <w:tcW w:type="dxa" w:w="4698"/>
            <w:tcBorders>
              <w:top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38" w:after="0"/>
              <w:ind w:left="170" w:right="0" w:firstLine="0"/>
              <w:jc w:val="left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1F497D"/>
                <w:sz w:val="19"/>
              </w:rPr>
              <w:t xml:space="preserve"> Investment Income     Disbursements            Fund Balance </w:t>
            </w:r>
          </w:p>
        </w:tc>
      </w:tr>
      <w:tr>
        <w:trPr>
          <w:trHeight w:hRule="exact" w:val="468"/>
        </w:trPr>
        <w:tc>
          <w:tcPr>
            <w:tcW w:type="dxa" w:w="175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0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1F497D"/>
                <w:sz w:val="21"/>
              </w:rPr>
              <w:t xml:space="preserve">YTD FY26 </w:t>
            </w:r>
          </w:p>
        </w:tc>
        <w:tc>
          <w:tcPr>
            <w:tcW w:type="dxa" w:w="68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6" w:after="0"/>
              <w:ind w:left="1262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1F497D"/>
                <w:sz w:val="21"/>
              </w:rPr>
              <w:t xml:space="preserve"> $2,340                      $434                      $9,770                    $14,885 </w:t>
            </w:r>
          </w:p>
        </w:tc>
      </w:tr>
    </w:tbl>
    <w:p>
      <w:pPr>
        <w:autoSpaceDN w:val="0"/>
        <w:autoSpaceDE w:val="0"/>
        <w:widowControl/>
        <w:spacing w:line="252" w:lineRule="exact" w:before="248" w:after="24"/>
        <w:ind w:left="348" w:right="0" w:firstLine="0"/>
        <w:jc w:val="left"/>
      </w:pPr>
      <w:r>
        <w:rPr>
          <w:w w:val="98.65285782586962"/>
          <w:rFonts w:ascii="CIDFont+F1" w:hAnsi="CIDFont+F1" w:eastAsia="CIDFont+F1"/>
          <w:b/>
          <w:i w:val="0"/>
          <w:color w:val="1F497D"/>
          <w:sz w:val="21"/>
        </w:rPr>
        <w:t xml:space="preserve">YoY change %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2340"/>
        <w:gridCol w:w="2340"/>
        <w:gridCol w:w="2340"/>
        <w:gridCol w:w="2340"/>
      </w:tblGrid>
      <w:tr>
        <w:trPr>
          <w:trHeight w:hRule="exact" w:val="320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32" w:after="0"/>
              <w:ind w:left="0" w:right="618" w:firstLine="0"/>
              <w:jc w:val="right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75%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32" w:after="0"/>
              <w:ind w:left="0" w:right="0" w:firstLine="0"/>
              <w:jc w:val="center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4%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6" w:after="0"/>
              <w:ind w:left="0" w:right="524" w:firstLine="0"/>
              <w:jc w:val="right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10%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32" w:after="0"/>
              <w:ind w:left="0" w:right="0" w:firstLine="0"/>
              <w:jc w:val="center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32% </w:t>
            </w:r>
          </w:p>
        </w:tc>
      </w:tr>
    </w:tbl>
    <w:p>
      <w:pPr>
        <w:autoSpaceDN w:val="0"/>
        <w:autoSpaceDE w:val="0"/>
        <w:widowControl/>
        <w:spacing w:line="4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4.00000000000006" w:type="dxa"/>
      </w:tblPr>
      <w:tblGrid>
        <w:gridCol w:w="9360"/>
      </w:tblGrid>
      <w:tr>
        <w:trPr>
          <w:trHeight w:hRule="exact" w:val="262"/>
        </w:trPr>
        <w:tc>
          <w:tcPr>
            <w:tcW w:type="dxa" w:w="871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6e9e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0" w:after="0"/>
              <w:ind w:left="96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FFFFFF"/>
                <w:sz w:val="21"/>
              </w:rPr>
              <w:t>Key Metrices</w:t>
            </w:r>
          </w:p>
        </w:tc>
      </w:tr>
      <w:tr>
        <w:trPr>
          <w:trHeight w:hRule="exact" w:val="7018"/>
        </w:trPr>
        <w:tc>
          <w:tcPr>
            <w:tcW w:type="dxa" w:w="8710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40.0" w:type="dxa"/>
            </w:tblPr>
            <w:tblGrid>
              <w:gridCol w:w="4355"/>
              <w:gridCol w:w="4355"/>
            </w:tblGrid>
            <w:tr>
              <w:trPr>
                <w:trHeight w:hRule="exact" w:val="554"/>
              </w:trPr>
              <w:tc>
                <w:tcPr>
                  <w:tcW w:type="dxa" w:w="3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2" w:lineRule="exact" w:before="60" w:after="0"/>
                    <w:ind w:left="60" w:right="0" w:firstLine="0"/>
                    <w:jc w:val="left"/>
                  </w:pPr>
                  <w:r>
                    <w:rPr>
                      <w:w w:val="98.65285782586962"/>
                      <w:rFonts w:ascii="CIDFont+F1" w:hAnsi="CIDFont+F1" w:eastAsia="CIDFont+F1"/>
                      <w:b/>
                      <w:i w:val="0"/>
                      <w:color w:val="001F60"/>
                      <w:sz w:val="21"/>
                    </w:rPr>
                    <w:t xml:space="preserve">Cash contributions </w:t>
                  </w:r>
                </w:p>
              </w:tc>
              <w:tc>
                <w:tcPr>
                  <w:tcW w:type="dxa" w:w="54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312" w:after="0"/>
                    <w:ind w:left="0" w:right="8" w:firstLine="0"/>
                    <w:jc w:val="right"/>
                  </w:pPr>
                  <w:r>
                    <w:rPr>
                      <w:w w:val="97.75360508968956"/>
                      <w:rFonts w:ascii="CIDFont+F9" w:hAnsi="CIDFont+F9" w:eastAsia="CIDFont+F9"/>
                      <w:b w:val="0"/>
                      <w:i w:val="0"/>
                      <w:color w:val="000000"/>
                      <w:sz w:val="19"/>
                    </w:rPr>
                    <w:t></w:t>
                  </w:r>
                  <w:r>
                    <w:rPr>
                      <w:w w:val="98.37079299123663"/>
                      <w:rFonts w:ascii="CIDFont+F2" w:hAnsi="CIDFont+F2" w:eastAsia="CIDFont+F2"/>
                      <w:b w:val="0"/>
                      <w:i w:val="0"/>
                      <w:color w:val="000000"/>
                      <w:sz w:val="19"/>
                    </w:rPr>
                    <w:t xml:space="preserve">On an average, 31% of overall contributions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238" w:lineRule="exact" w:before="0" w:after="0"/>
              <w:ind w:left="4904" w:right="48" w:firstLine="0"/>
              <w:jc w:val="both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received by IBRD/IDA/IFC TFs are from FIFs,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where IBRD/IDA/IFC play an implementing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agency (IA) role. FIFs therefore, indirectly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contribute to the IBRD/IDA/IFC trust funds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activity. </w:t>
            </w:r>
          </w:p>
          <w:p>
            <w:pPr>
              <w:autoSpaceDN w:val="0"/>
              <w:autoSpaceDE w:val="0"/>
              <w:widowControl/>
              <w:spacing w:line="238" w:lineRule="exact" w:before="0" w:after="0"/>
              <w:ind w:left="4904" w:right="48" w:hanging="240"/>
              <w:jc w:val="both"/>
            </w:pPr>
            <w:r>
              <w:rPr>
                <w:w w:val="97.75360508968956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</w:t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Around 99% (YTD FY25 98%) of the FIF transfers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to IBRD/IDA/IFC TFs during YTD FY26 were from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5 FIFs and these accounted for 98% (YTD FY25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96%) from YTD FY22 to YTD FY26. The decrease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in YTD FY26 is mainly due to lower FIF transfers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to FORTIE by $3,500m compared to YTD FY25. </w:t>
            </w:r>
          </w:p>
          <w:p>
            <w:pPr>
              <w:autoSpaceDN w:val="0"/>
              <w:autoSpaceDE w:val="0"/>
              <w:widowControl/>
              <w:spacing w:line="238" w:lineRule="exact" w:before="238" w:after="0"/>
              <w:ind w:left="4906" w:right="46" w:hanging="228"/>
              <w:jc w:val="both"/>
            </w:pPr>
            <w:r>
              <w:rPr>
                <w:w w:val="97.75360508968956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</w:t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Top 10 donors accounted for 66% of the total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IBRD/IDA/IFC TFs contributions during YTD FY26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with the top 5 accounting for 49% of the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contributions. </w:t>
            </w:r>
          </w:p>
          <w:p>
            <w:pPr>
              <w:autoSpaceDN w:val="0"/>
              <w:autoSpaceDE w:val="0"/>
              <w:widowControl/>
              <w:spacing w:line="238" w:lineRule="exact" w:before="2" w:after="0"/>
              <w:ind w:left="4906" w:right="46" w:hanging="228"/>
              <w:jc w:val="both"/>
            </w:pPr>
            <w:r>
              <w:rPr>
                <w:w w:val="97.75360508968956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</w:t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There has been an increase in contributions from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United Kingdom in YTD FY26 ($97m) compared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to YTD FY25 largely due to contributions received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towards GFF and SCALE, partially offset by lower </w:t>
            </w:r>
            <w:r>
              <w:br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contributions in ARTF. </w:t>
            </w:r>
          </w:p>
        </w:tc>
      </w:tr>
    </w:tbl>
    <w:p>
      <w:pPr>
        <w:autoSpaceDN w:val="0"/>
        <w:autoSpaceDE w:val="0"/>
        <w:widowControl/>
        <w:spacing w:line="228" w:lineRule="exact" w:before="3790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5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2844800</wp:posOffset>
            </wp:positionH>
            <wp:positionV relativeFrom="page">
              <wp:posOffset>1905000</wp:posOffset>
            </wp:positionV>
            <wp:extent cx="3771900" cy="469900"/>
            <wp:wrapNone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4699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1333500</wp:posOffset>
            </wp:positionH>
            <wp:positionV relativeFrom="page">
              <wp:posOffset>3200400</wp:posOffset>
            </wp:positionV>
            <wp:extent cx="5143500" cy="1587500"/>
            <wp:wrapNone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1587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5974" w:val="left"/>
        </w:tabs>
        <w:autoSpaceDE w:val="0"/>
        <w:widowControl/>
        <w:spacing w:line="174" w:lineRule="exact" w:before="0" w:after="0"/>
        <w:ind w:left="3500" w:right="288" w:firstLine="0"/>
        <w:jc w:val="lef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98" w:lineRule="exact" w:before="298" w:after="244"/>
        <w:ind w:left="348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>Portfolio at a Glance - IBRD/IDA/IFC Trust Funds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3120"/>
        <w:gridCol w:w="3120"/>
        <w:gridCol w:w="3120"/>
      </w:tblGrid>
      <w:tr>
        <w:trPr>
          <w:trHeight w:hRule="exact" w:val="352"/>
        </w:trPr>
        <w:tc>
          <w:tcPr>
            <w:tcW w:type="dxa" w:w="196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60" w:after="0"/>
              <w:ind w:left="0" w:right="136" w:firstLine="0"/>
              <w:jc w:val="right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1F497D"/>
                <w:sz w:val="19"/>
              </w:rPr>
              <w:t xml:space="preserve">Contributions </w:t>
            </w:r>
          </w:p>
        </w:tc>
        <w:tc>
          <w:tcPr>
            <w:tcW w:type="dxa" w:w="477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60" w:after="0"/>
              <w:ind w:left="0" w:right="0" w:firstLine="0"/>
              <w:jc w:val="center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1F497D"/>
                <w:sz w:val="19"/>
              </w:rPr>
              <w:t xml:space="preserve"> Investment Income     Disbursements            Fund Balance </w:t>
            </w:r>
          </w:p>
        </w:tc>
      </w:tr>
      <w:tr>
        <w:trPr>
          <w:trHeight w:hRule="exact" w:val="468"/>
        </w:trPr>
        <w:tc>
          <w:tcPr>
            <w:tcW w:type="dxa" w:w="1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188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1F497D"/>
                <w:sz w:val="21"/>
              </w:rPr>
              <w:t xml:space="preserve">YTD FY26 </w:t>
            </w:r>
          </w:p>
        </w:tc>
        <w:tc>
          <w:tcPr>
            <w:tcW w:type="dxa" w:w="693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83.9999999999998" w:type="dxa"/>
            </w:tblPr>
            <w:tblGrid>
              <w:gridCol w:w="6932"/>
            </w:tblGrid>
            <w:tr>
              <w:trPr>
                <w:trHeight w:hRule="exact" w:val="448"/>
              </w:trPr>
              <w:tc>
                <w:tcPr>
                  <w:tcW w:type="dxa" w:w="5948"/>
                  <w:tcBorders/>
                  <w:shd w:fill="d8e2f2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exact" w:before="104" w:after="0"/>
                    <w:ind w:left="0" w:right="0" w:firstLine="0"/>
                    <w:jc w:val="center"/>
                  </w:pPr>
                  <w:r>
                    <w:rPr>
                      <w:w w:val="98.65285782586962"/>
                      <w:rFonts w:ascii="CIDFont+F1" w:hAnsi="CIDFont+F1" w:eastAsia="CIDFont+F1"/>
                      <w:b/>
                      <w:i w:val="0"/>
                      <w:color w:val="1F497D"/>
                      <w:sz w:val="21"/>
                    </w:rPr>
                    <w:t xml:space="preserve"> $2,340                      $434                      $9,770                    $14,885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52" w:lineRule="exact" w:before="256" w:after="28"/>
        <w:ind w:left="348" w:right="0" w:firstLine="0"/>
        <w:jc w:val="left"/>
      </w:pPr>
      <w:r>
        <w:rPr>
          <w:w w:val="98.65285782586962"/>
          <w:rFonts w:ascii="CIDFont+F1" w:hAnsi="CIDFont+F1" w:eastAsia="CIDFont+F1"/>
          <w:b/>
          <w:i w:val="0"/>
          <w:color w:val="1F497D"/>
          <w:sz w:val="21"/>
        </w:rPr>
        <w:t xml:space="preserve">YoY change %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760.0" w:type="dxa"/>
      </w:tblPr>
      <w:tblGrid>
        <w:gridCol w:w="2340"/>
        <w:gridCol w:w="2340"/>
        <w:gridCol w:w="2340"/>
        <w:gridCol w:w="2340"/>
      </w:tblGrid>
      <w:tr>
        <w:trPr>
          <w:trHeight w:hRule="exact" w:val="326"/>
        </w:trPr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38" w:after="0"/>
              <w:ind w:left="0" w:right="618" w:firstLine="0"/>
              <w:jc w:val="right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75%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6" w:after="0"/>
              <w:ind w:left="0" w:right="0" w:firstLine="0"/>
              <w:jc w:val="center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4% </w:t>
            </w:r>
          </w:p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30" w:after="0"/>
              <w:ind w:left="0" w:right="0" w:firstLine="0"/>
              <w:jc w:val="center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10%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30" w:after="0"/>
              <w:ind w:left="0" w:right="420" w:firstLine="0"/>
              <w:jc w:val="right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1F497D"/>
                <w:sz w:val="19"/>
              </w:rPr>
              <w:t xml:space="preserve">32% </w:t>
            </w:r>
          </w:p>
        </w:tc>
      </w:tr>
    </w:tbl>
    <w:p>
      <w:pPr>
        <w:autoSpaceDN w:val="0"/>
        <w:autoSpaceDE w:val="0"/>
        <w:widowControl/>
        <w:spacing w:line="47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4.00000000000006" w:type="dxa"/>
      </w:tblPr>
      <w:tblGrid>
        <w:gridCol w:w="9360"/>
      </w:tblGrid>
      <w:tr>
        <w:trPr>
          <w:trHeight w:hRule="exact" w:val="258"/>
        </w:trPr>
        <w:tc>
          <w:tcPr>
            <w:tcW w:type="dxa" w:w="8718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shd w:fill="6e9e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96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FFFFFF"/>
                <w:sz w:val="21"/>
              </w:rPr>
              <w:t>Key Metrices</w:t>
            </w:r>
          </w:p>
        </w:tc>
      </w:tr>
      <w:tr>
        <w:trPr>
          <w:trHeight w:hRule="exact" w:val="9376"/>
        </w:trPr>
        <w:tc>
          <w:tcPr>
            <w:tcW w:type="dxa" w:w="871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236" w:after="248"/>
              <w:ind w:left="100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001F60"/>
                <w:sz w:val="21"/>
              </w:rPr>
              <w:t xml:space="preserve">Cash Disbursements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20.0" w:type="dxa"/>
            </w:tblPr>
            <w:tblGrid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  <w:gridCol w:w="301"/>
            </w:tblGrid>
            <w:tr>
              <w:trPr>
                <w:trHeight w:hRule="exact" w:val="300"/>
              </w:trPr>
              <w:tc>
                <w:tcPr>
                  <w:tcW w:type="dxa" w:w="7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2" w:lineRule="exact" w:before="310" w:after="0"/>
                    <w:ind w:left="0" w:right="30" w:firstLine="0"/>
                    <w:jc w:val="right"/>
                  </w:pPr>
                  <w:r>
                    <w:rPr>
                      <w:w w:val="104.4472885131836"/>
                      <w:rFonts w:ascii="CIDFont+F7" w:hAnsi="CIDFont+F7" w:eastAsia="CIDFont+F7"/>
                      <w:b w:val="0"/>
                      <w:i w:val="0"/>
                      <w:color w:val="000000"/>
                      <w:sz w:val="10"/>
                    </w:rPr>
                    <w:t xml:space="preserve"> YTD FY26</w:t>
                  </w:r>
                </w:p>
              </w:tc>
              <w:tc>
                <w:tcPr>
                  <w:tcW w:type="dxa" w:w="3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1826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71 </w:t>
                  </w:r>
                </w:p>
              </w:tc>
              <w:tc>
                <w:tcPr>
                  <w:tcW w:type="dxa" w:w="26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1826" w:after="0"/>
                    <w:ind w:left="0" w:right="6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56 </w:t>
                  </w:r>
                </w:p>
              </w:tc>
              <w:tc>
                <w:tcPr>
                  <w:tcW w:type="dxa" w:w="2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1824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139 </w:t>
                  </w:r>
                </w:p>
              </w:tc>
              <w:tc>
                <w:tcPr>
                  <w:tcW w:type="dxa" w:w="2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1972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370 </w:t>
                  </w:r>
                </w:p>
              </w:tc>
              <w:tc>
                <w:tcPr>
                  <w:tcW w:type="dxa" w:w="4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1138" w:after="0"/>
                    <w:ind w:left="28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>4,471</w:t>
                  </w:r>
                </w:p>
              </w:tc>
              <w:tc>
                <w:tcPr>
                  <w:tcW w:type="dxa" w:w="3660"/>
                  <w:gridSpan w:val="15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60" w:after="0"/>
                    <w:ind w:left="706" w:right="0" w:firstLine="0"/>
                    <w:jc w:val="left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>Disbursements for RE Activities by Region</w:t>
                  </w:r>
                </w:p>
              </w:tc>
              <w:tc>
                <w:tcPr>
                  <w:tcW w:type="dxa" w:w="28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164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73 </w:t>
                  </w:r>
                </w:p>
              </w:tc>
              <w:tc>
                <w:tcPr>
                  <w:tcW w:type="dxa" w:w="780"/>
                  <w:gridSpan w:val="4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304" w:after="0"/>
                    <w:ind w:left="92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6 </w:t>
                  </w:r>
                </w:p>
              </w:tc>
              <w:tc>
                <w:tcPr>
                  <w:tcW w:type="dxa" w:w="82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1558" w:after="0"/>
                    <w:ind w:left="78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12 </w:t>
                  </w:r>
                </w:p>
              </w:tc>
            </w:tr>
            <w:tr>
              <w:trPr>
                <w:trHeight w:hRule="exact" w:val="140"/>
              </w:trPr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1440"/>
                  <w:gridSpan w:val="4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6" w:after="0"/>
                    <w:ind w:left="0" w:right="764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>7,755</w:t>
                  </w:r>
                </w:p>
              </w:tc>
              <w:tc>
                <w:tcPr>
                  <w:tcW w:type="dxa" w:w="1538"/>
                  <w:gridSpan w:val="7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6" w:after="0"/>
                    <w:ind w:left="0" w:right="94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486 </w:t>
                  </w:r>
                </w:p>
              </w:tc>
              <w:tc>
                <w:tcPr>
                  <w:tcW w:type="dxa" w:w="334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6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305 </w:t>
                  </w:r>
                </w:p>
              </w:tc>
              <w:tc>
                <w:tcPr>
                  <w:tcW w:type="dxa" w:w="25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4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FFFFFF"/>
                      <w:sz w:val="11"/>
                    </w:rPr>
                    <w:t xml:space="preserve">191 </w:t>
                  </w:r>
                </w:p>
              </w:tc>
              <w:tc>
                <w:tcPr>
                  <w:tcW w:type="dxa" w:w="218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6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FFFFFF"/>
                      <w:sz w:val="11"/>
                    </w:rPr>
                    <w:t xml:space="preserve">123 </w:t>
                  </w:r>
                </w:p>
              </w:tc>
              <w:tc>
                <w:tcPr>
                  <w:tcW w:type="dxa" w:w="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54 </w:t>
                  </w:r>
                </w:p>
              </w:tc>
              <w:tc>
                <w:tcPr>
                  <w:tcW w:type="dxa" w:w="1204"/>
                  <w:gridSpan w:val="4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</w:tr>
            <w:tr>
              <w:trPr>
                <w:trHeight w:hRule="exact" w:val="400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4" w:lineRule="exact" w:before="276" w:after="0"/>
                    <w:ind w:left="0" w:right="30" w:firstLine="0"/>
                    <w:jc w:val="right"/>
                  </w:pPr>
                  <w:r>
                    <w:rPr>
                      <w:w w:val="104.4472885131836"/>
                      <w:rFonts w:ascii="CIDFont+F7" w:hAnsi="CIDFont+F7" w:eastAsia="CIDFont+F7"/>
                      <w:b w:val="0"/>
                      <w:i w:val="0"/>
                      <w:color w:val="000000"/>
                      <w:sz w:val="10"/>
                    </w:rPr>
                    <w:t xml:space="preserve"> YTD FY25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1440"/>
                  <w:gridSpan w:val="4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4" w:after="0"/>
                    <w:ind w:left="174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>7,169</w:t>
                  </w:r>
                </w:p>
              </w:tc>
              <w:tc>
                <w:tcPr>
                  <w:tcW w:type="dxa" w:w="1134"/>
                  <w:gridSpan w:val="5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4" w:after="0"/>
                    <w:ind w:left="0" w:right="74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374 </w:t>
                  </w:r>
                </w:p>
              </w:tc>
              <w:tc>
                <w:tcPr>
                  <w:tcW w:type="dxa" w:w="1366"/>
                  <w:gridSpan w:val="8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tabs>
                      <w:tab w:pos="588" w:val="left"/>
                    </w:tabs>
                    <w:autoSpaceDE w:val="0"/>
                    <w:widowControl/>
                    <w:spacing w:line="144" w:lineRule="exact" w:before="150" w:after="0"/>
                    <w:ind w:left="258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118 </w:t>
                  </w:r>
                  <w:r>
                    <w:tab/>
                  </w: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94 </w:t>
                  </w:r>
                </w:p>
                <w:p>
                  <w:pPr>
                    <w:autoSpaceDN w:val="0"/>
                    <w:tabs>
                      <w:tab w:pos="424" w:val="left"/>
                      <w:tab w:pos="738" w:val="left"/>
                    </w:tabs>
                    <w:autoSpaceDE w:val="0"/>
                    <w:widowControl/>
                    <w:spacing w:line="136" w:lineRule="exact" w:before="0" w:after="0"/>
                    <w:ind w:left="74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219 </w:t>
                  </w:r>
                  <w:r>
                    <w:tab/>
                  </w: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FFFFFF"/>
                      <w:sz w:val="11"/>
                    </w:rPr>
                    <w:t xml:space="preserve">162 </w:t>
                  </w:r>
                  <w:r>
                    <w:tab/>
                  </w: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251 </w:t>
                  </w:r>
                </w:p>
              </w:tc>
              <w:tc>
                <w:tcPr>
                  <w:tcW w:type="dxa" w:w="780"/>
                  <w:gridSpan w:val="4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4" w:after="0"/>
                    <w:ind w:left="0" w:right="158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1,658 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</w:tr>
            <w:tr>
              <w:trPr>
                <w:trHeight w:hRule="exact" w:val="304"/>
              </w:trPr>
              <w:tc>
                <w:tcPr>
                  <w:tcW w:type="dxa" w:w="7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4" w:lineRule="exact" w:before="300" w:after="0"/>
                    <w:ind w:left="0" w:right="30" w:firstLine="0"/>
                    <w:jc w:val="right"/>
                  </w:pPr>
                  <w:r>
                    <w:rPr>
                      <w:w w:val="104.4472885131836"/>
                      <w:rFonts w:ascii="CIDFont+F7" w:hAnsi="CIDFont+F7" w:eastAsia="CIDFont+F7"/>
                      <w:b w:val="0"/>
                      <w:i w:val="0"/>
                      <w:color w:val="000000"/>
                      <w:sz w:val="10"/>
                    </w:rPr>
                    <w:t xml:space="preserve"> YTD FY24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1140"/>
                  <w:gridSpan w:val="3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298" w:after="0"/>
                    <w:ind w:left="0" w:right="56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349 </w:t>
                  </w:r>
                </w:p>
              </w:tc>
              <w:tc>
                <w:tcPr>
                  <w:tcW w:type="dxa" w:w="472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170" w:after="0"/>
                    <w:ind w:left="0" w:right="48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136 </w:t>
                  </w:r>
                </w:p>
              </w:tc>
              <w:tc>
                <w:tcPr>
                  <w:tcW w:type="dxa" w:w="214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168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80 </w:t>
                  </w:r>
                </w:p>
              </w:tc>
              <w:tc>
                <w:tcPr>
                  <w:tcW w:type="dxa" w:w="326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296" w:after="0"/>
                    <w:ind w:left="8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350 </w:t>
                  </w:r>
                </w:p>
              </w:tc>
              <w:tc>
                <w:tcPr>
                  <w:tcW w:type="dxa" w:w="1788"/>
                  <w:gridSpan w:val="1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314" w:after="0"/>
                    <w:ind w:left="104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7 </w:t>
                  </w:r>
                </w:p>
              </w:tc>
              <w:tc>
                <w:tcPr>
                  <w:tcW w:type="dxa" w:w="30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586" w:after="0"/>
                    <w:ind w:left="0" w:right="18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77 </w:t>
                  </w:r>
                </w:p>
              </w:tc>
              <w:tc>
                <w:tcPr>
                  <w:tcW w:type="dxa" w:w="48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594" w:after="0"/>
                    <w:ind w:left="26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128 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</w:tr>
            <w:tr>
              <w:trPr>
                <w:trHeight w:hRule="exact" w:val="272"/>
              </w:trPr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903"/>
                  <w:gridSpan w:val="3"/>
                  <w:vMerge/>
                  <w:tcBorders/>
                </w:tcPr>
                <w:p/>
              </w:tc>
              <w:tc>
                <w:tcPr>
                  <w:tcW w:type="dxa" w:w="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144 </w:t>
                  </w:r>
                </w:p>
              </w:tc>
              <w:tc>
                <w:tcPr>
                  <w:tcW w:type="dxa" w:w="386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0" w:after="0"/>
                    <w:ind w:left="44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FFFFFF"/>
                      <w:sz w:val="11"/>
                    </w:rPr>
                    <w:t xml:space="preserve">147 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0"/>
                  <w:gridSpan w:val="10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</w:tr>
            <w:tr>
              <w:trPr>
                <w:trHeight w:hRule="exact" w:val="152"/>
              </w:trPr>
              <w:tc>
                <w:tcPr>
                  <w:tcW w:type="dxa" w:w="7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4" w:lineRule="exact" w:before="138" w:after="0"/>
                    <w:ind w:left="0" w:right="30" w:firstLine="0"/>
                    <w:jc w:val="right"/>
                  </w:pPr>
                  <w:r>
                    <w:rPr>
                      <w:w w:val="104.4472885131836"/>
                      <w:rFonts w:ascii="CIDFont+F7" w:hAnsi="CIDFont+F7" w:eastAsia="CIDFont+F7"/>
                      <w:b w:val="0"/>
                      <w:i w:val="0"/>
                      <w:color w:val="000000"/>
                      <w:sz w:val="10"/>
                    </w:rPr>
                    <w:t xml:space="preserve"> YTD FY23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1440"/>
                  <w:gridSpan w:val="4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4" w:lineRule="exact" w:before="144" w:after="0"/>
                    <w:ind w:left="0" w:right="184" w:firstLine="0"/>
                    <w:jc w:val="right"/>
                  </w:pPr>
                  <w:r>
                    <w:rPr>
                      <w:w w:val="104.4472885131836"/>
                      <w:rFonts w:ascii="CIDFont+F10" w:hAnsi="CIDFont+F10" w:eastAsia="CIDFont+F10"/>
                      <w:b/>
                      <w:i w:val="0"/>
                      <w:color w:val="000000"/>
                      <w:sz w:val="10"/>
                    </w:rPr>
                    <w:t>9,837</w:t>
                  </w:r>
                </w:p>
              </w:tc>
              <w:tc>
                <w:tcPr>
                  <w:tcW w:type="dxa" w:w="2500"/>
                  <w:gridSpan w:val="13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142" w:after="0"/>
                    <w:ind w:left="0" w:right="84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333 </w:t>
                  </w:r>
                </w:p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</w:tr>
            <w:tr>
              <w:trPr>
                <w:trHeight w:hRule="exact" w:val="392"/>
              </w:trPr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1204"/>
                  <w:gridSpan w:val="4"/>
                  <w:vMerge/>
                  <w:tcBorders/>
                </w:tcPr>
                <w:p/>
              </w:tc>
              <w:tc>
                <w:tcPr>
                  <w:tcW w:type="dxa" w:w="3913"/>
                  <w:gridSpan w:val="13"/>
                  <w:vMerge/>
                  <w:tcBorders/>
                </w:tcPr>
                <w:p/>
              </w:tc>
              <w:tc>
                <w:tcPr>
                  <w:tcW w:type="dxa" w:w="18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94 </w:t>
                  </w:r>
                </w:p>
              </w:tc>
              <w:tc>
                <w:tcPr>
                  <w:tcW w:type="dxa" w:w="260"/>
                  <w:gridSpan w:val="2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2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FFFFFF"/>
                      <w:sz w:val="11"/>
                    </w:rPr>
                    <w:t xml:space="preserve">106 </w:t>
                  </w:r>
                </w:p>
              </w:tc>
              <w:tc>
                <w:tcPr>
                  <w:tcW w:type="dxa" w:w="340"/>
                  <w:vMerge w:val="restart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197 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</w:tr>
            <w:tr>
              <w:trPr>
                <w:trHeight w:hRule="exact" w:val="456"/>
              </w:trPr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24" w:lineRule="exact" w:before="10" w:after="0"/>
                    <w:ind w:left="0" w:right="30" w:firstLine="0"/>
                    <w:jc w:val="right"/>
                  </w:pPr>
                  <w:r>
                    <w:rPr>
                      <w:w w:val="104.4472885131836"/>
                      <w:rFonts w:ascii="CIDFont+F7" w:hAnsi="CIDFont+F7" w:eastAsia="CIDFont+F7"/>
                      <w:b w:val="0"/>
                      <w:i w:val="0"/>
                      <w:color w:val="000000"/>
                      <w:sz w:val="10"/>
                    </w:rPr>
                    <w:t xml:space="preserve"> YTD FY22</w:t>
                  </w:r>
                </w:p>
              </w:tc>
              <w:tc>
                <w:tcPr>
                  <w:tcW w:type="dxa" w:w="3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10" w:after="0"/>
                    <w:ind w:left="0" w:right="0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214 </w:t>
                  </w:r>
                </w:p>
              </w:tc>
              <w:tc>
                <w:tcPr>
                  <w:tcW w:type="dxa" w:w="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42" w:lineRule="exact" w:before="4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 </w:t>
                  </w: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90 </w:t>
                  </w:r>
                </w:p>
              </w:tc>
              <w:tc>
                <w:tcPr>
                  <w:tcW w:type="dxa" w:w="34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12" w:after="0"/>
                    <w:ind w:left="14" w:right="0" w:firstLine="0"/>
                    <w:jc w:val="lef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FFFFFF"/>
                      <w:sz w:val="11"/>
                    </w:rPr>
                    <w:t xml:space="preserve">95 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4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4" w:lineRule="exact" w:before="16" w:after="0"/>
                    <w:ind w:left="0" w:right="42" w:firstLine="0"/>
                    <w:jc w:val="right"/>
                  </w:pPr>
                  <w:r>
                    <w:rPr>
                      <w:w w:val="103.99593873457475"/>
                      <w:rFonts w:ascii="CIDFont+F10" w:hAnsi="CIDFont+F10" w:eastAsia="CIDFont+F10"/>
                      <w:b/>
                      <w:i w:val="0"/>
                      <w:color w:val="000000"/>
                      <w:sz w:val="11"/>
                    </w:rPr>
                    <w:t xml:space="preserve">16 </w:t>
                  </w:r>
                </w:p>
              </w:tc>
              <w:tc>
                <w:tcPr>
                  <w:tcW w:type="dxa" w:w="3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ECA</w:t>
                  </w:r>
                </w:p>
              </w:tc>
              <w:tc>
                <w:tcPr>
                  <w:tcW w:type="dxa" w:w="5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AFE</w:t>
                  </w:r>
                </w:p>
              </w:tc>
              <w:tc>
                <w:tcPr>
                  <w:tcW w:type="dxa" w:w="5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MNA</w:t>
                  </w:r>
                </w:p>
              </w:tc>
              <w:tc>
                <w:tcPr>
                  <w:tcW w:type="dxa" w:w="386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EAP</w:t>
                  </w:r>
                </w:p>
              </w:tc>
              <w:tc>
                <w:tcPr>
                  <w:tcW w:type="dxa" w:w="484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AFW</w:t>
                  </w:r>
                </w:p>
              </w:tc>
              <w:tc>
                <w:tcPr>
                  <w:tcW w:type="dxa" w:w="460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LCR</w:t>
                  </w:r>
                </w:p>
              </w:tc>
              <w:tc>
                <w:tcPr>
                  <w:tcW w:type="dxa" w:w="468"/>
                  <w:gridSpan w:val="2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0" w:right="0" w:firstLine="0"/>
                    <w:jc w:val="center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SAR</w:t>
                  </w:r>
                </w:p>
              </w:tc>
              <w:tc>
                <w:tcPr>
                  <w:tcW w:type="dxa" w:w="702"/>
                  <w:gridSpan w:val="5"/>
                  <w:tcBorders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6" w:lineRule="exact" w:before="260" w:after="0"/>
                    <w:ind w:left="106" w:right="0" w:firstLine="0"/>
                    <w:jc w:val="left"/>
                  </w:pPr>
                  <w:r>
                    <w:rPr>
                      <w:w w:val="103.99593873457475"/>
                      <w:rFonts w:ascii="CIDFont+F7" w:hAnsi="CIDFont+F7" w:eastAsia="CIDFont+F7"/>
                      <w:b w:val="0"/>
                      <w:i w:val="0"/>
                      <w:color w:val="000000"/>
                      <w:sz w:val="11"/>
                    </w:rPr>
                    <w:t xml:space="preserve"> OTH</w:t>
                  </w:r>
                </w:p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602"/>
                  <w:gridSpan w:val="2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  <w:tc>
                <w:tcPr>
                  <w:tcW w:type="dxa" w:w="301"/>
                  <w:vMerge/>
                  <w:tcBorders/>
                </w:tcPr>
                <w:p/>
              </w:tc>
            </w:tr>
          </w:tbl>
          <w:p>
            <w:pPr>
              <w:autoSpaceDN w:val="0"/>
              <w:tabs>
                <w:tab w:pos="468" w:val="left"/>
              </w:tabs>
              <w:autoSpaceDE w:val="0"/>
              <w:widowControl/>
              <w:spacing w:line="230" w:lineRule="exact" w:before="408" w:after="0"/>
              <w:ind w:left="244" w:right="144" w:firstLine="0"/>
              <w:jc w:val="left"/>
            </w:pPr>
            <w:r>
              <w:rPr>
                <w:w w:val="97.75360508968956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</w:t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Disbursements from ECA region increased in YTD FY26 (↑$586m) primarily due to higher disbursements </w:t>
            </w:r>
            <w:r>
              <w:tab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for TFs supporting Ukraine under FORTIE and URTF. </w:t>
            </w:r>
          </w:p>
          <w:p>
            <w:pPr>
              <w:autoSpaceDN w:val="0"/>
              <w:tabs>
                <w:tab w:pos="468" w:val="left"/>
              </w:tabs>
              <w:autoSpaceDE w:val="0"/>
              <w:widowControl/>
              <w:spacing w:line="228" w:lineRule="exact" w:before="14" w:after="0"/>
              <w:ind w:left="244" w:right="144" w:firstLine="0"/>
              <w:jc w:val="left"/>
            </w:pPr>
            <w:r>
              <w:rPr>
                <w:w w:val="97.75360508968956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</w:t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In disbursements for RE activities, ECA and AFE regions accounts for 92% of disbursements in YTD FY26, </w:t>
            </w:r>
            <w:r>
              <w:tab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and on an average of 85% in the last 5 years. </w:t>
            </w:r>
          </w:p>
          <w:p>
            <w:pPr>
              <w:autoSpaceDN w:val="0"/>
              <w:tabs>
                <w:tab w:pos="468" w:val="left"/>
              </w:tabs>
              <w:autoSpaceDE w:val="0"/>
              <w:widowControl/>
              <w:spacing w:line="232" w:lineRule="exact" w:before="8" w:after="0"/>
              <w:ind w:left="244" w:right="144" w:firstLine="0"/>
              <w:jc w:val="left"/>
            </w:pPr>
            <w:r>
              <w:rPr>
                <w:w w:val="97.75360508968956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</w:t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In YTD FY26, disbursements significantly decreased in OTH regions due to $1,600m transferred to IDA </w:t>
            </w:r>
            <w:r>
              <w:tab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through IDASTF in FY25. </w:t>
            </w:r>
          </w:p>
          <w:p>
            <w:pPr>
              <w:autoSpaceDN w:val="0"/>
              <w:autoSpaceDE w:val="0"/>
              <w:widowControl/>
              <w:spacing w:line="240" w:lineRule="auto" w:before="228" w:after="0"/>
              <w:ind w:left="872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4546600" cy="23545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46600" cy="2354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autoSpaceDN w:val="0"/>
              <w:tabs>
                <w:tab w:pos="468" w:val="left"/>
              </w:tabs>
              <w:autoSpaceDE w:val="0"/>
              <w:widowControl/>
              <w:spacing w:line="232" w:lineRule="exact" w:before="6" w:after="0"/>
              <w:ind w:left="214" w:right="144" w:firstLine="0"/>
              <w:jc w:val="left"/>
            </w:pPr>
            <w:r>
              <w:rPr>
                <w:w w:val="97.75360508968956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</w:t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 Staff costs continued to be the largest expense category over the past 5 periods with the CAGR of 8%. </w:t>
            </w:r>
            <w:r>
              <w:tab/>
            </w: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CAGR of consultant fee category is at 5%. </w:t>
            </w:r>
            <w:r>
              <w:rPr>
                <w:w w:val="98.37079299123663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</w:t>
            </w:r>
          </w:p>
        </w:tc>
      </w:tr>
    </w:tbl>
    <w:p>
      <w:pPr>
        <w:autoSpaceDN w:val="0"/>
        <w:autoSpaceDE w:val="0"/>
        <w:widowControl/>
        <w:spacing w:line="228" w:lineRule="exact" w:before="1350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6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2387600</wp:posOffset>
            </wp:positionH>
            <wp:positionV relativeFrom="page">
              <wp:posOffset>1955800</wp:posOffset>
            </wp:positionV>
            <wp:extent cx="850900" cy="457200"/>
            <wp:wrapNone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509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4635500</wp:posOffset>
            </wp:positionH>
            <wp:positionV relativeFrom="page">
              <wp:posOffset>1955800</wp:posOffset>
            </wp:positionV>
            <wp:extent cx="863600" cy="457200"/>
            <wp:wrapNone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4572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3492500</wp:posOffset>
            </wp:positionH>
            <wp:positionV relativeFrom="page">
              <wp:posOffset>1968500</wp:posOffset>
            </wp:positionV>
            <wp:extent cx="863600" cy="444500"/>
            <wp:wrapNone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444500"/>
                    </a:xfrm>
                    <a:prstGeom prst="rect"/>
                  </pic:spPr>
                </pic:pic>
              </a:graphicData>
            </a:graphic>
          </wp:anchor>
        </w:drawing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5803900</wp:posOffset>
            </wp:positionH>
            <wp:positionV relativeFrom="page">
              <wp:posOffset>1955800</wp:posOffset>
            </wp:positionV>
            <wp:extent cx="863600" cy="457200"/>
            <wp:wrapNone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4572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tabs>
          <w:tab w:pos="5974" w:val="left"/>
        </w:tabs>
        <w:autoSpaceDE w:val="0"/>
        <w:widowControl/>
        <w:spacing w:line="174" w:lineRule="exact" w:before="0" w:after="0"/>
        <w:ind w:left="3500" w:right="576" w:firstLine="0"/>
        <w:jc w:val="lef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98" w:lineRule="exact" w:before="298" w:after="0"/>
        <w:ind w:left="348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 xml:space="preserve">Portfolio at a Glance - FIFs </w:t>
      </w:r>
    </w:p>
    <w:p>
      <w:pPr>
        <w:autoSpaceDN w:val="0"/>
        <w:autoSpaceDE w:val="0"/>
        <w:widowControl/>
        <w:spacing w:line="240" w:lineRule="auto" w:before="0" w:after="0"/>
        <w:ind w:left="34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537200" cy="254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372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8" w:lineRule="exact" w:before="244" w:after="198"/>
        <w:ind w:left="0" w:right="2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1F497D"/>
          <w:sz w:val="19"/>
        </w:rPr>
        <w:t xml:space="preserve"> Contributions          Investment Income          Disbursements               Fund Balance                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60.0" w:type="dxa"/>
      </w:tblPr>
      <w:tblGrid>
        <w:gridCol w:w="1911"/>
        <w:gridCol w:w="1911"/>
        <w:gridCol w:w="1911"/>
        <w:gridCol w:w="1911"/>
        <w:gridCol w:w="1911"/>
      </w:tblGrid>
      <w:tr>
        <w:trPr>
          <w:trHeight w:hRule="exact" w:val="468"/>
        </w:trPr>
        <w:tc>
          <w:tcPr>
            <w:tcW w:type="dxa" w:w="2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00" w:after="0"/>
              <w:ind w:left="188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1F497D"/>
                <w:sz w:val="21"/>
              </w:rPr>
              <w:t xml:space="preserve">YTD FY26 </w:t>
            </w:r>
          </w:p>
        </w:tc>
        <w:tc>
          <w:tcPr>
            <w:tcW w:type="dxa" w:w="6724"/>
            <w:gridSpan w:val="4"/>
            <w:tcBorders/>
            <w:shd w:fill="d8e2f2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104" w:after="0"/>
              <w:ind w:left="0" w:right="0" w:firstLine="0"/>
              <w:jc w:val="center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001F60"/>
                <w:sz w:val="21"/>
              </w:rPr>
              <w:t xml:space="preserve"> $5,804                        $1,208                          $4,715                       $45,640</w:t>
            </w:r>
          </w:p>
        </w:tc>
      </w:tr>
      <w:tr>
        <w:trPr>
          <w:trHeight w:hRule="exact" w:val="828"/>
        </w:trPr>
        <w:tc>
          <w:tcPr>
            <w:tcW w:type="dxa" w:w="216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88" w:after="0"/>
              <w:ind w:left="188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1F497D"/>
                <w:sz w:val="21"/>
              </w:rPr>
              <w:t xml:space="preserve">YoY change % </w:t>
            </w:r>
          </w:p>
        </w:tc>
        <w:tc>
          <w:tcPr>
            <w:tcW w:type="dxa" w:w="155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532" w:after="0"/>
              <w:ind w:left="0" w:right="704" w:firstLine="0"/>
              <w:jc w:val="right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001F60"/>
                <w:sz w:val="19"/>
              </w:rPr>
              <w:t xml:space="preserve"> 79%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540" w:after="0"/>
              <w:ind w:left="0" w:right="0" w:firstLine="0"/>
              <w:jc w:val="center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001F60"/>
                <w:sz w:val="19"/>
              </w:rPr>
              <w:t xml:space="preserve"> 37% </w:t>
            </w:r>
          </w:p>
        </w:tc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534" w:after="0"/>
              <w:ind w:left="0" w:right="0" w:firstLine="0"/>
              <w:jc w:val="center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001F60"/>
                <w:sz w:val="19"/>
              </w:rPr>
              <w:t xml:space="preserve">3% </w:t>
            </w:r>
          </w:p>
        </w:tc>
        <w:tc>
          <w:tcPr>
            <w:tcW w:type="dxa" w:w="15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534" w:after="0"/>
              <w:ind w:left="0" w:right="512" w:firstLine="0"/>
              <w:jc w:val="right"/>
            </w:pPr>
            <w:r>
              <w:rPr>
                <w:w w:val="98.37079299123663"/>
                <w:rFonts w:ascii="CIDFont+F1" w:hAnsi="CIDFont+F1" w:eastAsia="CIDFont+F1"/>
                <w:b/>
                <w:i w:val="0"/>
                <w:color w:val="001F60"/>
                <w:sz w:val="19"/>
              </w:rPr>
              <w:t xml:space="preserve">1% </w:t>
            </w:r>
          </w:p>
        </w:tc>
      </w:tr>
    </w:tbl>
    <w:p>
      <w:pPr>
        <w:autoSpaceDN w:val="0"/>
        <w:autoSpaceDE w:val="0"/>
        <w:widowControl/>
        <w:spacing w:line="74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4.00000000000006" w:type="dxa"/>
      </w:tblPr>
      <w:tblGrid>
        <w:gridCol w:w="4777"/>
        <w:gridCol w:w="4777"/>
      </w:tblGrid>
      <w:tr>
        <w:trPr>
          <w:trHeight w:hRule="exact" w:val="262"/>
        </w:trPr>
        <w:tc>
          <w:tcPr>
            <w:tcW w:type="dxa" w:w="8880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6e9e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0" w:after="0"/>
              <w:ind w:left="96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FFFFFF"/>
                <w:sz w:val="21"/>
              </w:rPr>
              <w:t>Key Metrices</w:t>
            </w:r>
          </w:p>
        </w:tc>
      </w:tr>
      <w:tr>
        <w:trPr>
          <w:trHeight w:hRule="exact" w:val="3814"/>
        </w:trPr>
        <w:tc>
          <w:tcPr>
            <w:tcW w:type="dxa" w:w="439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0" w:after="0"/>
              <w:ind w:left="0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001F60"/>
                <w:sz w:val="21"/>
              </w:rPr>
              <w:t xml:space="preserve">Contribution and Disbursements </w:t>
            </w:r>
          </w:p>
          <w:p>
            <w:pPr>
              <w:autoSpaceDN w:val="0"/>
              <w:autoSpaceDE w:val="0"/>
              <w:widowControl/>
              <w:spacing w:line="240" w:lineRule="auto" w:before="24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3840" cy="207645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3840" cy="2076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490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4" w:lineRule="exact" w:before="0" w:after="0"/>
              <w:ind w:left="2" w:right="0" w:firstLine="0"/>
              <w:jc w:val="left"/>
            </w:pPr>
            <w:r>
              <w:rPr>
                <w:w w:val="98.65285782586962"/>
                <w:rFonts w:ascii="CIDFont+F1" w:hAnsi="CIDFont+F1" w:eastAsia="CIDFont+F1"/>
                <w:b/>
                <w:i w:val="0"/>
                <w:color w:val="001F60"/>
                <w:sz w:val="21"/>
              </w:rPr>
              <w:t>Cash contributions</w:t>
            </w:r>
          </w:p>
          <w:p>
            <w:pPr>
              <w:autoSpaceDN w:val="0"/>
              <w:autoSpaceDE w:val="0"/>
              <w:widowControl/>
              <w:spacing w:line="240" w:lineRule="auto" w:before="246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01620" cy="207263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1620" cy="20726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hRule="exact" w:val="2872"/>
        </w:trPr>
        <w:tc>
          <w:tcPr>
            <w:tcW w:type="dxa" w:w="8880"/>
            <w:gridSpan w:val="2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4440"/>
              <w:gridCol w:w="4440"/>
            </w:tblGrid>
            <w:tr>
              <w:trPr>
                <w:trHeight w:hRule="exact" w:val="2500"/>
              </w:trPr>
              <w:tc>
                <w:tcPr>
                  <w:tcW w:type="dxa" w:w="3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442" w:lineRule="exact" w:before="0" w:after="0"/>
                    <w:ind w:left="96" w:right="120" w:firstLine="0"/>
                    <w:jc w:val="both"/>
                  </w:pPr>
                  <w:r>
                    <w:rPr>
                      <w:w w:val="97.75360508968956"/>
                      <w:rFonts w:ascii="CIDFont+F9" w:hAnsi="CIDFont+F9" w:eastAsia="CIDFont+F9"/>
                      <w:b w:val="0"/>
                      <w:i w:val="0"/>
                      <w:color w:val="000000"/>
                      <w:sz w:val="19"/>
                    </w:rPr>
                    <w:t></w:t>
                  </w:r>
                  <w:r>
                    <w:br/>
                  </w:r>
                  <w:r>
                    <w:rPr>
                      <w:w w:val="97.75360508968956"/>
                      <w:rFonts w:ascii="CIDFont+F9" w:hAnsi="CIDFont+F9" w:eastAsia="CIDFont+F9"/>
                      <w:b w:val="0"/>
                      <w:i w:val="0"/>
                      <w:color w:val="000000"/>
                      <w:sz w:val="19"/>
                    </w:rPr>
                    <w:t></w:t>
                  </w:r>
                  <w:r>
                    <w:br/>
                  </w:r>
                  <w:r>
                    <w:rPr>
                      <w:w w:val="97.75360508968956"/>
                      <w:rFonts w:ascii="CIDFont+F9" w:hAnsi="CIDFont+F9" w:eastAsia="CIDFont+F9"/>
                      <w:b w:val="0"/>
                      <w:i w:val="0"/>
                      <w:color w:val="000000"/>
                      <w:sz w:val="19"/>
                    </w:rPr>
                    <w:t></w:t>
                  </w:r>
                  <w:r>
                    <w:br/>
                  </w:r>
                  <w:r>
                    <w:rPr>
                      <w:w w:val="97.75360508968956"/>
                      <w:rFonts w:ascii="CIDFont+F9" w:hAnsi="CIDFont+F9" w:eastAsia="CIDFont+F9"/>
                      <w:b w:val="0"/>
                      <w:i w:val="0"/>
                      <w:color w:val="000000"/>
                      <w:sz w:val="19"/>
                    </w:rPr>
                    <w:t></w:t>
                  </w:r>
                  <w:r>
                    <w:br/>
                  </w:r>
                  <w:r>
                    <w:rPr>
                      <w:w w:val="97.75360508968956"/>
                      <w:rFonts w:ascii="CIDFont+F9" w:hAnsi="CIDFont+F9" w:eastAsia="CIDFont+F9"/>
                      <w:b w:val="0"/>
                      <w:i w:val="0"/>
                      <w:color w:val="000000"/>
                      <w:sz w:val="19"/>
                    </w:rPr>
                    <w:t></w:t>
                  </w:r>
                </w:p>
              </w:tc>
              <w:tc>
                <w:tcPr>
                  <w:tcW w:type="dxa" w:w="83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8" w:lineRule="exact" w:before="74" w:after="0"/>
                    <w:ind w:left="134" w:right="144" w:firstLine="0"/>
                    <w:jc w:val="left"/>
                  </w:pP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In YTD 26, United Kingdom and GFATM Secretariat has been the top donor constituting 49% of </w:t>
                  </w: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the total contributions received. </w:t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exact" w:before="14" w:after="0"/>
                    <w:ind w:left="134" w:right="144" w:firstLine="0"/>
                    <w:jc w:val="left"/>
                  </w:pP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Significant decline in contribution in YTD 26 compared to YTD 25, due to funding of $20,000m </w:t>
                  </w: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received towards the FORTIS in YTD 25. </w:t>
                  </w:r>
                </w:p>
                <w:p>
                  <w:pPr>
                    <w:autoSpaceDN w:val="0"/>
                    <w:autoSpaceDE w:val="0"/>
                    <w:widowControl/>
                    <w:spacing w:line="236" w:lineRule="exact" w:before="18" w:after="0"/>
                    <w:ind w:left="134" w:right="144" w:firstLine="0"/>
                    <w:jc w:val="left"/>
                  </w:pP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In YTD 26, United Kingdom have increased their contributions towards CIF and GCF, Japan </w:t>
                  </w: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towards FORTIS and EU towards GPEF and PPPR. </w:t>
                  </w:r>
                </w:p>
                <w:p>
                  <w:pPr>
                    <w:autoSpaceDN w:val="0"/>
                    <w:autoSpaceDE w:val="0"/>
                    <w:widowControl/>
                    <w:spacing w:line="238" w:lineRule="exact" w:before="14" w:after="0"/>
                    <w:ind w:left="134" w:right="144" w:firstLine="0"/>
                    <w:jc w:val="left"/>
                  </w:pP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Top 3 donors United Kingdom, GFATM Secretariat and Japan accounted for 63% of the total </w:t>
                  </w: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contributions in YTD 26 and an average of 51% from YTD 22 to YTD 26. </w:t>
                  </w:r>
                </w:p>
                <w:p>
                  <w:pPr>
                    <w:autoSpaceDN w:val="0"/>
                    <w:autoSpaceDE w:val="0"/>
                    <w:widowControl/>
                    <w:spacing w:line="240" w:lineRule="exact" w:before="12" w:after="0"/>
                    <w:ind w:left="134" w:right="144" w:firstLine="0"/>
                    <w:jc w:val="left"/>
                  </w:pP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Disbursements from GFATM, GCF and IFFIM programs accounted for 64% of total disbursement </w:t>
                  </w:r>
                  <w:r>
                    <w:rPr>
                      <w:w w:val="98.65285782586962"/>
                      <w:rFonts w:ascii="CIDFont+F2" w:hAnsi="CIDFont+F2" w:eastAsia="CIDFont+F2"/>
                      <w:b w:val="0"/>
                      <w:i w:val="0"/>
                      <w:color w:val="000000"/>
                      <w:sz w:val="21"/>
                    </w:rPr>
                    <w:t xml:space="preserve">during YTD 26 and on an average 68% from YTD 22 to YTD 26. 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28" w:lineRule="exact" w:before="3700" w:after="0"/>
        <w:ind w:left="0" w:right="594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7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246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288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98" w:lineRule="exact" w:before="300" w:after="0"/>
        <w:ind w:left="532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Trust Fund YTD FY26 Key Highlights </w:t>
      </w:r>
    </w:p>
    <w:p>
      <w:pPr>
        <w:autoSpaceDN w:val="0"/>
        <w:autoSpaceDE w:val="0"/>
        <w:widowControl/>
        <w:spacing w:line="240" w:lineRule="auto" w:before="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95900" cy="381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3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856" w:val="left"/>
        </w:tabs>
        <w:autoSpaceDE w:val="0"/>
        <w:widowControl/>
        <w:spacing w:line="232" w:lineRule="exact" w:before="324" w:after="0"/>
        <w:ind w:left="518" w:right="288" w:firstLine="0"/>
        <w:jc w:val="left"/>
      </w:pPr>
      <w:r>
        <w:rPr>
          <w:w w:val="98.36526168020147"/>
          <w:rFonts w:ascii="CIDFont+F9" w:hAnsi="CIDFont+F9" w:eastAsia="CIDFont+F9"/>
          <w:b w:val="0"/>
          <w:i w:val="0"/>
          <w:color w:val="000000"/>
          <w:sz w:val="19"/>
        </w:rPr>
        <w:t>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Ukraine continues to receive support from the international community. In YTD FY26, contribution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receivables from Japan, through the Japan International Cooperation Agency (JICA), have reached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$2,470m. This contribution is being provided in installments over several years. Further, Ukraine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disbursements with IBRD as Implementing Entity reached $7,372m ($1,000m in YTD FY25), equivalent to a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637% increase compared to the previous year. Disbursement amounts vary depending on the timing and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verification of eligible expenditures submitted by the Ukrainian government. </w:t>
      </w:r>
    </w:p>
    <w:p>
      <w:pPr>
        <w:autoSpaceDN w:val="0"/>
        <w:tabs>
          <w:tab w:pos="856" w:val="left"/>
        </w:tabs>
        <w:autoSpaceDE w:val="0"/>
        <w:widowControl/>
        <w:spacing w:line="232" w:lineRule="exact" w:before="0" w:after="0"/>
        <w:ind w:left="518" w:right="288" w:firstLine="0"/>
        <w:jc w:val="left"/>
      </w:pPr>
      <w:r>
        <w:rPr>
          <w:w w:val="98.36526168020147"/>
          <w:rFonts w:ascii="CIDFont+F9" w:hAnsi="CIDFont+F9" w:eastAsia="CIDFont+F9"/>
          <w:b w:val="0"/>
          <w:i w:val="0"/>
          <w:color w:val="000000"/>
          <w:sz w:val="19"/>
        </w:rPr>
        <w:t>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The Bank will serve as the Trustee for the Tropical Forest Forever Facility (TFFF) FIF that is designed to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become the largest-ever global forest fund, aims to ensure continuous and performance-based financing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to countries and communities that successfully conserve tropical forests, recognizing their essential role in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regulating the climate, preserving biodiversity, and supporting sustainable development. </w:t>
      </w:r>
    </w:p>
    <w:p>
      <w:pPr>
        <w:autoSpaceDN w:val="0"/>
        <w:tabs>
          <w:tab w:pos="856" w:val="left"/>
        </w:tabs>
        <w:autoSpaceDE w:val="0"/>
        <w:widowControl/>
        <w:spacing w:line="234" w:lineRule="exact" w:before="0" w:after="2"/>
        <w:ind w:left="518" w:right="288" w:firstLine="0"/>
        <w:jc w:val="left"/>
      </w:pPr>
      <w:r>
        <w:rPr>
          <w:w w:val="98.36526168020147"/>
          <w:rFonts w:ascii="CIDFont+F9" w:hAnsi="CIDFont+F9" w:eastAsia="CIDFont+F9"/>
          <w:b w:val="0"/>
          <w:i w:val="0"/>
          <w:color w:val="000000"/>
          <w:sz w:val="19"/>
        </w:rPr>
        <w:t>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Following the adoption of the UN Security Council resolution, Gaza Reconstruction and Development Fund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(GRAD) has been established as a FIF, with the World Bank serving as limited trustee. The GRAD Fund will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receive donor contributions to fund recovery, reconstruction, and development activities in Gaza. The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680"/>
        <w:gridCol w:w="4680"/>
      </w:tblGrid>
      <w:tr>
        <w:trPr>
          <w:trHeight w:hRule="exact" w:val="696"/>
        </w:trPr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exact" w:before="456" w:after="0"/>
              <w:ind w:left="0" w:right="116" w:firstLine="0"/>
              <w:jc w:val="right"/>
            </w:pPr>
            <w:r>
              <w:rPr>
                <w:w w:val="98.36526168020147"/>
                <w:rFonts w:ascii="CIDFont+F9" w:hAnsi="CIDFont+F9" w:eastAsia="CIDFont+F9"/>
                <w:b w:val="0"/>
                <w:i w:val="0"/>
                <w:color w:val="000000"/>
                <w:sz w:val="19"/>
              </w:rPr>
              <w:t></w:t>
            </w:r>
          </w:p>
        </w:tc>
        <w:tc>
          <w:tcPr>
            <w:tcW w:type="dxa" w:w="8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2" w:lineRule="exact" w:before="0" w:after="0"/>
              <w:ind w:left="136" w:right="144" w:firstLine="0"/>
              <w:jc w:val="left"/>
            </w:pPr>
            <w:r>
              <w:rPr>
                <w:w w:val="98.36526168020147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Bank, as limited Trustee, will transfer the Fund's resources to the Board of Peace which has been </w:t>
            </w:r>
            <w:r>
              <w:rPr>
                <w:w w:val="98.36526168020147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authorized by United Nations Security Council to undertake the activities </w:t>
            </w:r>
            <w:r>
              <w:br/>
            </w:r>
            <w:r>
              <w:rPr>
                <w:w w:val="98.36526168020147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In September 2025, IBRD authorized an immediate transfer of $300 million from IBRD’s surplus, by way of </w:t>
            </w:r>
          </w:p>
        </w:tc>
      </w:tr>
    </w:tbl>
    <w:p>
      <w:pPr>
        <w:autoSpaceDN w:val="0"/>
        <w:autoSpaceDE w:val="0"/>
        <w:widowControl/>
        <w:spacing w:line="230" w:lineRule="exact" w:before="0" w:after="0"/>
        <w:ind w:left="856" w:right="288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grant, to replenish the Trust Fund for Gaza and the West Bank (WBGBK). This transfer is to be drawn down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by IDA. </w:t>
      </w:r>
    </w:p>
    <w:p>
      <w:pPr>
        <w:autoSpaceDN w:val="0"/>
        <w:tabs>
          <w:tab w:pos="856" w:val="left"/>
        </w:tabs>
        <w:autoSpaceDE w:val="0"/>
        <w:widowControl/>
        <w:spacing w:line="232" w:lineRule="exact" w:before="0" w:after="0"/>
        <w:ind w:left="518" w:right="288" w:firstLine="0"/>
        <w:jc w:val="left"/>
      </w:pPr>
      <w:r>
        <w:rPr>
          <w:w w:val="98.36526168020147"/>
          <w:rFonts w:ascii="CIDFont+F9" w:hAnsi="CIDFont+F9" w:eastAsia="CIDFont+F9"/>
          <w:b w:val="0"/>
          <w:i w:val="0"/>
          <w:color w:val="000000"/>
          <w:sz w:val="19"/>
        </w:rPr>
        <w:t>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TF reforms continued in YTD FY26 with an aim to reduce fragmentation, increase strategic alignment and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improve efficiencies of the trust fund portfolio by using fewer and larger Umbrella 2.0 Programs. As of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December 31, 2025, 75 Umbrella programs (146 active trust funds) have been established.  CWA and DPI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TF are new programs established in YTD FY26. CWA will support African countries in promoting regulatory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reforms and is an increasingly urgent priority given the scale of the jobs challenge across the continent. </w:t>
      </w:r>
    </w:p>
    <w:p>
      <w:pPr>
        <w:autoSpaceDN w:val="0"/>
        <w:autoSpaceDE w:val="0"/>
        <w:widowControl/>
        <w:spacing w:line="228" w:lineRule="exact" w:before="2" w:after="0"/>
        <w:ind w:left="856" w:right="288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DPI-TF aims to increase the adoption and productive use of safe and inclusive Digital Public Infrastructure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(DPI) and digitally enabled services by individuals, businesses, and governments. </w:t>
      </w:r>
    </w:p>
    <w:p>
      <w:pPr>
        <w:autoSpaceDN w:val="0"/>
        <w:autoSpaceDE w:val="0"/>
        <w:widowControl/>
        <w:spacing w:line="288" w:lineRule="exact" w:before="460" w:after="0"/>
        <w:ind w:left="348" w:right="144" w:firstLine="0"/>
        <w:jc w:val="left"/>
      </w:pPr>
      <w:r>
        <w:rPr>
          <w:w w:val="101.77799987792969"/>
          <w:rFonts w:ascii="CIDFont+F4" w:hAnsi="CIDFont+F4" w:eastAsia="CIDFont+F4"/>
          <w:b/>
          <w:i w:val="0"/>
          <w:color w:val="00497B"/>
          <w:sz w:val="25"/>
        </w:rPr>
        <w:t xml:space="preserve">Top 3 trust funds activated during the fiscal year ended December </w:t>
      </w:r>
      <w:r>
        <w:rPr>
          <w:w w:val="101.77799987792969"/>
          <w:rFonts w:ascii="CIDFont+F4" w:hAnsi="CIDFont+F4" w:eastAsia="CIDFont+F4"/>
          <w:b/>
          <w:i w:val="0"/>
          <w:color w:val="00497B"/>
          <w:sz w:val="25"/>
        </w:rPr>
        <w:t xml:space="preserve">31, 2025, on the basis of Expected Funding </w:t>
      </w:r>
    </w:p>
    <w:p>
      <w:pPr>
        <w:autoSpaceDN w:val="0"/>
        <w:autoSpaceDE w:val="0"/>
        <w:widowControl/>
        <w:spacing w:line="240" w:lineRule="auto" w:before="1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73700" cy="254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25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38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41290" cy="249809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41290" cy="24980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0" w:lineRule="exact" w:before="196" w:after="0"/>
        <w:ind w:left="348" w:right="0" w:firstLine="0"/>
        <w:jc w:val="left"/>
      </w:pPr>
      <w:r>
        <w:rPr>
          <w:w w:val="101.3277530670166"/>
          <w:rFonts w:ascii="CIDFont+F6" w:hAnsi="CIDFont+F6" w:eastAsia="CIDFont+F6"/>
          <w:b w:val="0"/>
          <w:i/>
          <w:color w:val="000000"/>
          <w:sz w:val="12"/>
        </w:rPr>
        <w:t>2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DP’s contributions to the trust funds are based on installment schedules agreed per administration agreements. Hence, the total funding </w:t>
      </w:r>
    </w:p>
    <w:p>
      <w:pPr>
        <w:autoSpaceDN w:val="0"/>
        <w:autoSpaceDE w:val="0"/>
        <w:widowControl/>
        <w:spacing w:line="160" w:lineRule="exact" w:before="24" w:after="0"/>
        <w:ind w:left="348" w:right="0" w:firstLine="0"/>
        <w:jc w:val="left"/>
      </w:pP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 for the trust funds is not expected to be fully received as of December 31,2025. </w:t>
      </w:r>
    </w:p>
    <w:p>
      <w:pPr>
        <w:autoSpaceDN w:val="0"/>
        <w:autoSpaceDE w:val="0"/>
        <w:widowControl/>
        <w:spacing w:line="228" w:lineRule="exact" w:before="1366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8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288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54" w:lineRule="exact" w:before="268" w:after="0"/>
        <w:ind w:left="364" w:right="0" w:firstLine="0"/>
        <w:jc w:val="left"/>
      </w:pPr>
      <w:r>
        <w:rPr>
          <w:w w:val="98.6471448625837"/>
          <w:rFonts w:ascii="CIDFont+F2" w:hAnsi="CIDFont+F2" w:eastAsia="CIDFont+F2"/>
          <w:b w:val="0"/>
          <w:i w:val="0"/>
          <w:color w:val="00497B"/>
          <w:sz w:val="21"/>
        </w:rPr>
        <w:t xml:space="preserve">Key Trust Fund Activity </w:t>
      </w:r>
    </w:p>
    <w:p>
      <w:pPr>
        <w:autoSpaceDN w:val="0"/>
        <w:autoSpaceDE w:val="0"/>
        <w:widowControl/>
        <w:spacing w:line="290" w:lineRule="exact" w:before="140" w:after="0"/>
        <w:ind w:left="364" w:right="0" w:firstLine="0"/>
        <w:jc w:val="left"/>
      </w:pPr>
      <w:r>
        <w:rPr>
          <w:w w:val="101.77799987792969"/>
          <w:rFonts w:ascii="CIDFont+F4" w:hAnsi="CIDFont+F4" w:eastAsia="CIDFont+F4"/>
          <w:b/>
          <w:i w:val="0"/>
          <w:color w:val="00497B"/>
          <w:sz w:val="25"/>
        </w:rPr>
        <w:t>Composition of Active Trust Funds</w:t>
      </w:r>
      <w:r>
        <w:rPr>
          <w:rFonts w:ascii="CIDFont+F1" w:hAnsi="CIDFont+F1" w:eastAsia="CIDFont+F1"/>
          <w:b/>
          <w:i w:val="0"/>
          <w:color w:val="173356"/>
          <w:sz w:val="13"/>
        </w:rPr>
        <w:t>3</w:t>
      </w:r>
      <w:r>
        <w:rPr>
          <w:rFonts w:ascii="CIDFont+F4" w:hAnsi="CIDFont+F4" w:eastAsia="CIDFont+F4"/>
          <w:b/>
          <w:i w:val="0"/>
          <w:color w:val="FFFFFF"/>
          <w:sz w:val="17"/>
        </w:rPr>
        <w:t>1</w:t>
      </w:r>
    </w:p>
    <w:p>
      <w:pPr>
        <w:autoSpaceDN w:val="0"/>
        <w:autoSpaceDE w:val="0"/>
        <w:widowControl/>
        <w:spacing w:line="240" w:lineRule="auto" w:before="1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84800" cy="594487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4800" cy="5944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2" w:lineRule="exact" w:before="218" w:after="0"/>
        <w:ind w:left="348" w:right="300" w:firstLine="0"/>
        <w:jc w:val="both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The FIF portfolio has continued to grow, from a base of 9 programs in 2008 to 26 active programs as of December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2025. The major sectors in FIF are Environment and Climate change (12 FIF programs), Health (4 FIF programs) and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Agriculture (3 FIF programs). </w:t>
      </w:r>
    </w:p>
    <w:p>
      <w:pPr>
        <w:autoSpaceDN w:val="0"/>
        <w:autoSpaceDE w:val="0"/>
        <w:widowControl/>
        <w:spacing w:line="166" w:lineRule="exact" w:before="1138" w:after="0"/>
        <w:ind w:left="348" w:right="288" w:firstLine="0"/>
        <w:jc w:val="left"/>
      </w:pPr>
      <w:r>
        <w:rPr>
          <w:w w:val="101.3277530670166"/>
          <w:rFonts w:ascii="CIDFont+F7" w:hAnsi="CIDFont+F7" w:eastAsia="CIDFont+F7"/>
          <w:b w:val="0"/>
          <w:i w:val="0"/>
          <w:color w:val="000000"/>
          <w:sz w:val="12"/>
        </w:rPr>
        <w:t>3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>The count is based on number of trust funds established as trustees under program types - Umbrella, Programmatic, Standalone and Free-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standing. Apart from the active trust funds above there are DP balance accounts established to hold unused funds from closed trust funds,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investment income earned on active trust fund balances, or to hold DP contributions temporarily awaiting establishment of a project trust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>fund. The total number of such active DP balance accounts as of December 31, 2025, is 361 and December 31, 2024, is 352.</w:t>
      </w:r>
    </w:p>
    <w:p>
      <w:pPr>
        <w:autoSpaceDN w:val="0"/>
        <w:autoSpaceDE w:val="0"/>
        <w:widowControl/>
        <w:spacing w:line="164" w:lineRule="exact" w:before="250" w:after="0"/>
        <w:ind w:left="348" w:right="288" w:firstLine="0"/>
        <w:jc w:val="left"/>
      </w:pPr>
      <w:r>
        <w:rPr>
          <w:w w:val="105.08066813151042"/>
          <w:rFonts w:ascii="CIDFont+F8" w:hAnsi="CIDFont+F8" w:eastAsia="CIDFont+F8"/>
          <w:b w:val="0"/>
          <w:i/>
          <w:color w:val="000000"/>
          <w:sz w:val="9"/>
        </w:rPr>
        <w:t xml:space="preserve">4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FIF Programs may be administered through the use of multiple accounts. There are 26 FIF programs (December 2024: 28) comprising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>multiple FIF trustee accounts.</w:t>
      </w:r>
    </w:p>
    <w:p>
      <w:pPr>
        <w:autoSpaceDN w:val="0"/>
        <w:autoSpaceDE w:val="0"/>
        <w:widowControl/>
        <w:spacing w:line="228" w:lineRule="exact" w:before="188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10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288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54" w:lineRule="exact" w:before="268" w:after="0"/>
        <w:ind w:left="364" w:right="0" w:firstLine="0"/>
        <w:jc w:val="left"/>
      </w:pPr>
      <w:r>
        <w:rPr>
          <w:w w:val="98.6471448625837"/>
          <w:rFonts w:ascii="CIDFont+F2" w:hAnsi="CIDFont+F2" w:eastAsia="CIDFont+F2"/>
          <w:b w:val="0"/>
          <w:i w:val="0"/>
          <w:color w:val="00497B"/>
          <w:sz w:val="21"/>
        </w:rPr>
        <w:t xml:space="preserve">Key Trust Fund Activity </w:t>
      </w:r>
    </w:p>
    <w:p>
      <w:pPr>
        <w:autoSpaceDN w:val="0"/>
        <w:autoSpaceDE w:val="0"/>
        <w:widowControl/>
        <w:spacing w:line="290" w:lineRule="exact" w:before="142" w:after="0"/>
        <w:ind w:left="364" w:right="0" w:firstLine="0"/>
        <w:jc w:val="left"/>
      </w:pPr>
      <w:r>
        <w:rPr>
          <w:w w:val="101.77799987792969"/>
          <w:rFonts w:ascii="CIDFont+F4" w:hAnsi="CIDFont+F4" w:eastAsia="CIDFont+F4"/>
          <w:b/>
          <w:i w:val="0"/>
          <w:color w:val="00497B"/>
          <w:sz w:val="25"/>
        </w:rPr>
        <w:t>Composition of Active Umbrella Programs</w:t>
      </w:r>
      <w:r>
        <w:rPr>
          <w:rFonts w:ascii="CIDFont+F4" w:hAnsi="CIDFont+F4" w:eastAsia="CIDFont+F4"/>
          <w:b/>
          <w:i w:val="0"/>
          <w:color w:val="FFFFFF"/>
          <w:sz w:val="17"/>
        </w:rPr>
        <w:t>2</w:t>
      </w:r>
    </w:p>
    <w:p>
      <w:pPr>
        <w:autoSpaceDN w:val="0"/>
        <w:autoSpaceDE w:val="0"/>
        <w:widowControl/>
        <w:spacing w:line="232" w:lineRule="exact" w:before="294" w:after="230"/>
        <w:ind w:left="348" w:right="288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As of December 31, 2025, 75 umbrella programs comprising of 146 TFs have Funds-Held in Trust (FHIT) of $6,426m.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Cash contributions and disbursements of these programs during YTD FY26 were $1,165m and $763m.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1.9999999999999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215"/>
        </w:trPr>
        <w:tc>
          <w:tcPr>
            <w:tcW w:type="dxa" w:w="2524"/>
            <w:vMerge w:val="restart"/>
            <w:tcBorders>
              <w:start w:sz="3.0" w:val="single" w:color="#000000"/>
              <w:top w:sz="4.7999999999999545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6" w:lineRule="exact" w:before="178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Description</w:t>
            </w:r>
          </w:p>
        </w:tc>
        <w:tc>
          <w:tcPr>
            <w:tcW w:type="dxa" w:w="2056"/>
            <w:gridSpan w:val="2"/>
            <w:tcBorders>
              <w:start w:sz="3.0" w:val="single" w:color="#000000"/>
              <w:top w:sz="4.7999999999999545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As of December 2025</w:t>
            </w:r>
          </w:p>
        </w:tc>
        <w:tc>
          <w:tcPr>
            <w:tcW w:type="dxa" w:w="2608"/>
            <w:gridSpan w:val="2"/>
            <w:tcBorders>
              <w:start w:sz="3.0" w:val="single" w:color="#000000"/>
              <w:top w:sz="4.7999999999999545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YTD FY26</w:t>
            </w:r>
          </w:p>
        </w:tc>
      </w:tr>
      <w:tr>
        <w:trPr>
          <w:trHeight w:hRule="exact" w:val="387"/>
        </w:trPr>
        <w:tc>
          <w:tcPr>
            <w:tcW w:type="dxa" w:w="1872"/>
            <w:vMerge/>
            <w:tcBorders>
              <w:start w:sz="3.0" w:val="single" w:color="#000000"/>
              <w:top w:sz="4.7999999999999545" w:val="single" w:color="#000000"/>
              <w:end w:sz="3.0" w:val="single" w:color="#000000"/>
              <w:bottom w:sz="3.0" w:val="single" w:color="#000000"/>
            </w:tcBorders>
          </w:tcPr>
          <w:p/>
        </w:tc>
        <w:tc>
          <w:tcPr>
            <w:tcW w:type="dxa" w:w="10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88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FHIT</w:t>
            </w:r>
          </w:p>
        </w:tc>
        <w:tc>
          <w:tcPr>
            <w:tcW w:type="dxa" w:w="1020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 xml:space="preserve">No of </w:t>
            </w:r>
            <w:r>
              <w:br/>
            </w: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Programs</w:t>
            </w:r>
          </w:p>
        </w:tc>
        <w:tc>
          <w:tcPr>
            <w:tcW w:type="dxa" w:w="135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2" w:lineRule="exact" w:before="0" w:after="0"/>
              <w:ind w:left="144" w:right="144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 xml:space="preserve">Cash </w:t>
            </w:r>
            <w:r>
              <w:br/>
            </w: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Contribution</w:t>
            </w:r>
          </w:p>
        </w:tc>
        <w:tc>
          <w:tcPr>
            <w:tcW w:type="dxa" w:w="12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88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Disbursement</w:t>
            </w:r>
          </w:p>
        </w:tc>
      </w:tr>
      <w:tr>
        <w:trPr>
          <w:trHeight w:hRule="exact" w:val="262"/>
        </w:trPr>
        <w:tc>
          <w:tcPr>
            <w:tcW w:type="dxa" w:w="25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18" w:after="0"/>
              <w:ind w:left="32" w:right="0" w:firstLine="0"/>
              <w:jc w:val="left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Global Practices</w:t>
            </w:r>
          </w:p>
        </w:tc>
        <w:tc>
          <w:tcPr>
            <w:tcW w:type="dxa" w:w="10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18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4,060</w:t>
            </w:r>
          </w:p>
        </w:tc>
        <w:tc>
          <w:tcPr>
            <w:tcW w:type="dxa" w:w="1020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18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52</w:t>
            </w:r>
          </w:p>
        </w:tc>
        <w:tc>
          <w:tcPr>
            <w:tcW w:type="dxa" w:w="135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18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731</w:t>
            </w:r>
          </w:p>
        </w:tc>
        <w:tc>
          <w:tcPr>
            <w:tcW w:type="dxa" w:w="12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18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391</w:t>
            </w:r>
          </w:p>
        </w:tc>
      </w:tr>
      <w:tr>
        <w:trPr>
          <w:trHeight w:hRule="exact" w:val="263"/>
        </w:trPr>
        <w:tc>
          <w:tcPr>
            <w:tcW w:type="dxa" w:w="25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0" w:after="0"/>
              <w:ind w:left="32" w:right="0" w:firstLine="0"/>
              <w:jc w:val="left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Regions</w:t>
            </w:r>
          </w:p>
        </w:tc>
        <w:tc>
          <w:tcPr>
            <w:tcW w:type="dxa" w:w="10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0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2,011</w:t>
            </w:r>
          </w:p>
        </w:tc>
        <w:tc>
          <w:tcPr>
            <w:tcW w:type="dxa" w:w="1020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0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22</w:t>
            </w:r>
          </w:p>
        </w:tc>
        <w:tc>
          <w:tcPr>
            <w:tcW w:type="dxa" w:w="135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0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389</w:t>
            </w:r>
          </w:p>
        </w:tc>
        <w:tc>
          <w:tcPr>
            <w:tcW w:type="dxa" w:w="12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20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372</w:t>
            </w:r>
          </w:p>
        </w:tc>
      </w:tr>
      <w:tr>
        <w:trPr>
          <w:trHeight w:hRule="exact" w:val="275"/>
        </w:trPr>
        <w:tc>
          <w:tcPr>
            <w:tcW w:type="dxa" w:w="25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32" w:right="0" w:firstLine="0"/>
              <w:jc w:val="left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Institutional Services</w:t>
            </w:r>
          </w:p>
        </w:tc>
        <w:tc>
          <w:tcPr>
            <w:tcW w:type="dxa" w:w="10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355</w:t>
            </w:r>
          </w:p>
        </w:tc>
        <w:tc>
          <w:tcPr>
            <w:tcW w:type="dxa" w:w="1020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1</w:t>
            </w:r>
          </w:p>
        </w:tc>
        <w:tc>
          <w:tcPr>
            <w:tcW w:type="dxa" w:w="135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>45</w:t>
            </w:r>
          </w:p>
        </w:tc>
        <w:tc>
          <w:tcPr>
            <w:tcW w:type="dxa" w:w="12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32" w:after="0"/>
              <w:ind w:left="0" w:right="0" w:firstLine="0"/>
              <w:jc w:val="center"/>
            </w:pPr>
            <w:r>
              <w:rPr>
                <w:w w:val="97.38745969884536"/>
                <w:rFonts w:ascii="CIDFont+F7" w:hAnsi="CIDFont+F7" w:eastAsia="CIDFont+F7"/>
                <w:b w:val="0"/>
                <w:i w:val="0"/>
                <w:color w:val="636363"/>
                <w:sz w:val="17"/>
              </w:rPr>
              <w:t xml:space="preserve"> - </w:t>
            </w:r>
          </w:p>
        </w:tc>
      </w:tr>
      <w:tr>
        <w:trPr>
          <w:trHeight w:hRule="exact" w:val="275"/>
        </w:trPr>
        <w:tc>
          <w:tcPr>
            <w:tcW w:type="dxa" w:w="25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0" w:after="0"/>
              <w:ind w:left="32" w:right="0" w:firstLine="0"/>
              <w:jc w:val="left"/>
            </w:pPr>
            <w:r>
              <w:rPr>
                <w:w w:val="97.38745969884536"/>
                <w:rFonts w:ascii="CIDFont+F10" w:hAnsi="CIDFont+F10" w:eastAsia="CIDFont+F10"/>
                <w:b/>
                <w:i w:val="0"/>
                <w:color w:val="393E2D"/>
                <w:sz w:val="17"/>
              </w:rPr>
              <w:t xml:space="preserve">Total </w:t>
            </w:r>
          </w:p>
        </w:tc>
        <w:tc>
          <w:tcPr>
            <w:tcW w:type="dxa" w:w="10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0" w:after="0"/>
              <w:ind w:left="0" w:right="0" w:firstLine="0"/>
              <w:jc w:val="center"/>
            </w:pPr>
            <w:r>
              <w:rPr>
                <w:w w:val="97.38745969884536"/>
                <w:rFonts w:ascii="CIDFont+F10" w:hAnsi="CIDFont+F10" w:eastAsia="CIDFont+F10"/>
                <w:b/>
                <w:i w:val="0"/>
                <w:color w:val="393E2D"/>
                <w:sz w:val="17"/>
              </w:rPr>
              <w:t>$6,426</w:t>
            </w:r>
          </w:p>
        </w:tc>
        <w:tc>
          <w:tcPr>
            <w:tcW w:type="dxa" w:w="1020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0" w:after="0"/>
              <w:ind w:left="0" w:right="0" w:firstLine="0"/>
              <w:jc w:val="center"/>
            </w:pPr>
            <w:r>
              <w:rPr>
                <w:w w:val="97.38745969884536"/>
                <w:rFonts w:ascii="CIDFont+F10" w:hAnsi="CIDFont+F10" w:eastAsia="CIDFont+F10"/>
                <w:b/>
                <w:i w:val="0"/>
                <w:color w:val="393E2D"/>
                <w:sz w:val="17"/>
              </w:rPr>
              <w:t>75</w:t>
            </w:r>
          </w:p>
        </w:tc>
        <w:tc>
          <w:tcPr>
            <w:tcW w:type="dxa" w:w="135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0" w:after="0"/>
              <w:ind w:left="0" w:right="0" w:firstLine="0"/>
              <w:jc w:val="center"/>
            </w:pPr>
            <w:r>
              <w:rPr>
                <w:w w:val="97.38745969884536"/>
                <w:rFonts w:ascii="CIDFont+F10" w:hAnsi="CIDFont+F10" w:eastAsia="CIDFont+F10"/>
                <w:b/>
                <w:i w:val="0"/>
                <w:color w:val="393E2D"/>
                <w:sz w:val="17"/>
              </w:rPr>
              <w:t>$1,165</w:t>
            </w:r>
          </w:p>
        </w:tc>
        <w:tc>
          <w:tcPr>
            <w:tcW w:type="dxa" w:w="12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40" w:after="0"/>
              <w:ind w:left="0" w:right="0" w:firstLine="0"/>
              <w:jc w:val="center"/>
            </w:pPr>
            <w:r>
              <w:rPr>
                <w:w w:val="97.38745969884536"/>
                <w:rFonts w:ascii="CIDFont+F10" w:hAnsi="CIDFont+F10" w:eastAsia="CIDFont+F10"/>
                <w:b/>
                <w:i w:val="0"/>
                <w:color w:val="393E2D"/>
                <w:sz w:val="17"/>
              </w:rPr>
              <w:t>$763</w:t>
            </w:r>
          </w:p>
        </w:tc>
      </w:tr>
    </w:tbl>
    <w:p>
      <w:pPr>
        <w:autoSpaceDN w:val="0"/>
        <w:autoSpaceDE w:val="0"/>
        <w:widowControl/>
        <w:spacing w:line="2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51.9999999999999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195"/>
        </w:trPr>
        <w:tc>
          <w:tcPr>
            <w:tcW w:type="dxa" w:w="2684"/>
            <w:vMerge w:val="restart"/>
            <w:tcBorders>
              <w:start w:sz="3.0" w:val="single" w:color="#000000"/>
              <w:top w:sz="3.2000000000000455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62" w:after="0"/>
              <w:ind w:left="3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>Global Practices</w:t>
            </w:r>
          </w:p>
        </w:tc>
        <w:tc>
          <w:tcPr>
            <w:tcW w:type="dxa" w:w="1872"/>
            <w:gridSpan w:val="2"/>
            <w:tcBorders>
              <w:start w:sz="3.0" w:val="single" w:color="#000000"/>
              <w:top w:sz="3.2000000000000455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>As of December 2025</w:t>
            </w:r>
          </w:p>
        </w:tc>
        <w:tc>
          <w:tcPr>
            <w:tcW w:type="dxa" w:w="2060"/>
            <w:gridSpan w:val="2"/>
            <w:tcBorders>
              <w:start w:sz="3.0" w:val="single" w:color="#000000"/>
              <w:top w:sz="3.2000000000000455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>YTD FY26</w:t>
            </w:r>
          </w:p>
        </w:tc>
      </w:tr>
      <w:tr>
        <w:trPr>
          <w:trHeight w:hRule="exact" w:val="350"/>
        </w:trPr>
        <w:tc>
          <w:tcPr>
            <w:tcW w:type="dxa" w:w="1872"/>
            <w:vMerge/>
            <w:tcBorders>
              <w:start w:sz="3.0" w:val="single" w:color="#000000"/>
              <w:top w:sz="3.2000000000000455" w:val="single" w:color="#000000"/>
              <w:end w:sz="3.0" w:val="single" w:color="#000000"/>
              <w:bottom w:sz="3.0" w:val="single" w:color="#000000"/>
            </w:tcBorders>
          </w:tcPr>
          <w:p/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6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>FHIT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 xml:space="preserve">No of </w:t>
            </w:r>
            <w:r>
              <w:br/>
            </w: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>Programs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 xml:space="preserve">Cash </w:t>
            </w:r>
            <w:r>
              <w:br/>
            </w: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>Contribution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66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5"/>
              </w:rPr>
              <w:t>Disbursement</w:t>
            </w:r>
          </w:p>
        </w:tc>
      </w:tr>
      <w:tr>
        <w:trPr>
          <w:trHeight w:hRule="exact" w:val="475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0" w:after="0"/>
              <w:ind w:left="1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 xml:space="preserve">GP-Health, Nutrition and Population </w:t>
            </w: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(HNP)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1,548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4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207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96</w:t>
            </w:r>
          </w:p>
        </w:tc>
      </w:tr>
      <w:tr>
        <w:trPr>
          <w:trHeight w:hRule="exact" w:val="499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1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GP-Energy and Extractives (EEX)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464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69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62</w:t>
            </w:r>
          </w:p>
        </w:tc>
      </w:tr>
      <w:tr>
        <w:trPr>
          <w:trHeight w:hRule="exact" w:val="624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72" w:after="0"/>
              <w:ind w:left="1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 xml:space="preserve">GP-Environment, Natural Resources </w:t>
            </w: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and Blue Economy (ENB)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04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444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04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3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04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49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04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34</w:t>
            </w:r>
          </w:p>
        </w:tc>
      </w:tr>
      <w:tr>
        <w:trPr>
          <w:trHeight w:hRule="exact" w:val="474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1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GT- Climate (CCG)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316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3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109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28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24</w:t>
            </w:r>
          </w:p>
        </w:tc>
      </w:tr>
      <w:tr>
        <w:trPr>
          <w:trHeight w:hRule="exact" w:val="486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0" w:lineRule="exact" w:before="8" w:after="0"/>
              <w:ind w:left="140" w:right="288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 xml:space="preserve">GP-Urban, Resilience and Land </w:t>
            </w: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(URL)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233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4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54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25</w:t>
            </w:r>
          </w:p>
        </w:tc>
      </w:tr>
      <w:tr>
        <w:trPr>
          <w:trHeight w:hRule="exact" w:val="488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2" w:after="0"/>
              <w:ind w:left="1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GP-Agriculture (AGF)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208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1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8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21</w:t>
            </w:r>
          </w:p>
        </w:tc>
      </w:tr>
      <w:tr>
        <w:trPr>
          <w:trHeight w:hRule="exact" w:val="487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1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GP-Education (EDU)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115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32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42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18</w:t>
            </w:r>
          </w:p>
        </w:tc>
      </w:tr>
      <w:tr>
        <w:trPr>
          <w:trHeight w:hRule="exact" w:val="499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0" w:after="0"/>
              <w:ind w:left="1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Others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732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33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203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40" w:after="0"/>
              <w:ind w:left="0" w:right="0" w:firstLine="0"/>
              <w:jc w:val="center"/>
            </w:pPr>
            <w:r>
              <w:rPr>
                <w:rFonts w:ascii="CIDFont+F7" w:hAnsi="CIDFont+F7" w:eastAsia="CIDFont+F7"/>
                <w:b w:val="0"/>
                <w:i w:val="0"/>
                <w:color w:val="636363"/>
                <w:sz w:val="15"/>
              </w:rPr>
              <w:t>111</w:t>
            </w:r>
          </w:p>
        </w:tc>
      </w:tr>
      <w:tr>
        <w:trPr>
          <w:trHeight w:hRule="exact" w:val="251"/>
        </w:trPr>
        <w:tc>
          <w:tcPr>
            <w:tcW w:type="dxa" w:w="2684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8" w:after="0"/>
              <w:ind w:left="0" w:right="0" w:firstLine="0"/>
              <w:jc w:val="center"/>
            </w:pPr>
            <w:r>
              <w:rPr>
                <w:rFonts w:ascii="CIDFont+F10" w:hAnsi="CIDFont+F10" w:eastAsia="CIDFont+F10"/>
                <w:b/>
                <w:i w:val="0"/>
                <w:color w:val="393E2D"/>
                <w:sz w:val="15"/>
              </w:rPr>
              <w:t>Total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8" w:after="0"/>
              <w:ind w:left="0" w:right="0" w:firstLine="0"/>
              <w:jc w:val="center"/>
            </w:pPr>
            <w:r>
              <w:rPr>
                <w:rFonts w:ascii="CIDFont+F10" w:hAnsi="CIDFont+F10" w:eastAsia="CIDFont+F10"/>
                <w:b/>
                <w:i w:val="0"/>
                <w:color w:val="393E2D"/>
                <w:sz w:val="15"/>
              </w:rPr>
              <w:t>$4,060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8" w:after="0"/>
              <w:ind w:left="0" w:right="0" w:firstLine="0"/>
              <w:jc w:val="center"/>
            </w:pPr>
            <w:r>
              <w:rPr>
                <w:rFonts w:ascii="CIDFont+F10" w:hAnsi="CIDFont+F10" w:eastAsia="CIDFont+F10"/>
                <w:b/>
                <w:i w:val="0"/>
                <w:color w:val="393E2D"/>
                <w:sz w:val="15"/>
              </w:rPr>
              <w:t>52</w:t>
            </w:r>
          </w:p>
        </w:tc>
        <w:tc>
          <w:tcPr>
            <w:tcW w:type="dxa" w:w="936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8" w:after="0"/>
              <w:ind w:left="0" w:right="0" w:firstLine="0"/>
              <w:jc w:val="center"/>
            </w:pPr>
            <w:r>
              <w:rPr>
                <w:rFonts w:ascii="CIDFont+F10" w:hAnsi="CIDFont+F10" w:eastAsia="CIDFont+F10"/>
                <w:b/>
                <w:i w:val="0"/>
                <w:color w:val="393E2D"/>
                <w:sz w:val="15"/>
              </w:rPr>
              <w:t>$731</w:t>
            </w:r>
          </w:p>
        </w:tc>
        <w:tc>
          <w:tcPr>
            <w:tcW w:type="dxa" w:w="1124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18" w:after="0"/>
              <w:ind w:left="0" w:right="0" w:firstLine="0"/>
              <w:jc w:val="center"/>
            </w:pPr>
            <w:r>
              <w:rPr>
                <w:rFonts w:ascii="CIDFont+F10" w:hAnsi="CIDFont+F10" w:eastAsia="CIDFont+F10"/>
                <w:b/>
                <w:i w:val="0"/>
                <w:color w:val="393E2D"/>
                <w:sz w:val="15"/>
              </w:rPr>
              <w:t>$391</w:t>
            </w:r>
          </w:p>
        </w:tc>
      </w:tr>
    </w:tbl>
    <w:p>
      <w:pPr>
        <w:autoSpaceDN w:val="0"/>
        <w:autoSpaceDE w:val="0"/>
        <w:widowControl/>
        <w:spacing w:line="2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38.0000000000001" w:type="dxa"/>
      </w:tblPr>
      <w:tblGrid>
        <w:gridCol w:w="1872"/>
        <w:gridCol w:w="1872"/>
        <w:gridCol w:w="1872"/>
        <w:gridCol w:w="1872"/>
        <w:gridCol w:w="1872"/>
      </w:tblGrid>
      <w:tr>
        <w:trPr>
          <w:trHeight w:hRule="exact" w:val="232"/>
        </w:trPr>
        <w:tc>
          <w:tcPr>
            <w:tcW w:type="dxa" w:w="2704"/>
            <w:vMerge w:val="restart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98" w:after="0"/>
              <w:ind w:left="20" w:right="0" w:firstLine="0"/>
              <w:jc w:val="left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Regions</w:t>
            </w:r>
          </w:p>
        </w:tc>
        <w:tc>
          <w:tcPr>
            <w:tcW w:type="dxa" w:w="1866"/>
            <w:gridSpan w:val="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4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As of December 2025</w:t>
            </w:r>
          </w:p>
        </w:tc>
        <w:tc>
          <w:tcPr>
            <w:tcW w:type="dxa" w:w="2060"/>
            <w:gridSpan w:val="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4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YTD FY26</w:t>
            </w:r>
          </w:p>
        </w:tc>
      </w:tr>
      <w:tr>
        <w:trPr>
          <w:trHeight w:hRule="exact" w:val="322"/>
        </w:trPr>
        <w:tc>
          <w:tcPr>
            <w:tcW w:type="dxa" w:w="1872"/>
            <w:vMerge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</w:tcPr>
          <w:p/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FHIT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144" w:right="144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 xml:space="preserve">No of </w:t>
            </w:r>
            <w:r>
              <w:br/>
            </w: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Programs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0" w:lineRule="exact" w:before="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 xml:space="preserve">Cash </w:t>
            </w:r>
            <w:r>
              <w:br/>
            </w: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Contribution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7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Disbursement</w:t>
            </w:r>
          </w:p>
        </w:tc>
      </w:tr>
      <w:tr>
        <w:trPr>
          <w:trHeight w:hRule="exact" w:val="460"/>
        </w:trPr>
        <w:tc>
          <w:tcPr>
            <w:tcW w:type="dxa" w:w="27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142" w:right="0" w:firstLine="0"/>
              <w:jc w:val="left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Europe and Central Asia (ECA)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960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203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236</w:t>
            </w:r>
          </w:p>
        </w:tc>
      </w:tr>
      <w:tr>
        <w:trPr>
          <w:trHeight w:hRule="exact" w:val="460"/>
        </w:trPr>
        <w:tc>
          <w:tcPr>
            <w:tcW w:type="dxa" w:w="27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142" w:right="0" w:firstLine="0"/>
              <w:jc w:val="left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Africa East (AFE)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461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7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42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66</w:t>
            </w:r>
          </w:p>
        </w:tc>
      </w:tr>
      <w:tr>
        <w:trPr>
          <w:trHeight w:hRule="exact" w:val="460"/>
        </w:trPr>
        <w:tc>
          <w:tcPr>
            <w:tcW w:type="dxa" w:w="27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142" w:right="0" w:firstLine="0"/>
              <w:jc w:val="left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Middle East and North Africa (MNA)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386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8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73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52</w:t>
            </w:r>
          </w:p>
        </w:tc>
      </w:tr>
      <w:tr>
        <w:trPr>
          <w:trHeight w:hRule="exact" w:val="459"/>
        </w:trPr>
        <w:tc>
          <w:tcPr>
            <w:tcW w:type="dxa" w:w="27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142" w:right="0" w:firstLine="0"/>
              <w:jc w:val="left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Africa West (AFW)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111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54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6</w:t>
            </w:r>
          </w:p>
        </w:tc>
      </w:tr>
      <w:tr>
        <w:trPr>
          <w:trHeight w:hRule="exact" w:val="461"/>
        </w:trPr>
        <w:tc>
          <w:tcPr>
            <w:tcW w:type="dxa" w:w="27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142" w:right="0" w:firstLine="0"/>
              <w:jc w:val="left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East Asia and Pacific (EAP)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60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-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8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11</w:t>
            </w:r>
          </w:p>
        </w:tc>
      </w:tr>
      <w:tr>
        <w:trPr>
          <w:trHeight w:hRule="exact" w:val="459"/>
        </w:trPr>
        <w:tc>
          <w:tcPr>
            <w:tcW w:type="dxa" w:w="27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142" w:right="0" w:firstLine="0"/>
              <w:jc w:val="left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South Asia (SAR)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33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17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50" w:after="0"/>
              <w:ind w:left="0" w:right="0" w:firstLine="0"/>
              <w:jc w:val="center"/>
            </w:pPr>
            <w:r>
              <w:rPr>
                <w:w w:val="101.41110420227051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</w:t>
            </w:r>
          </w:p>
        </w:tc>
      </w:tr>
      <w:tr>
        <w:trPr>
          <w:trHeight w:hRule="exact" w:val="230"/>
        </w:trPr>
        <w:tc>
          <w:tcPr>
            <w:tcW w:type="dxa" w:w="2704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8" w:after="0"/>
              <w:ind w:left="0" w:right="0" w:firstLine="0"/>
              <w:jc w:val="center"/>
            </w:pPr>
            <w:r>
              <w:rPr>
                <w:w w:val="101.41110420227051"/>
                <w:rFonts w:ascii="CIDFont+F10" w:hAnsi="CIDFont+F10" w:eastAsia="CIDFont+F10"/>
                <w:b/>
                <w:i w:val="0"/>
                <w:color w:val="393E2D"/>
                <w:sz w:val="14"/>
              </w:rPr>
              <w:t>Total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8" w:after="0"/>
              <w:ind w:left="0" w:right="0" w:firstLine="0"/>
              <w:jc w:val="center"/>
            </w:pPr>
            <w:r>
              <w:rPr>
                <w:w w:val="101.41110420227051"/>
                <w:rFonts w:ascii="CIDFont+F10" w:hAnsi="CIDFont+F10" w:eastAsia="CIDFont+F10"/>
                <w:b/>
                <w:i w:val="0"/>
                <w:color w:val="393E2D"/>
                <w:sz w:val="14"/>
              </w:rPr>
              <w:t>$2,011</w:t>
            </w:r>
          </w:p>
        </w:tc>
        <w:tc>
          <w:tcPr>
            <w:tcW w:type="dxa" w:w="93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8" w:after="0"/>
              <w:ind w:left="0" w:right="0" w:firstLine="0"/>
              <w:jc w:val="center"/>
            </w:pPr>
            <w:r>
              <w:rPr>
                <w:w w:val="101.41110420227051"/>
                <w:rFonts w:ascii="CIDFont+F10" w:hAnsi="CIDFont+F10" w:eastAsia="CIDFont+F10"/>
                <w:b/>
                <w:i w:val="0"/>
                <w:color w:val="393E2D"/>
                <w:sz w:val="14"/>
              </w:rPr>
              <w:t>22</w:t>
            </w:r>
          </w:p>
        </w:tc>
        <w:tc>
          <w:tcPr>
            <w:tcW w:type="dxa" w:w="93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8" w:after="0"/>
              <w:ind w:left="0" w:right="0" w:firstLine="0"/>
              <w:jc w:val="center"/>
            </w:pPr>
            <w:r>
              <w:rPr>
                <w:w w:val="101.41110420227051"/>
                <w:rFonts w:ascii="CIDFont+F10" w:hAnsi="CIDFont+F10" w:eastAsia="CIDFont+F10"/>
                <w:b/>
                <w:i w:val="0"/>
                <w:color w:val="393E2D"/>
                <w:sz w:val="14"/>
              </w:rPr>
              <w:t>$389</w:t>
            </w:r>
          </w:p>
        </w:tc>
        <w:tc>
          <w:tcPr>
            <w:tcW w:type="dxa" w:w="112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38" w:after="0"/>
              <w:ind w:left="0" w:right="0" w:firstLine="0"/>
              <w:jc w:val="center"/>
            </w:pPr>
            <w:r>
              <w:rPr>
                <w:w w:val="101.41110420227051"/>
                <w:rFonts w:ascii="CIDFont+F10" w:hAnsi="CIDFont+F10" w:eastAsia="CIDFont+F10"/>
                <w:b/>
                <w:i w:val="0"/>
                <w:color w:val="393E2D"/>
                <w:sz w:val="14"/>
              </w:rPr>
              <w:t>$372</w:t>
            </w:r>
          </w:p>
        </w:tc>
      </w:tr>
    </w:tbl>
    <w:p>
      <w:pPr>
        <w:autoSpaceDN w:val="0"/>
        <w:autoSpaceDE w:val="0"/>
        <w:widowControl/>
        <w:spacing w:line="228" w:lineRule="exact" w:before="334" w:after="0"/>
        <w:ind w:left="264" w:right="0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The LPF program initiated within CU-DFI business unit has been classified under Institutional Services. </w:t>
      </w:r>
    </w:p>
    <w:p>
      <w:pPr>
        <w:autoSpaceDN w:val="0"/>
        <w:autoSpaceDE w:val="0"/>
        <w:widowControl/>
        <w:spacing w:line="228" w:lineRule="exact" w:before="912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11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autoSpaceDE w:val="0"/>
        <w:widowControl/>
        <w:spacing w:line="174" w:lineRule="exact" w:before="0" w:after="0"/>
        <w:ind w:left="0" w:right="448" w:firstLine="0"/>
        <w:jc w:val="righ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>the six months ended December 31, 2025 and 2024</w:t>
      </w:r>
    </w:p>
    <w:p>
      <w:pPr>
        <w:autoSpaceDN w:val="0"/>
        <w:autoSpaceDE w:val="0"/>
        <w:widowControl/>
        <w:spacing w:line="174" w:lineRule="exact" w:before="0" w:after="0"/>
        <w:ind w:left="0" w:right="414" w:firstLine="0"/>
        <w:jc w:val="righ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386" w:lineRule="exact" w:before="136" w:after="0"/>
        <w:ind w:left="348" w:right="288" w:firstLine="0"/>
        <w:jc w:val="left"/>
      </w:pPr>
      <w:r>
        <w:rPr>
          <w:w w:val="98.6471448625837"/>
          <w:rFonts w:ascii="CIDFont+F2" w:hAnsi="CIDFont+F2" w:eastAsia="CIDFont+F2"/>
          <w:b w:val="0"/>
          <w:i w:val="0"/>
          <w:color w:val="00497B"/>
          <w:sz w:val="21"/>
        </w:rPr>
        <w:t xml:space="preserve">Key Trust Fund Activity </w:t>
      </w:r>
      <w:r>
        <w:br/>
      </w:r>
      <w:r>
        <w:rPr>
          <w:w w:val="101.77799987792969"/>
          <w:rFonts w:ascii="CIDFont+F4" w:hAnsi="CIDFont+F4" w:eastAsia="CIDFont+F4"/>
          <w:b/>
          <w:i w:val="0"/>
          <w:color w:val="00497B"/>
          <w:sz w:val="25"/>
        </w:rPr>
        <w:t>Active Grants</w:t>
      </w:r>
      <w:r>
        <w:rPr>
          <w:rFonts w:ascii="CIDFont+F4" w:hAnsi="CIDFont+F4" w:eastAsia="CIDFont+F4"/>
          <w:b/>
          <w:i w:val="0"/>
          <w:color w:val="FFFFFF"/>
          <w:sz w:val="17"/>
        </w:rPr>
        <w:t xml:space="preserve">3 </w:t>
      </w:r>
      <w:r>
        <w:br/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Grants represent funds which are provided from a trust fund to the Bank or a recipient to implement the trust fund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activities. </w:t>
      </w:r>
    </w:p>
    <w:p>
      <w:pPr>
        <w:autoSpaceDN w:val="0"/>
        <w:autoSpaceDE w:val="0"/>
        <w:widowControl/>
        <w:spacing w:line="192" w:lineRule="exact" w:before="296" w:after="298"/>
        <w:ind w:left="348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 xml:space="preserve">Total Number of Active Grants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4680"/>
        <w:gridCol w:w="4680"/>
      </w:tblGrid>
      <w:tr>
        <w:trPr>
          <w:trHeight w:hRule="exact" w:val="688"/>
        </w:trPr>
        <w:tc>
          <w:tcPr>
            <w:tcW w:type="dxa" w:w="58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184.0" w:type="dxa"/>
            </w:tblPr>
            <w:tblGrid>
              <w:gridCol w:w="5804"/>
            </w:tblGrid>
            <w:tr>
              <w:trPr>
                <w:trHeight w:hRule="exact" w:val="248"/>
              </w:trPr>
              <w:tc>
                <w:tcPr>
                  <w:tcW w:type="dxa" w:w="620"/>
                  <w:tcBorders/>
                  <w:shd w:fill="b6b6b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36" w:after="0"/>
                    <w:ind w:left="0" w:right="0" w:firstLine="0"/>
                    <w:jc w:val="center"/>
                  </w:pPr>
                  <w:r>
                    <w:rPr>
                      <w:w w:val="101.9357681274414"/>
                      <w:rFonts w:ascii="CIDFont+F2" w:hAnsi="CIDFont+F2" w:eastAsia="CIDFont+F2"/>
                      <w:b w:val="0"/>
                      <w:i w:val="0"/>
                      <w:color w:val="FFFFFF"/>
                      <w:sz w:val="18"/>
                    </w:rPr>
                    <w:t>1,153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52" w:after="0"/>
              <w:ind w:left="164" w:right="0" w:firstLine="0"/>
              <w:jc w:val="left"/>
            </w:pPr>
            <w:r>
              <w:rPr>
                <w:rFonts w:ascii="CIDFont+F10" w:hAnsi="CIDFont+F10" w:eastAsia="CIDFont+F10"/>
                <w:b/>
                <w:i w:val="0"/>
                <w:color w:val="000000"/>
                <w:sz w:val="21"/>
              </w:rPr>
              <w:t>9,233</w:t>
            </w:r>
          </w:p>
        </w:tc>
      </w:tr>
      <w:tr>
        <w:trPr>
          <w:trHeight w:hRule="exact" w:val="972"/>
        </w:trPr>
        <w:tc>
          <w:tcPr>
            <w:tcW w:type="dxa" w:w="580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028.0" w:type="dxa"/>
            </w:tblPr>
            <w:tblGrid>
              <w:gridCol w:w="5804"/>
            </w:tblGrid>
            <w:tr>
              <w:trPr>
                <w:trHeight w:hRule="exact" w:val="262"/>
              </w:trPr>
              <w:tc>
                <w:tcPr>
                  <w:tcW w:type="dxa" w:w="564"/>
                  <w:tcBorders/>
                  <w:shd w:fill="b6b6b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24" w:lineRule="exact" w:before="40" w:after="0"/>
                    <w:ind w:left="0" w:right="0" w:firstLine="0"/>
                    <w:jc w:val="center"/>
                  </w:pPr>
                  <w:r>
                    <w:rPr>
                      <w:w w:val="101.9357681274414"/>
                      <w:rFonts w:ascii="CIDFont+F2" w:hAnsi="CIDFont+F2" w:eastAsia="CIDFont+F2"/>
                      <w:b w:val="0"/>
                      <w:i w:val="0"/>
                      <w:color w:val="FFFFFF"/>
                      <w:sz w:val="18"/>
                    </w:rPr>
                    <w:t>1,073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0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6" w:lineRule="exact" w:before="488" w:after="0"/>
              <w:ind w:left="164" w:right="0" w:firstLine="0"/>
              <w:jc w:val="left"/>
            </w:pPr>
            <w:r>
              <w:rPr>
                <w:rFonts w:ascii="CIDFont+F10" w:hAnsi="CIDFont+F10" w:eastAsia="CIDFont+F10"/>
                <w:b/>
                <w:i w:val="0"/>
                <w:color w:val="000000"/>
                <w:sz w:val="21"/>
              </w:rPr>
              <w:t>8,848</w:t>
            </w:r>
          </w:p>
        </w:tc>
      </w:tr>
    </w:tbl>
    <w:p>
      <w:pPr>
        <w:autoSpaceDN w:val="0"/>
        <w:autoSpaceDE w:val="0"/>
        <w:widowControl/>
        <w:spacing w:line="192" w:lineRule="exact" w:before="256" w:after="246"/>
        <w:ind w:left="348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 xml:space="preserve">Total Value of Active Grants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0.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rHeight w:hRule="exact" w:val="498"/>
        </w:trPr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332" w:after="0"/>
              <w:ind w:left="192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3A3E2D"/>
                <w:sz w:val="12"/>
              </w:rPr>
              <w:t>Dec 31 2025</w:t>
            </w:r>
          </w:p>
        </w:tc>
        <w:tc>
          <w:tcPr>
            <w:tcW w:type="dxa" w:w="22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0.0" w:type="dxa"/>
            </w:tblPr>
            <w:tblGrid>
              <w:gridCol w:w="1140"/>
              <w:gridCol w:w="1140"/>
            </w:tblGrid>
            <w:tr>
              <w:trPr>
                <w:trHeight w:hRule="exact" w:val="240"/>
              </w:trPr>
              <w:tc>
                <w:tcPr>
                  <w:tcW w:type="dxa" w:w="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92" w:lineRule="exact" w:before="0" w:after="0"/>
                    <w:ind w:left="0" w:right="0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Ind w:w="618.0000000000001" w:type="dxa"/>
                  </w:tblPr>
                  <w:tblGrid>
                    <w:gridCol w:w="700"/>
                  </w:tblGrid>
                  <w:tr>
                    <w:trPr>
                      <w:trHeight w:hRule="exact" w:val="33"/>
                    </w:trPr>
                    <w:tc>
                      <w:tcPr>
                        <w:tcW w:type="dxa" w:w="84"/>
                        <w:tcBorders/>
                        <w:tcMar>
                          <w:start w:w="0" w:type="dxa"/>
                          <w:end w:w="0" w:type="dxa"/>
                        </w:tcMar>
                      </w:tcPr>
                      <w:p/>
                    </w:tc>
                  </w:tr>
                </w:tbl>
                <w:p>
                  <w:pPr>
                    <w:autoSpaceDN w:val="0"/>
                    <w:autoSpaceDE w:val="0"/>
                    <w:widowControl/>
                    <w:spacing w:line="14" w:lineRule="exact" w:before="0" w:after="0"/>
                    <w:ind w:left="0" w:right="0"/>
                  </w:pPr>
                </w:p>
              </w:tc>
              <w:tc>
                <w:tcPr>
                  <w:tcW w:type="dxa" w:w="8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30" w:after="0"/>
                    <w:ind w:left="34" w:right="0" w:firstLine="0"/>
                    <w:jc w:val="left"/>
                  </w:pPr>
                  <w:r>
                    <w:rPr>
                      <w:rFonts w:ascii="CIDFont+F2" w:hAnsi="CIDFont+F2" w:eastAsia="CIDFont+F2"/>
                      <w:b w:val="0"/>
                      <w:i w:val="0"/>
                      <w:color w:val="00497B"/>
                      <w:sz w:val="13"/>
                    </w:rPr>
                    <w:t>BE Activities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60" w:after="0"/>
              <w:ind w:left="0" w:right="238" w:firstLine="0"/>
              <w:jc w:val="right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3"/>
              </w:rPr>
              <w:t>RE Activities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20.0" w:type="dxa"/>
            </w:tblPr>
            <w:tblGrid>
              <w:gridCol w:w="900"/>
            </w:tblGrid>
            <w:tr>
              <w:trPr>
                <w:trHeight w:hRule="exact" w:val="188"/>
              </w:trPr>
              <w:tc>
                <w:tcPr>
                  <w:tcW w:type="dxa" w:w="700"/>
                  <w:tcBorders/>
                  <w:shd w:fill="b6b6b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8" w:lineRule="exact" w:before="32" w:after="0"/>
                    <w:ind w:left="128" w:right="0" w:firstLine="0"/>
                    <w:jc w:val="lef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FFFFFF"/>
                      <w:sz w:val="15"/>
                    </w:rPr>
                    <w:t>$34,582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6" w:lineRule="exact" w:before="332" w:after="0"/>
              <w:ind w:left="0" w:right="190" w:firstLine="0"/>
              <w:jc w:val="right"/>
            </w:pPr>
            <w:r>
              <w:rPr>
                <w:rFonts w:ascii="CIDFont+F10" w:hAnsi="CIDFont+F10" w:eastAsia="CIDFont+F10"/>
                <w:b/>
                <w:i w:val="0"/>
                <w:color w:val="000000"/>
                <w:sz w:val="15"/>
              </w:rPr>
              <w:t>$42,697</w:t>
            </w:r>
          </w:p>
        </w:tc>
      </w:tr>
      <w:tr>
        <w:trPr>
          <w:trHeight w:hRule="exact" w:val="752"/>
        </w:trPr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34" w:lineRule="exact" w:before="362" w:after="0"/>
              <w:ind w:left="192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3A3E2D"/>
                <w:sz w:val="12"/>
              </w:rPr>
              <w:t>Dec 31 2024</w:t>
            </w:r>
          </w:p>
        </w:tc>
        <w:tc>
          <w:tcPr>
            <w:tcW w:type="dxa" w:w="228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0.0" w:type="dxa"/>
            </w:tblPr>
            <w:tblGrid>
              <w:gridCol w:w="1820"/>
            </w:tblGrid>
            <w:tr>
              <w:trPr>
                <w:trHeight w:hRule="exact" w:val="190"/>
              </w:trPr>
              <w:tc>
                <w:tcPr>
                  <w:tcW w:type="dxa" w:w="1180"/>
                  <w:tcBorders/>
                  <w:shd w:fill="b6b6b6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8" w:lineRule="exact" w:before="28" w:after="0"/>
                    <w:ind w:left="98" w:right="0" w:firstLine="0"/>
                    <w:jc w:val="lef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FFFFFF"/>
                      <w:sz w:val="15"/>
                    </w:rPr>
                    <w:t>$48,311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342" w:after="0"/>
              <w:ind w:left="0" w:right="148" w:firstLine="0"/>
              <w:jc w:val="right"/>
            </w:pPr>
            <w:r>
              <w:rPr>
                <w:rFonts w:ascii="CIDFont+F10" w:hAnsi="CIDFont+F10" w:eastAsia="CIDFont+F10"/>
                <w:b/>
                <w:i w:val="0"/>
                <w:color w:val="000000"/>
                <w:sz w:val="15"/>
              </w:rPr>
              <w:t>$56,103</w:t>
            </w:r>
          </w:p>
        </w:tc>
      </w:tr>
    </w:tbl>
    <w:p>
      <w:pPr>
        <w:autoSpaceDN w:val="0"/>
        <w:autoSpaceDE w:val="0"/>
        <w:widowControl/>
        <w:spacing w:line="192" w:lineRule="exact" w:before="268" w:after="204"/>
        <w:ind w:left="348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 xml:space="preserve">Top 5 Trust Funds by Grant Amount (as of December 31, 2025)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120"/>
        <w:gridCol w:w="3120"/>
        <w:gridCol w:w="3120"/>
      </w:tblGrid>
      <w:tr>
        <w:trPr>
          <w:trHeight w:hRule="exact" w:val="328"/>
        </w:trPr>
        <w:tc>
          <w:tcPr>
            <w:tcW w:type="dxa" w:w="1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60" w:after="0"/>
              <w:ind w:left="0" w:right="0" w:firstLine="0"/>
              <w:jc w:val="center"/>
            </w:pPr>
            <w:r>
              <w:rPr>
                <w:u w:val="single" w:color="4d4646"/>
                <w:w w:val="96.91084623336792"/>
                <w:rFonts w:ascii="CIDFont+F7" w:hAnsi="CIDFont+F7" w:eastAsia="CIDFont+F7"/>
                <w:b w:val="0"/>
                <w:i w:val="0"/>
                <w:color w:val="4D4746"/>
                <w:sz w:val="16"/>
              </w:rPr>
              <w:t>Program</w:t>
            </w:r>
          </w:p>
        </w:tc>
        <w:tc>
          <w:tcPr>
            <w:tcW w:type="dxa" w:w="2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60" w:after="0"/>
              <w:ind w:left="0" w:right="0" w:firstLine="0"/>
              <w:jc w:val="center"/>
            </w:pPr>
            <w:r>
              <w:rPr>
                <w:u w:val="single" w:color="4d4646"/>
                <w:w w:val="96.91084623336792"/>
                <w:rFonts w:ascii="CIDFont+F7" w:hAnsi="CIDFont+F7" w:eastAsia="CIDFont+F7"/>
                <w:b w:val="0"/>
                <w:i w:val="0"/>
                <w:color w:val="4D4746"/>
                <w:sz w:val="16"/>
              </w:rPr>
              <w:t># of Active Grants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60" w:after="0"/>
              <w:ind w:left="452" w:right="0" w:firstLine="0"/>
              <w:jc w:val="left"/>
            </w:pPr>
            <w:r>
              <w:rPr>
                <w:u w:val="single" w:color="4d4646"/>
                <w:w w:val="96.91084623336792"/>
                <w:rFonts w:ascii="CIDFont+F7" w:hAnsi="CIDFont+F7" w:eastAsia="CIDFont+F7"/>
                <w:b w:val="0"/>
                <w:i w:val="0"/>
                <w:color w:val="4D4746"/>
                <w:sz w:val="16"/>
              </w:rPr>
              <w:t>Grant Amount</w:t>
            </w:r>
          </w:p>
        </w:tc>
      </w:tr>
      <w:tr>
        <w:trPr>
          <w:trHeight w:hRule="exact" w:val="374"/>
        </w:trPr>
        <w:tc>
          <w:tcPr>
            <w:tcW w:type="dxa" w:w="138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6" w:lineRule="exact" w:before="98" w:after="0"/>
              <w:ind w:left="308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FORTIE</w:t>
            </w:r>
            <w:r>
              <w:rPr>
                <w:w w:val="102.51766551624645"/>
                <w:rFonts w:ascii="CIDFont+F7" w:hAnsi="CIDFont+F7" w:eastAsia="CIDFont+F7"/>
                <w:b w:val="0"/>
                <w:i w:val="0"/>
                <w:color w:val="4D4746"/>
                <w:sz w:val="11"/>
              </w:rPr>
              <w:t>5</w:t>
            </w:r>
          </w:p>
        </w:tc>
        <w:tc>
          <w:tcPr>
            <w:tcW w:type="dxa" w:w="21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10" w:after="0"/>
              <w:ind w:left="0" w:right="1076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5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10" w:after="0"/>
              <w:ind w:left="62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$16,002</w:t>
            </w:r>
          </w:p>
        </w:tc>
      </w:tr>
    </w:tbl>
    <w:p>
      <w:pPr>
        <w:autoSpaceDN w:val="0"/>
        <w:autoSpaceDE w:val="0"/>
        <w:widowControl/>
        <w:spacing w:line="1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4.00000000000006" w:type="dxa"/>
      </w:tblPr>
      <w:tblGrid>
        <w:gridCol w:w="9360"/>
      </w:tblGrid>
      <w:tr>
        <w:trPr>
          <w:trHeight w:hRule="exact" w:val="550"/>
        </w:trPr>
        <w:tc>
          <w:tcPr>
            <w:tcW w:type="dxa" w:w="5384"/>
            <w:tcBorders>
              <w:top w:sz="3.0" w:val="single" w:color="#000000"/>
              <w:end w:sz="5.599999999999909" w:val="single" w:color="#FFFFFF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75.99999999999994" w:type="dxa"/>
            </w:tblPr>
            <w:tblGrid>
              <w:gridCol w:w="1795"/>
              <w:gridCol w:w="1795"/>
              <w:gridCol w:w="1795"/>
            </w:tblGrid>
            <w:tr>
              <w:trPr>
                <w:trHeight w:hRule="exact" w:val="288"/>
              </w:trPr>
              <w:tc>
                <w:tcPr>
                  <w:tcW w:type="dxa" w:w="13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8" w:lineRule="exact" w:before="60" w:after="0"/>
                    <w:ind w:left="196" w:right="0" w:firstLine="0"/>
                    <w:jc w:val="lef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4D4746"/>
                      <w:sz w:val="17"/>
                    </w:rPr>
                    <w:t>ARTF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8" w:lineRule="exact" w:before="60" w:after="0"/>
                    <w:ind w:left="0" w:right="858" w:firstLine="0"/>
                    <w:jc w:val="righ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4D4746"/>
                      <w:sz w:val="17"/>
                    </w:rPr>
                    <w:t>48</w:t>
                  </w:r>
                </w:p>
              </w:tc>
              <w:tc>
                <w:tcPr>
                  <w:tcW w:type="dxa" w:w="1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8" w:lineRule="exact" w:before="60" w:after="0"/>
                    <w:ind w:left="0" w:right="352" w:firstLine="0"/>
                    <w:jc w:val="righ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4D4746"/>
                      <w:sz w:val="17"/>
                    </w:rPr>
                    <w:t>$3,113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20.0" w:type="dxa"/>
      </w:tblPr>
      <w:tblGrid>
        <w:gridCol w:w="3120"/>
        <w:gridCol w:w="3120"/>
        <w:gridCol w:w="3120"/>
      </w:tblGrid>
      <w:tr>
        <w:trPr>
          <w:trHeight w:hRule="exact" w:val="334"/>
        </w:trPr>
        <w:tc>
          <w:tcPr>
            <w:tcW w:type="dxa" w:w="15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60" w:after="0"/>
              <w:ind w:left="352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GPEF</w:t>
            </w:r>
            <w:r>
              <w:rPr>
                <w:w w:val="102.51766551624645"/>
                <w:rFonts w:ascii="CIDFont+F7" w:hAnsi="CIDFont+F7" w:eastAsia="CIDFont+F7"/>
                <w:b w:val="0"/>
                <w:i w:val="0"/>
                <w:color w:val="4D4746"/>
                <w:sz w:val="11"/>
              </w:rPr>
              <w:t>5</w:t>
            </w:r>
          </w:p>
        </w:tc>
        <w:tc>
          <w:tcPr>
            <w:tcW w:type="dxa" w:w="18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72" w:after="0"/>
              <w:ind w:left="0" w:right="838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206</w:t>
            </w:r>
          </w:p>
        </w:tc>
        <w:tc>
          <w:tcPr>
            <w:tcW w:type="dxa" w:w="3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72" w:after="0"/>
              <w:ind w:left="858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$2,646</w:t>
            </w:r>
          </w:p>
        </w:tc>
      </w:tr>
    </w:tbl>
    <w:p>
      <w:pPr>
        <w:autoSpaceDN w:val="0"/>
        <w:autoSpaceDE w:val="0"/>
        <w:widowControl/>
        <w:spacing w:line="1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4.00000000000006" w:type="dxa"/>
      </w:tblPr>
      <w:tblGrid>
        <w:gridCol w:w="9360"/>
      </w:tblGrid>
      <w:tr>
        <w:trPr>
          <w:trHeight w:hRule="exact" w:val="564"/>
        </w:trPr>
        <w:tc>
          <w:tcPr>
            <w:tcW w:type="dxa" w:w="5384"/>
            <w:tcBorders>
              <w:top w:sz="3.0" w:val="single" w:color="#000000"/>
              <w:end w:sz="5.599999999999909" w:val="single" w:color="#FFFFFF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9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215.99999999999994" w:type="dxa"/>
            </w:tblPr>
            <w:tblGrid>
              <w:gridCol w:w="1795"/>
              <w:gridCol w:w="1795"/>
              <w:gridCol w:w="1795"/>
            </w:tblGrid>
            <w:tr>
              <w:trPr>
                <w:trHeight w:hRule="exact" w:val="288"/>
              </w:trPr>
              <w:tc>
                <w:tcPr>
                  <w:tcW w:type="dxa" w:w="11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8" w:lineRule="exact" w:before="60" w:after="0"/>
                    <w:ind w:left="224" w:right="0" w:firstLine="0"/>
                    <w:jc w:val="lef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4D4746"/>
                      <w:sz w:val="17"/>
                    </w:rPr>
                    <w:t>IFC</w:t>
                  </w:r>
                </w:p>
              </w:tc>
              <w:tc>
                <w:tcPr>
                  <w:tcW w:type="dxa" w:w="1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8" w:lineRule="exact" w:before="60" w:after="0"/>
                    <w:ind w:left="0" w:right="806" w:firstLine="0"/>
                    <w:jc w:val="righ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4D4746"/>
                      <w:sz w:val="17"/>
                    </w:rPr>
                    <w:t>1,222</w:t>
                  </w:r>
                </w:p>
              </w:tc>
              <w:tc>
                <w:tcPr>
                  <w:tcW w:type="dxa" w:w="17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88" w:lineRule="exact" w:before="60" w:after="0"/>
                    <w:ind w:left="0" w:right="352" w:firstLine="0"/>
                    <w:jc w:val="right"/>
                  </w:pPr>
                  <w:r>
                    <w:rPr>
                      <w:rFonts w:ascii="CIDFont+F7" w:hAnsi="CIDFont+F7" w:eastAsia="CIDFont+F7"/>
                      <w:b w:val="0"/>
                      <w:i w:val="0"/>
                      <w:color w:val="4D4746"/>
                      <w:sz w:val="17"/>
                    </w:rPr>
                    <w:t>$1,805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44.00000000000006" w:type="dxa"/>
      </w:tblPr>
      <w:tblGrid>
        <w:gridCol w:w="3120"/>
        <w:gridCol w:w="3120"/>
        <w:gridCol w:w="3120"/>
      </w:tblGrid>
      <w:tr>
        <w:trPr>
          <w:trHeight w:hRule="exact" w:val="474"/>
        </w:trPr>
        <w:tc>
          <w:tcPr>
            <w:tcW w:type="dxa" w:w="1436"/>
            <w:tcBorders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14" w:lineRule="exact" w:before="60" w:after="0"/>
              <w:ind w:left="0" w:right="692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CIF</w:t>
            </w:r>
            <w:r>
              <w:rPr>
                <w:w w:val="102.51766551624645"/>
                <w:rFonts w:ascii="CIDFont+F7" w:hAnsi="CIDFont+F7" w:eastAsia="CIDFont+F7"/>
                <w:b w:val="0"/>
                <w:i w:val="0"/>
                <w:color w:val="4D4746"/>
                <w:sz w:val="11"/>
              </w:rPr>
              <w:t>5</w:t>
            </w:r>
          </w:p>
        </w:tc>
        <w:tc>
          <w:tcPr>
            <w:tcW w:type="dxa" w:w="1840"/>
            <w:tcBorders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72" w:after="0"/>
              <w:ind w:left="0" w:right="838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142</w:t>
            </w:r>
          </w:p>
        </w:tc>
        <w:tc>
          <w:tcPr>
            <w:tcW w:type="dxa" w:w="2118"/>
            <w:tcBorders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72" w:after="0"/>
              <w:ind w:left="0" w:right="730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4D4746"/>
                <w:sz w:val="17"/>
              </w:rPr>
              <w:t>$1,803</w:t>
            </w:r>
          </w:p>
        </w:tc>
      </w:tr>
    </w:tbl>
    <w:p>
      <w:pPr>
        <w:autoSpaceDN w:val="0"/>
        <w:autoSpaceDE w:val="0"/>
        <w:widowControl/>
        <w:spacing w:line="228" w:lineRule="exact" w:before="482" w:after="0"/>
        <w:ind w:left="348" w:right="408" w:firstLine="0"/>
        <w:jc w:val="both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As of December 2025, Ukraine has 30 active grants for RE activities totaling $17,865m and 104 grants for BE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activities amounting to $191m. The majority of RE grants in Ukraine are implemented through the FORTIE and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URTF programs. </w:t>
      </w:r>
    </w:p>
    <w:p>
      <w:pPr>
        <w:autoSpaceDN w:val="0"/>
        <w:autoSpaceDE w:val="0"/>
        <w:widowControl/>
        <w:spacing w:line="164" w:lineRule="exact" w:before="2668" w:after="0"/>
        <w:ind w:left="348" w:right="0" w:firstLine="0"/>
        <w:jc w:val="left"/>
      </w:pPr>
      <w:r>
        <w:rPr>
          <w:w w:val="105.08066813151042"/>
          <w:rFonts w:ascii="CIDFont+F8" w:hAnsi="CIDFont+F8" w:eastAsia="CIDFont+F8"/>
          <w:b w:val="0"/>
          <w:i/>
          <w:color w:val="000000"/>
          <w:sz w:val="9"/>
        </w:rPr>
        <w:t xml:space="preserve">5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>Grants shown under FORTIE, GPEF and CIF represent projects under their implementing agency/secretariat trust funds.</w:t>
      </w:r>
    </w:p>
    <w:p>
      <w:pPr>
        <w:autoSpaceDN w:val="0"/>
        <w:tabs>
          <w:tab w:pos="8726" w:val="left"/>
        </w:tabs>
        <w:autoSpaceDE w:val="0"/>
        <w:widowControl/>
        <w:spacing w:line="334" w:lineRule="exact" w:before="82" w:after="0"/>
        <w:ind w:left="348" w:right="288" w:firstLine="0"/>
        <w:jc w:val="left"/>
      </w:pPr>
      <w:r>
        <w:tab/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12 </w:t>
      </w: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autoSpaceDE w:val="0"/>
        <w:widowControl/>
        <w:spacing w:line="174" w:lineRule="exact" w:before="0" w:after="172"/>
        <w:ind w:left="0" w:right="444" w:firstLine="0"/>
        <w:jc w:val="righ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>the six months ended December 31, 2025 and 2024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2" w:lineRule="exact" w:before="0" w:after="0"/>
        <w:ind w:left="348" w:right="0" w:firstLine="0"/>
        <w:jc w:val="left"/>
      </w:pPr>
      <w:r>
        <w:rPr>
          <w:w w:val="98.65285782586962"/>
          <w:rFonts w:ascii="CIDFont+F2" w:hAnsi="CIDFont+F2" w:eastAsia="CIDFont+F2"/>
          <w:b w:val="0"/>
          <w:i w:val="0"/>
          <w:color w:val="00497B"/>
          <w:sz w:val="21"/>
        </w:rPr>
        <w:t>Key Trust Fund Activity</w:t>
      </w:r>
    </w:p>
    <w:p>
      <w:pPr>
        <w:sectPr>
          <w:type w:val="continuous"/>
          <w:pgSz w:w="12240" w:h="15840"/>
          <w:pgMar w:top="356" w:right="1440" w:bottom="112" w:left="1440" w:header="720" w:footer="720" w:gutter="0"/>
          <w:cols w:num="2" w:equalWidth="0">
            <w:col w:w="4124" w:space="0"/>
            <w:col w:w="5236" w:space="0"/>
          </w:cols>
          <w:docGrid w:linePitch="360"/>
        </w:sectPr>
      </w:pPr>
    </w:p>
    <w:p>
      <w:pPr>
        <w:autoSpaceDN w:val="0"/>
        <w:autoSpaceDE w:val="0"/>
        <w:widowControl/>
        <w:spacing w:line="172" w:lineRule="exact" w:before="0" w:after="274"/>
        <w:ind w:left="0" w:right="412" w:firstLine="0"/>
        <w:jc w:val="righ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sectPr>
          <w:type w:val="nextColumn"/>
          <w:pgSz w:w="12240" w:h="15840"/>
          <w:pgMar w:top="356" w:right="1440" w:bottom="112" w:left="1440" w:header="720" w:footer="720" w:gutter="0"/>
          <w:cols w:num="2" w:equalWidth="0">
            <w:col w:w="4124" w:space="0"/>
            <w:col w:w="5236" w:space="0"/>
          </w:cols>
          <w:docGrid w:linePitch="360"/>
        </w:sectPr>
      </w:pPr>
    </w:p>
    <w:p>
      <w:pPr>
        <w:autoSpaceDN w:val="0"/>
        <w:autoSpaceDE w:val="0"/>
        <w:widowControl/>
        <w:spacing w:line="300" w:lineRule="exact" w:before="138" w:after="0"/>
        <w:ind w:left="348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 xml:space="preserve">Disbursements and FIF Transfers </w:t>
      </w:r>
      <w:r>
        <w:rPr>
          <w:rFonts w:ascii="CIDFont+F5" w:hAnsi="CIDFont+F5" w:eastAsia="CIDFont+F5"/>
          <w:b w:val="0"/>
          <w:i w:val="0"/>
          <w:color w:val="00497B"/>
          <w:sz w:val="13"/>
        </w:rPr>
        <w:t>6</w:t>
      </w:r>
    </w:p>
    <w:p>
      <w:pPr>
        <w:autoSpaceDN w:val="0"/>
        <w:tabs>
          <w:tab w:pos="3380" w:val="left"/>
        </w:tabs>
        <w:autoSpaceDE w:val="0"/>
        <w:widowControl/>
        <w:spacing w:line="216" w:lineRule="exact" w:before="306" w:after="0"/>
        <w:ind w:left="940" w:right="0" w:firstLine="0"/>
        <w:jc w:val="left"/>
      </w:pPr>
      <w:r>
        <w:rPr>
          <w:w w:val="102.43146795975535"/>
          <w:rFonts w:ascii="CIDFont+F7" w:hAnsi="CIDFont+F7" w:eastAsia="CIDFont+F7"/>
          <w:b w:val="0"/>
          <w:i w:val="0"/>
          <w:color w:val="00497B"/>
          <w:sz w:val="19"/>
        </w:rPr>
        <w:t xml:space="preserve">YTD 2026 </w:t>
      </w:r>
      <w:r>
        <w:tab/>
      </w:r>
      <w:r>
        <w:rPr>
          <w:w w:val="102.43146795975535"/>
          <w:rFonts w:ascii="CIDFont+F7" w:hAnsi="CIDFont+F7" w:eastAsia="CIDFont+F7"/>
          <w:b w:val="0"/>
          <w:i w:val="0"/>
          <w:color w:val="00497B"/>
          <w:sz w:val="19"/>
        </w:rPr>
        <w:t>YTD 2025</w:t>
      </w:r>
    </w:p>
    <w:p>
      <w:pPr>
        <w:autoSpaceDN w:val="0"/>
        <w:tabs>
          <w:tab w:pos="2400" w:val="left"/>
          <w:tab w:pos="3230" w:val="left"/>
        </w:tabs>
        <w:autoSpaceDE w:val="0"/>
        <w:widowControl/>
        <w:spacing w:line="240" w:lineRule="auto" w:before="158" w:after="0"/>
        <w:ind w:left="792" w:right="0" w:firstLine="0"/>
        <w:jc w:val="left"/>
      </w:pPr>
      <w:r>
        <w:rPr>
          <w:w w:val="98.65519000637916"/>
          <w:rFonts w:ascii="CIDFont+F7" w:hAnsi="CIDFont+F7" w:eastAsia="CIDFont+F7"/>
          <w:b w:val="0"/>
          <w:i w:val="0"/>
          <w:color w:val="00497B"/>
          <w:sz w:val="31"/>
        </w:rPr>
        <w:t>$14,485</w:t>
      </w:r>
      <w:r>
        <w:tab/>
      </w:r>
      <w:r>
        <w:drawing>
          <wp:inline xmlns:a="http://schemas.openxmlformats.org/drawingml/2006/main" xmlns:pic="http://schemas.openxmlformats.org/drawingml/2006/picture">
            <wp:extent cx="152400" cy="889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2400" cy="88900"/>
                    </a:xfrm>
                    <a:prstGeom prst="rect"/>
                  </pic:spPr>
                </pic:pic>
              </a:graphicData>
            </a:graphic>
          </wp:inline>
        </w:drawing>
      </w:r>
      <w:r>
        <w:tab/>
      </w:r>
      <w:r>
        <w:rPr>
          <w:w w:val="98.65519000637916"/>
          <w:rFonts w:ascii="CIDFont+F7" w:hAnsi="CIDFont+F7" w:eastAsia="CIDFont+F7"/>
          <w:b w:val="0"/>
          <w:i w:val="0"/>
          <w:color w:val="00497B"/>
          <w:sz w:val="31"/>
        </w:rPr>
        <w:t>$15,640</w:t>
      </w:r>
    </w:p>
    <w:p>
      <w:pPr>
        <w:autoSpaceDN w:val="0"/>
        <w:autoSpaceDE w:val="0"/>
        <w:widowControl/>
        <w:spacing w:line="240" w:lineRule="auto" w:before="330" w:after="0"/>
        <w:ind w:left="0" w:right="0" w:firstLine="0"/>
        <w:jc w:val="center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There has been a decrease in disbursements and FIF transfers by $1,155m (    7%) during YTD FY26 as compared to </w:t>
      </w:r>
      <w:r>
        <w:drawing>
          <wp:inline xmlns:a="http://schemas.openxmlformats.org/drawingml/2006/main" xmlns:pic="http://schemas.openxmlformats.org/drawingml/2006/picture">
            <wp:extent cx="76200" cy="1524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152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8" w:lineRule="exact" w:before="0" w:after="0"/>
        <w:ind w:left="0" w:right="0" w:firstLine="0"/>
        <w:jc w:val="center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YTD FY25. Of these, FIF transfers decreased by $129m, disbursements from IBRD/IDA trust funds decreased by </w:t>
      </w:r>
    </w:p>
    <w:p>
      <w:pPr>
        <w:autoSpaceDN w:val="0"/>
        <w:autoSpaceDE w:val="0"/>
        <w:widowControl/>
        <w:spacing w:line="228" w:lineRule="exact" w:before="36" w:after="0"/>
        <w:ind w:left="348" w:right="0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$1,038m and IFC trust funds increased by $12m. </w:t>
      </w:r>
    </w:p>
    <w:p>
      <w:pPr>
        <w:autoSpaceDN w:val="0"/>
        <w:autoSpaceDE w:val="0"/>
        <w:widowControl/>
        <w:spacing w:line="240" w:lineRule="auto" w:before="28" w:after="0"/>
        <w:ind w:left="3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83200" cy="27432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0" w:after="0"/>
        <w:ind w:left="3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83200" cy="136905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83200" cy="13690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06" w:lineRule="exact" w:before="34" w:after="0"/>
        <w:ind w:left="348" w:right="0" w:firstLine="0"/>
        <w:jc w:val="left"/>
      </w:pPr>
      <w:r>
        <w:rPr>
          <w:rFonts w:ascii="CIDFont+F2" w:hAnsi="CIDFont+F2" w:eastAsia="CIDFont+F2"/>
          <w:b w:val="0"/>
          <w:i w:val="0"/>
          <w:color w:val="000000"/>
          <w:sz w:val="17"/>
        </w:rPr>
        <w:t xml:space="preserve">*Includes indirects costs of $33m for YTD FY26 ($37m for YTD FY25). </w:t>
      </w:r>
    </w:p>
    <w:p>
      <w:pPr>
        <w:autoSpaceDN w:val="0"/>
        <w:autoSpaceDE w:val="0"/>
        <w:widowControl/>
        <w:spacing w:line="230" w:lineRule="exact" w:before="228" w:after="0"/>
        <w:ind w:left="348" w:right="288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In FIF programs, the top 3 FIFs constituted 64% of the total FIF disbursements (YTD FY25 74%) of which GFATM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constituted about 41% (YTD FY25 50%). </w:t>
      </w:r>
    </w:p>
    <w:p>
      <w:pPr>
        <w:autoSpaceDN w:val="0"/>
        <w:autoSpaceDE w:val="0"/>
        <w:widowControl/>
        <w:spacing w:line="230" w:lineRule="exact" w:before="232" w:after="0"/>
        <w:ind w:left="348" w:right="346" w:firstLine="0"/>
        <w:jc w:val="both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In the IBRD/IDA TFs, disbursements for RE activities amounted to $8,992m (YTD FY25 $10,045m), with 86% of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these disbursements occurring in the ECA region (YTD FY25 71%). The decrease in RE disbursements in YTD FY26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is attributed to lower disbursements of trust funds supporting Ukraine through the SALNTF and Free Standing TF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programs by $7,295m, partially offset by increase in Disbursements through FORTIE programs by $6,371m.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Disbursements for RE activities are generally affected by the prevailing country environment, including capacity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constraints, political environment, and other factors. </w:t>
      </w:r>
    </w:p>
    <w:p>
      <w:pPr>
        <w:autoSpaceDN w:val="0"/>
        <w:autoSpaceDE w:val="0"/>
        <w:widowControl/>
        <w:spacing w:line="230" w:lineRule="exact" w:before="230" w:after="0"/>
        <w:ind w:left="348" w:right="576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Disbursements for BE activities increased by $15m (3%) in YTD FY26 when compared to YTD FY25 primarily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>due to increase in staff costs and advisory management expenses by $9m each.</w:t>
      </w:r>
    </w:p>
    <w:p>
      <w:pPr>
        <w:autoSpaceDN w:val="0"/>
        <w:autoSpaceDE w:val="0"/>
        <w:widowControl/>
        <w:spacing w:line="162" w:lineRule="exact" w:before="66" w:after="0"/>
        <w:ind w:left="348" w:right="288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________________ </w:t>
      </w:r>
      <w:r>
        <w:br/>
      </w: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>6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FIF transfers exclude transfers made from FIFs to (i) IBRD/IDA/IFC as implementing Agency (IA) (ii) IBRD/IDA for administrative expenses </w:t>
      </w:r>
    </w:p>
    <w:p>
      <w:pPr>
        <w:autoSpaceDN w:val="0"/>
        <w:autoSpaceDE w:val="0"/>
        <w:widowControl/>
        <w:spacing w:line="160" w:lineRule="exact" w:before="28" w:after="0"/>
        <w:ind w:left="348" w:right="0" w:firstLine="0"/>
        <w:jc w:val="left"/>
      </w:pP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as trustee and the expenses of in-house secretariats which are included in disbursements from IBRD/IDA trust funds. </w:t>
      </w:r>
    </w:p>
    <w:p>
      <w:pPr>
        <w:autoSpaceDN w:val="0"/>
        <w:autoSpaceDE w:val="0"/>
        <w:widowControl/>
        <w:spacing w:line="210" w:lineRule="exact" w:before="134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000000"/>
          <w:sz w:val="12"/>
        </w:rPr>
        <w:t>7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Includes disbursements by IBRD/IFC as Implementing Agency and Secretariat costs. </w:t>
      </w:r>
    </w:p>
    <w:p>
      <w:pPr>
        <w:autoSpaceDN w:val="0"/>
        <w:autoSpaceDE w:val="0"/>
        <w:widowControl/>
        <w:spacing w:line="228" w:lineRule="exact" w:before="472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13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type w:val="continuous"/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autoSpaceDE w:val="0"/>
        <w:widowControl/>
        <w:spacing w:line="174" w:lineRule="exact" w:before="0" w:after="0"/>
        <w:ind w:left="0" w:right="444" w:firstLine="0"/>
        <w:jc w:val="righ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>the six months ended December 31, 2025 and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0"/>
        <w:gridCol w:w="4680"/>
      </w:tblGrid>
      <w:tr>
        <w:trPr>
          <w:trHeight w:hRule="exact" w:val="440"/>
        </w:trPr>
        <w:tc>
          <w:tcPr>
            <w:tcW w:type="dxa" w:w="3940"/>
            <w:tcBorders>
              <w:bottom w:sz="11.200000000000045" w:val="single" w:color="#00497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72" w:after="0"/>
              <w:ind w:left="276" w:right="0" w:firstLine="0"/>
              <w:jc w:val="left"/>
            </w:pPr>
            <w:r>
              <w:rPr>
                <w:w w:val="98.65285782586962"/>
                <w:rFonts w:ascii="CIDFont+F2" w:hAnsi="CIDFont+F2" w:eastAsia="CIDFont+F2"/>
                <w:b w:val="0"/>
                <w:i w:val="0"/>
                <w:color w:val="00497B"/>
                <w:sz w:val="21"/>
              </w:rPr>
              <w:t>Key Trust Fund Activity</w:t>
            </w:r>
          </w:p>
        </w:tc>
        <w:tc>
          <w:tcPr>
            <w:tcW w:type="dxa" w:w="4966"/>
            <w:tcBorders>
              <w:bottom w:sz="11.200000000000045" w:val="single" w:color="#00497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2" w:after="0"/>
              <w:ind w:left="0" w:right="218" w:firstLine="0"/>
              <w:jc w:val="right"/>
            </w:pPr>
            <w:r>
              <w:rPr>
                <w:w w:val="101.33335930960519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All amounts in USD millions, unless otherwise noted </w:t>
            </w:r>
          </w:p>
        </w:tc>
      </w:tr>
    </w:tbl>
    <w:p>
      <w:pPr>
        <w:autoSpaceDN w:val="0"/>
        <w:autoSpaceDE w:val="0"/>
        <w:widowControl/>
        <w:spacing w:line="298" w:lineRule="exact" w:before="120" w:after="0"/>
        <w:ind w:left="536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>Undisbursed Commitments</w:t>
      </w:r>
      <w:r>
        <w:rPr>
          <w:rFonts w:ascii="CIDFont+F4" w:hAnsi="CIDFont+F4" w:eastAsia="CIDFont+F4"/>
          <w:b/>
          <w:i w:val="0"/>
          <w:color w:val="FFFFFF"/>
          <w:sz w:val="17"/>
        </w:rPr>
        <w:t>4</w:t>
      </w:r>
    </w:p>
    <w:p>
      <w:pPr>
        <w:autoSpaceDN w:val="0"/>
        <w:autoSpaceDE w:val="0"/>
        <w:widowControl/>
        <w:spacing w:line="226" w:lineRule="exact" w:before="238" w:after="198"/>
        <w:ind w:left="536" w:right="288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Commitments refer to the amount of financing approved for project(s) or activity(ies) at the grant level.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Undisbursed commitments refer to balance of commitments pending disbursement or transfers.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60.0" w:type="dxa"/>
      </w:tblPr>
      <w:tblGrid>
        <w:gridCol w:w="3120"/>
        <w:gridCol w:w="3120"/>
        <w:gridCol w:w="3120"/>
      </w:tblGrid>
      <w:tr>
        <w:trPr>
          <w:trHeight w:hRule="exact" w:val="328"/>
        </w:trPr>
        <w:tc>
          <w:tcPr>
            <w:tcW w:type="dxa" w:w="2120"/>
            <w:gridSpan w:val="2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60" w:after="0"/>
              <w:ind w:left="36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December 31, 2025</w:t>
            </w:r>
          </w:p>
        </w:tc>
        <w:tc>
          <w:tcPr>
            <w:tcW w:type="dxa" w:w="4220"/>
            <w:vMerge w:val="restart"/>
            <w:tcBorders/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70" w:val="left"/>
              </w:tabs>
              <w:autoSpaceDE w:val="0"/>
              <w:widowControl/>
              <w:spacing w:line="360" w:lineRule="exact" w:before="0" w:after="0"/>
              <w:ind w:left="44" w:right="2592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 xml:space="preserve">December 31, 2024 </w:t>
            </w:r>
            <w:r>
              <w:br/>
            </w:r>
            <w:r>
              <w:tab/>
            </w:r>
            <w:r>
              <w:rPr>
                <w:rFonts w:ascii="CIDFont+F7" w:hAnsi="CIDFont+F7" w:eastAsia="CIDFont+F7"/>
                <w:b w:val="0"/>
                <w:i w:val="0"/>
                <w:color w:val="00497B"/>
                <w:sz w:val="27"/>
              </w:rPr>
              <w:t>$51,532</w:t>
            </w:r>
          </w:p>
        </w:tc>
      </w:tr>
      <w:tr>
        <w:trPr>
          <w:trHeight w:hRule="exact" w:val="452"/>
        </w:trPr>
        <w:tc>
          <w:tcPr>
            <w:tcW w:type="dxa" w:w="172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94" w:after="0"/>
              <w:ind w:left="0" w:right="140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27"/>
              </w:rPr>
              <w:t>$38,491</w:t>
            </w:r>
          </w:p>
        </w:tc>
        <w:tc>
          <w:tcPr>
            <w:tcW w:type="dxa" w:w="40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20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27000" cy="76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000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20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40" w:lineRule="auto" w:before="94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7030" cy="114172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11417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88" w:after="0"/>
        <w:ind w:left="3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729480" cy="215519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729480" cy="215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478" w:after="0"/>
        <w:ind w:left="3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45760" cy="1569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45760" cy="156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6" w:lineRule="exact" w:before="2282" w:after="0"/>
        <w:ind w:left="348" w:right="288" w:firstLine="0"/>
        <w:jc w:val="left"/>
      </w:pP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8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For FIFs, liabilities to implementing agencies for projects, fees and administrative budgets are considered as undisbursed commitments. </w:t>
      </w: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9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The available fund balances in disbursing funds are considered as undisbursed commitments for BE activities and IFC trust funds. </w:t>
      </w: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10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>Includes undisbursed commitments of trust funds where IBRD/IFC is an Implementing Agency/Secretariat.</w:t>
      </w:r>
    </w:p>
    <w:p>
      <w:pPr>
        <w:autoSpaceDN w:val="0"/>
        <w:tabs>
          <w:tab w:pos="8728" w:val="left"/>
        </w:tabs>
        <w:autoSpaceDE w:val="0"/>
        <w:widowControl/>
        <w:spacing w:line="336" w:lineRule="exact" w:before="80" w:after="0"/>
        <w:ind w:left="348" w:right="288" w:firstLine="0"/>
        <w:jc w:val="left"/>
      </w:pPr>
      <w:r>
        <w:tab/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14 </w:t>
      </w: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31.9999999999999" w:type="dxa"/>
      </w:tblPr>
      <w:tblGrid>
        <w:gridCol w:w="4680"/>
        <w:gridCol w:w="4680"/>
      </w:tblGrid>
      <w:tr>
        <w:trPr>
          <w:trHeight w:hRule="exact" w:val="604"/>
        </w:trPr>
        <w:tc>
          <w:tcPr>
            <w:tcW w:type="dxa" w:w="2428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42" w:after="0"/>
              <w:ind w:left="4" w:right="0" w:firstLine="0"/>
              <w:jc w:val="left"/>
            </w:pPr>
            <w:r>
              <w:rPr>
                <w:w w:val="98.6471448625837"/>
                <w:rFonts w:ascii="CIDFont+F2" w:hAnsi="CIDFont+F2" w:eastAsia="CIDFont+F2"/>
                <w:b w:val="0"/>
                <w:i w:val="0"/>
                <w:color w:val="00497B"/>
                <w:sz w:val="21"/>
              </w:rPr>
              <w:t>Key Trust Fund Activity</w:t>
            </w:r>
          </w:p>
        </w:tc>
        <w:tc>
          <w:tcPr>
            <w:tcW w:type="dxa" w:w="6180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014" w:val="left"/>
              </w:tabs>
              <w:autoSpaceDE w:val="0"/>
              <w:widowControl/>
              <w:spacing w:line="172" w:lineRule="exact" w:before="2" w:after="0"/>
              <w:ind w:left="536" w:right="144" w:firstLine="0"/>
              <w:jc w:val="left"/>
            </w:pPr>
            <w:r>
              <w:rPr>
                <w:w w:val="101.32767813546317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Trust Fund Financial Information Summary for </w:t>
            </w:r>
            <w:r>
              <w:rPr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the six months ended December 31, 2025 and 2024 </w:t>
            </w:r>
            <w:r>
              <w:rPr>
                <w:w w:val="101.32767813546317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All amounts in USD millions, unless otherwise noted </w:t>
            </w:r>
          </w:p>
        </w:tc>
      </w:tr>
    </w:tbl>
    <w:p>
      <w:pPr>
        <w:autoSpaceDN w:val="0"/>
        <w:autoSpaceDE w:val="0"/>
        <w:widowControl/>
        <w:spacing w:line="298" w:lineRule="exact" w:before="138" w:after="0"/>
        <w:ind w:left="536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New Commitments </w:t>
      </w:r>
    </w:p>
    <w:p>
      <w:pPr>
        <w:autoSpaceDN w:val="0"/>
        <w:autoSpaceDE w:val="0"/>
        <w:widowControl/>
        <w:spacing w:line="228" w:lineRule="exact" w:before="304" w:after="172"/>
        <w:ind w:left="536" w:right="432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New commitments for BE activities and IFC trust funds represents the balance of unused commitments, netting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off cancellations when trust funds are closed.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4680"/>
        <w:gridCol w:w="4680"/>
      </w:tblGrid>
      <w:tr>
        <w:trPr>
          <w:trHeight w:hRule="exact" w:val="924"/>
        </w:trPr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0" w:lineRule="exact" w:before="654" w:after="0"/>
              <w:ind w:left="0" w:right="24" w:firstLine="0"/>
              <w:jc w:val="right"/>
            </w:pPr>
            <w:r>
              <w:rPr>
                <w:rFonts w:ascii="CIDFont+F4" w:hAnsi="CIDFont+F4" w:eastAsia="CIDFont+F4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5860"/>
            <w:tcBorders/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60" w:after="0"/>
              <w:ind w:left="46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896110" cy="51054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6110" cy="5105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autoSpaceDN w:val="0"/>
        <w:autoSpaceDE w:val="0"/>
        <w:widowControl/>
        <w:spacing w:line="240" w:lineRule="auto" w:before="308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585970" cy="105156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8597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74" w:after="0"/>
        <w:ind w:left="564" w:right="288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In  FIF  programs,  commitments  have decreased by 68% primarily towards FORTIS ($16,023m), PPR ($555m)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and GFATM ($467m). New commitments have increased for GCFTF ($420m), LDC ($178m) and GEF ($154m). </w:t>
      </w:r>
    </w:p>
    <w:p>
      <w:pPr>
        <w:autoSpaceDN w:val="0"/>
        <w:autoSpaceDE w:val="0"/>
        <w:widowControl/>
        <w:spacing w:line="264" w:lineRule="exact" w:before="264" w:after="0"/>
        <w:ind w:left="564" w:right="300" w:firstLine="0"/>
        <w:jc w:val="both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In IBRD/IDA TFs, commitments have decreased by 91% mainly towards FORTIE ($16,000m), SALNTF ($5,421m)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and IDASTF ($1,650m). For SALNTF, commitments have decreased primarily due to decline in commitments for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two TFs supporting Ukraine which had significant increase during previous YTD FY25. These decreases in new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commitments have been marginally offset by increase in GPEF ($90m), WBGBK($78m) and GFF ($57m). </w:t>
      </w:r>
    </w:p>
    <w:p>
      <w:pPr>
        <w:autoSpaceDN w:val="0"/>
        <w:autoSpaceDE w:val="0"/>
        <w:widowControl/>
        <w:spacing w:line="228" w:lineRule="exact" w:before="7354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15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576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54" w:lineRule="exact" w:before="290" w:after="0"/>
        <w:ind w:left="448" w:right="0" w:firstLine="0"/>
        <w:jc w:val="left"/>
      </w:pPr>
      <w:r>
        <w:rPr>
          <w:w w:val="98.6471448625837"/>
          <w:rFonts w:ascii="CIDFont+F2" w:hAnsi="CIDFont+F2" w:eastAsia="CIDFont+F2"/>
          <w:b w:val="0"/>
          <w:i w:val="0"/>
          <w:color w:val="00497B"/>
          <w:sz w:val="21"/>
        </w:rPr>
        <w:t>Key Trust Fund Activity</w:t>
      </w:r>
    </w:p>
    <w:p>
      <w:pPr>
        <w:autoSpaceDN w:val="0"/>
        <w:autoSpaceDE w:val="0"/>
        <w:widowControl/>
        <w:spacing w:line="298" w:lineRule="exact" w:before="142" w:after="0"/>
        <w:ind w:left="448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New Administration Agreements </w:t>
      </w:r>
    </w:p>
    <w:p>
      <w:pPr>
        <w:autoSpaceDN w:val="0"/>
        <w:autoSpaceDE w:val="0"/>
        <w:widowControl/>
        <w:spacing w:line="228" w:lineRule="exact" w:before="236" w:after="0"/>
        <w:ind w:left="448" w:right="650" w:firstLine="0"/>
        <w:jc w:val="both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New administration agreements signed between the Bank Group and DPs represents contributions made to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new trust funds and additional contributions made to existing trust funds. These are presented net of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cancellations. Negative amounts represent cancellations in excess of additional contributions during the period. </w:t>
      </w:r>
    </w:p>
    <w:p>
      <w:pPr>
        <w:autoSpaceDN w:val="0"/>
        <w:autoSpaceDE w:val="0"/>
        <w:widowControl/>
        <w:spacing w:line="240" w:lineRule="auto" w:before="228" w:after="0"/>
        <w:ind w:left="4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1830070" cy="51308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30070" cy="513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310" w:after="0"/>
        <w:ind w:left="4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10200" cy="103251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10200" cy="1032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2" w:lineRule="exact" w:before="230" w:after="0"/>
        <w:ind w:left="448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 xml:space="preserve">Top 10 Sovereign Countries and EU </w:t>
      </w:r>
    </w:p>
    <w:p>
      <w:pPr>
        <w:autoSpaceDN w:val="0"/>
        <w:autoSpaceDE w:val="0"/>
        <w:widowControl/>
        <w:spacing w:line="240" w:lineRule="auto" w:before="252" w:after="0"/>
        <w:ind w:left="4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330189" cy="434213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330189" cy="4342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52" w:lineRule="exact" w:before="604" w:after="0"/>
        <w:ind w:left="348" w:right="0" w:firstLine="0"/>
        <w:jc w:val="left"/>
      </w:pPr>
      <w:r>
        <w:rPr>
          <w:w w:val="98.6471448625837"/>
          <w:rFonts w:ascii="CIDFont+F2" w:hAnsi="CIDFont+F2" w:eastAsia="CIDFont+F2"/>
          <w:b w:val="0"/>
          <w:i w:val="0"/>
          <w:color w:val="00497B"/>
          <w:sz w:val="21"/>
        </w:rPr>
        <w:t xml:space="preserve">__________________ </w:t>
      </w:r>
    </w:p>
    <w:p>
      <w:pPr>
        <w:autoSpaceDN w:val="0"/>
        <w:autoSpaceDE w:val="0"/>
        <w:widowControl/>
        <w:spacing w:line="162" w:lineRule="exact" w:before="40" w:after="0"/>
        <w:ind w:left="348" w:right="0" w:firstLine="0"/>
        <w:jc w:val="left"/>
      </w:pPr>
      <w:r>
        <w:rPr>
          <w:w w:val="105.08066813151042"/>
          <w:rFonts w:ascii="CIDFont+F8" w:hAnsi="CIDFont+F8" w:eastAsia="CIDFont+F8"/>
          <w:b w:val="0"/>
          <w:i/>
          <w:color w:val="000000"/>
          <w:sz w:val="9"/>
        </w:rPr>
        <w:t>11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Other DPs includes multilateral development banks, United Nations agencies, and public and private institutions. Out of the total 1,628m </w:t>
      </w:r>
    </w:p>
    <w:p>
      <w:pPr>
        <w:autoSpaceDN w:val="0"/>
        <w:autoSpaceDE w:val="0"/>
        <w:widowControl/>
        <w:spacing w:line="158" w:lineRule="exact" w:before="30" w:after="0"/>
        <w:ind w:left="348" w:right="0" w:firstLine="0"/>
        <w:jc w:val="left"/>
      </w:pP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in Other DPs (YTD FY25 $2,956m), $1,278m pertains to GFATM Secretariat (YTD FY25 $2,555m). </w:t>
      </w:r>
    </w:p>
    <w:p>
      <w:pPr>
        <w:autoSpaceDN w:val="0"/>
        <w:autoSpaceDE w:val="0"/>
        <w:widowControl/>
        <w:spacing w:line="228" w:lineRule="exact" w:before="354" w:after="0"/>
        <w:ind w:left="0" w:right="618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16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224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4" w:lineRule="exact" w:before="0" w:after="0"/>
        <w:ind w:left="3500" w:right="288" w:firstLine="0"/>
        <w:jc w:val="lef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52" w:lineRule="exact" w:before="186" w:after="0"/>
        <w:ind w:left="348" w:right="0" w:firstLine="0"/>
        <w:jc w:val="left"/>
      </w:pPr>
      <w:r>
        <w:rPr>
          <w:w w:val="98.65285782586962"/>
          <w:rFonts w:ascii="CIDFont+F2" w:hAnsi="CIDFont+F2" w:eastAsia="CIDFont+F2"/>
          <w:b w:val="0"/>
          <w:i w:val="0"/>
          <w:color w:val="00497B"/>
          <w:sz w:val="21"/>
        </w:rPr>
        <w:t>Key Trust Fund Activity</w:t>
      </w:r>
    </w:p>
    <w:p>
      <w:pPr>
        <w:autoSpaceDN w:val="0"/>
        <w:autoSpaceDE w:val="0"/>
        <w:widowControl/>
        <w:spacing w:line="300" w:lineRule="exact" w:before="144" w:after="0"/>
        <w:ind w:left="348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 xml:space="preserve">New Administration Agreements (Cont’d) </w:t>
      </w:r>
    </w:p>
    <w:p>
      <w:pPr>
        <w:autoSpaceDN w:val="0"/>
        <w:autoSpaceDE w:val="0"/>
        <w:widowControl/>
        <w:spacing w:line="240" w:lineRule="auto" w:before="148" w:after="0"/>
        <w:ind w:left="3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974590" cy="1905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4590" cy="19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04" w:after="0"/>
        <w:ind w:left="3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45760" cy="392556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45760" cy="3925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30" w:lineRule="exact" w:before="260" w:after="0"/>
        <w:ind w:left="348" w:right="298" w:firstLine="0"/>
        <w:jc w:val="both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In FIF programs, during YTD FY26, new agreements were signed by Germany and EC towards GPEF for $457m and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Canada towards FORTIS for $146m, constituting 22% of the total FIF agreements for YTD FY26. Decline in new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agreements during YTD FY26 was due to $20,000m signed by United States towards FORTIS during YTD FY25. New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agreements have also declined in YTD FY26 for GCFTF by $4,646m and GFATM by $1,277m. </w:t>
      </w:r>
    </w:p>
    <w:p>
      <w:pPr>
        <w:autoSpaceDN w:val="0"/>
        <w:autoSpaceDE w:val="0"/>
        <w:widowControl/>
        <w:spacing w:line="228" w:lineRule="exact" w:before="234" w:after="0"/>
        <w:ind w:left="348" w:right="298" w:firstLine="0"/>
        <w:jc w:val="both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In IBRD/IDA TFs, the decrease during YTD FY26 was due to decline in SALNTF new agreements by $7,133m mainly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towards trust funds supporting Ukraine, such as the Co-financing of the public expenditures for administrative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capacity endurance MDTF, and Advancing needed credit enhancement SDTF. There has also been a decrease in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new agreements for IDASTF during YTD FY26 by $1,594m. </w:t>
      </w:r>
    </w:p>
    <w:p>
      <w:pPr>
        <w:autoSpaceDN w:val="0"/>
        <w:autoSpaceDE w:val="0"/>
        <w:widowControl/>
        <w:spacing w:line="164" w:lineRule="exact" w:before="296" w:after="0"/>
        <w:ind w:left="348" w:right="288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__________________ </w:t>
      </w:r>
      <w:r>
        <w:br/>
      </w: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12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Other DPs include multilateral development banks, United Nations agencies, and public and private institutions. Out of the total 1,628m in </w:t>
      </w:r>
    </w:p>
    <w:p>
      <w:pPr>
        <w:autoSpaceDN w:val="0"/>
        <w:autoSpaceDE w:val="0"/>
        <w:widowControl/>
        <w:spacing w:line="158" w:lineRule="exact" w:before="26" w:after="0"/>
        <w:ind w:left="348" w:right="0" w:firstLine="0"/>
        <w:jc w:val="left"/>
      </w:pP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Other DPs (YTD FY25 $2,956m), $1,278m pertains to GFATM Secretariat (YTD FY25 $2,555m). </w:t>
      </w:r>
    </w:p>
    <w:p>
      <w:pPr>
        <w:autoSpaceDN w:val="0"/>
        <w:autoSpaceDE w:val="0"/>
        <w:widowControl/>
        <w:spacing w:line="228" w:lineRule="exact" w:before="440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17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4" w:lineRule="exact" w:before="0" w:after="0"/>
        <w:ind w:left="3500" w:right="288" w:firstLine="0"/>
        <w:jc w:val="lef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404" w:lineRule="exact" w:before="198" w:after="316"/>
        <w:ind w:left="448" w:right="6192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1F497D"/>
          <w:sz w:val="19"/>
        </w:rPr>
        <w:t xml:space="preserve">Contribution and Receivables </w:t>
      </w:r>
      <w:r>
        <w:br/>
      </w:r>
      <w:r>
        <w:rPr>
          <w:w w:val="101.33307530329778"/>
          <w:rFonts w:ascii="CIDFont+F4" w:hAnsi="CIDFont+F4" w:eastAsia="CIDFont+F4"/>
          <w:b/>
          <w:i w:val="0"/>
          <w:color w:val="1F497D"/>
          <w:sz w:val="26"/>
        </w:rPr>
        <w:t xml:space="preserve">Cash Contributions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120"/>
        <w:gridCol w:w="3120"/>
        <w:gridCol w:w="3120"/>
      </w:tblGrid>
      <w:tr>
        <w:trPr>
          <w:trHeight w:hRule="exact" w:val="378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0" w:right="102" w:firstLine="0"/>
              <w:jc w:val="right"/>
            </w:pPr>
            <w:r>
              <w:rPr>
                <w:w w:val="101.62356376647949"/>
                <w:rFonts w:ascii="CIDFont+F7" w:hAnsi="CIDFont+F7" w:eastAsia="CIDFont+F7"/>
                <w:b w:val="0"/>
                <w:i w:val="0"/>
                <w:color w:val="00497B"/>
                <w:sz w:val="20"/>
              </w:rPr>
              <w:t>YTD FY26</w:t>
            </w:r>
          </w:p>
        </w:tc>
        <w:tc>
          <w:tcPr>
            <w:tcW w:type="dxa" w:w="6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598" w:after="0"/>
              <w:ind w:left="0" w:right="0" w:firstLine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4000" cy="101600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000" cy="101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60" w:after="0"/>
              <w:ind w:left="262" w:right="0" w:firstLine="0"/>
              <w:jc w:val="left"/>
            </w:pPr>
            <w:r>
              <w:rPr>
                <w:w w:val="101.62356376647949"/>
                <w:rFonts w:ascii="CIDFont+F7" w:hAnsi="CIDFont+F7" w:eastAsia="CIDFont+F7"/>
                <w:b w:val="0"/>
                <w:i w:val="0"/>
                <w:color w:val="00497B"/>
                <w:sz w:val="20"/>
              </w:rPr>
              <w:t>YTD FY25</w:t>
            </w:r>
          </w:p>
        </w:tc>
      </w:tr>
      <w:tr>
        <w:trPr>
          <w:trHeight w:hRule="exact" w:val="532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18" w:after="0"/>
              <w:ind w:left="0" w:right="142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32"/>
              </w:rPr>
              <w:t>$8,144</w:t>
            </w:r>
          </w:p>
        </w:tc>
        <w:tc>
          <w:tcPr>
            <w:tcW w:type="dxa" w:w="3120"/>
            <w:vMerge/>
            <w:tcBorders/>
          </w:tcPr>
          <w:p/>
        </w:tc>
        <w:tc>
          <w:tcPr>
            <w:tcW w:type="dxa" w:w="3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4" w:lineRule="exact" w:before="118" w:after="0"/>
              <w:ind w:left="116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32"/>
              </w:rPr>
              <w:t>$36,663</w:t>
            </w:r>
          </w:p>
        </w:tc>
      </w:tr>
    </w:tbl>
    <w:p>
      <w:pPr>
        <w:autoSpaceDN w:val="0"/>
        <w:autoSpaceDE w:val="0"/>
        <w:widowControl/>
        <w:spacing w:line="240" w:lineRule="auto" w:before="106" w:after="0"/>
        <w:ind w:left="4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47030" cy="117474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117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2" w:lineRule="exact" w:before="424" w:after="0"/>
        <w:ind w:left="448" w:right="0" w:firstLine="0"/>
        <w:jc w:val="left"/>
      </w:pPr>
      <w:r>
        <w:rPr>
          <w:w w:val="98.37079299123663"/>
          <w:rFonts w:ascii="CIDFont+F4" w:hAnsi="CIDFont+F4" w:eastAsia="CIDFont+F4"/>
          <w:b/>
          <w:i w:val="0"/>
          <w:color w:val="1F497D"/>
          <w:sz w:val="19"/>
        </w:rPr>
        <w:t xml:space="preserve">Top 10 Sovereign Countries and EU </w:t>
      </w:r>
    </w:p>
    <w:p>
      <w:pPr>
        <w:autoSpaceDN w:val="0"/>
        <w:autoSpaceDE w:val="0"/>
        <w:widowControl/>
        <w:spacing w:line="240" w:lineRule="auto" w:before="0" w:after="0"/>
        <w:ind w:left="4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40680" cy="207518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2075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0" w:after="0"/>
        <w:ind w:left="45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440680" cy="207263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2072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74" w:lineRule="exact" w:before="1606" w:after="0"/>
        <w:ind w:left="448" w:right="144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__________________ </w:t>
      </w:r>
      <w:r>
        <w:br/>
      </w: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13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Other DPs include multilateral development banks, United Nations agencies, and public and private institutions. Out of the total $1,627m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in Other DPs (YTD FY25 $2,771 m), $1,336m pertains to GFATM Secretariat (YTD FY25 $2,555m). </w:t>
      </w:r>
    </w:p>
    <w:p>
      <w:pPr>
        <w:autoSpaceDN w:val="0"/>
        <w:autoSpaceDE w:val="0"/>
        <w:widowControl/>
        <w:spacing w:line="228" w:lineRule="exact" w:before="508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18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autoSpaceDE w:val="0"/>
        <w:widowControl/>
        <w:spacing w:line="174" w:lineRule="exact" w:before="0" w:after="0"/>
        <w:ind w:left="0" w:right="616" w:firstLine="0"/>
        <w:jc w:val="righ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>the six months ended December 31, 2025 and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1.9999999999999" w:type="dxa"/>
      </w:tblPr>
      <w:tblGrid>
        <w:gridCol w:w="4766"/>
        <w:gridCol w:w="4766"/>
      </w:tblGrid>
      <w:tr>
        <w:trPr>
          <w:trHeight w:hRule="exact" w:val="432"/>
        </w:trPr>
        <w:tc>
          <w:tcPr>
            <w:tcW w:type="dxa" w:w="3998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70" w:after="0"/>
              <w:ind w:left="6" w:right="0" w:firstLine="0"/>
              <w:jc w:val="left"/>
            </w:pPr>
            <w:r>
              <w:rPr>
                <w:w w:val="98.65285782586962"/>
                <w:rFonts w:ascii="CIDFont+F2" w:hAnsi="CIDFont+F2" w:eastAsia="CIDFont+F2"/>
                <w:b w:val="0"/>
                <w:i w:val="0"/>
                <w:color w:val="00497B"/>
                <w:sz w:val="21"/>
              </w:rPr>
              <w:t>Contribution and Receivables</w:t>
            </w:r>
          </w:p>
        </w:tc>
        <w:tc>
          <w:tcPr>
            <w:tcW w:type="dxa" w:w="4800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2" w:after="0"/>
              <w:ind w:left="0" w:right="292" w:firstLine="0"/>
              <w:jc w:val="right"/>
            </w:pPr>
            <w:r>
              <w:rPr>
                <w:w w:val="101.33335930960519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All amounts in USD millions, unless otherwise noted </w:t>
            </w:r>
          </w:p>
        </w:tc>
      </w:tr>
    </w:tbl>
    <w:p>
      <w:pPr>
        <w:autoSpaceDN w:val="0"/>
        <w:autoSpaceDE w:val="0"/>
        <w:widowControl/>
        <w:spacing w:line="298" w:lineRule="exact" w:before="138" w:after="0"/>
        <w:ind w:left="448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 xml:space="preserve">Cash Contributions (cont’d) </w:t>
      </w:r>
    </w:p>
    <w:p>
      <w:pPr>
        <w:autoSpaceDN w:val="0"/>
        <w:autoSpaceDE w:val="0"/>
        <w:widowControl/>
        <w:spacing w:line="192" w:lineRule="exact" w:before="110" w:after="258"/>
        <w:ind w:left="448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>Contributions received from WBG and Other DPs</w:t>
      </w:r>
      <w:r>
        <w:rPr>
          <w:w w:val="97.58049647013345"/>
          <w:rFonts w:ascii="CIDFont+F4" w:hAnsi="CIDFont+F4" w:eastAsia="CIDFont+F4"/>
          <w:b/>
          <w:i w:val="0"/>
          <w:color w:val="FFFFFF"/>
          <w:sz w:val="3"/>
        </w:rPr>
        <w:t>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78.0000000000001" w:type="dxa"/>
      </w:tblPr>
      <w:tblGrid>
        <w:gridCol w:w="3177"/>
        <w:gridCol w:w="3177"/>
        <w:gridCol w:w="3177"/>
      </w:tblGrid>
      <w:tr>
        <w:trPr>
          <w:trHeight w:hRule="exact" w:val="236"/>
        </w:trPr>
        <w:tc>
          <w:tcPr>
            <w:tcW w:type="dxa" w:w="2126"/>
            <w:vMerge w:val="restart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  <w:tc>
          <w:tcPr>
            <w:tcW w:type="dxa" w:w="26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w w:val="101.67088508605957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YTD FY26</w:t>
            </w:r>
          </w:p>
        </w:tc>
        <w:tc>
          <w:tcPr>
            <w:tcW w:type="dxa" w:w="25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6" w:after="0"/>
              <w:ind w:left="0" w:right="0" w:firstLine="0"/>
              <w:jc w:val="center"/>
            </w:pPr>
            <w:r>
              <w:rPr>
                <w:w w:val="101.67088508605957"/>
                <w:rFonts w:ascii="CIDFont+F7" w:hAnsi="CIDFont+F7" w:eastAsia="CIDFont+F7"/>
                <w:b w:val="0"/>
                <w:i w:val="0"/>
                <w:color w:val="00497B"/>
                <w:sz w:val="14"/>
              </w:rPr>
              <w:t>YTD FY25</w:t>
            </w:r>
          </w:p>
        </w:tc>
      </w:tr>
      <w:tr>
        <w:trPr>
          <w:trHeight w:hRule="exact" w:val="474"/>
        </w:trPr>
        <w:tc>
          <w:tcPr>
            <w:tcW w:type="dxa" w:w="3177"/>
            <w:vMerge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</w:tcPr>
          <w:p/>
        </w:tc>
        <w:tc>
          <w:tcPr>
            <w:tcW w:type="dxa" w:w="26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.999999999999886" w:type="dxa"/>
            </w:tblPr>
            <w:tblGrid>
              <w:gridCol w:w="874"/>
              <w:gridCol w:w="874"/>
              <w:gridCol w:w="874"/>
            </w:tblGrid>
            <w:tr>
              <w:trPr>
                <w:trHeight w:hRule="exact" w:val="258"/>
              </w:trPr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16" w:right="0" w:firstLine="0"/>
                    <w:jc w:val="left"/>
                  </w:pPr>
                  <w:r>
                    <w:rPr>
                      <w:w w:val="101.67088508605957"/>
                      <w:rFonts w:ascii="CIDFont+F7" w:hAnsi="CIDFont+F7" w:eastAsia="CIDFont+F7"/>
                      <w:b w:val="0"/>
                      <w:i w:val="0"/>
                      <w:color w:val="00497B"/>
                      <w:sz w:val="14"/>
                    </w:rPr>
                    <w:t>Multi-Donor</w:t>
                  </w:r>
                </w:p>
              </w:tc>
              <w:tc>
                <w:tcPr>
                  <w:tcW w:type="dxa" w:w="11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0" w:firstLine="0"/>
                    <w:jc w:val="center"/>
                  </w:pPr>
                  <w:r>
                    <w:rPr>
                      <w:w w:val="101.67088508605957"/>
                      <w:rFonts w:ascii="CIDFont+F7" w:hAnsi="CIDFont+F7" w:eastAsia="CIDFont+F7"/>
                      <w:b w:val="0"/>
                      <w:i w:val="0"/>
                      <w:color w:val="00497B"/>
                      <w:sz w:val="14"/>
                    </w:rPr>
                    <w:t>Single Donor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0" w:firstLine="0"/>
                    <w:jc w:val="center"/>
                  </w:pPr>
                  <w:r>
                    <w:rPr>
                      <w:w w:val="101.67088508605957"/>
                      <w:rFonts w:ascii="CIDFont+F7" w:hAnsi="CIDFont+F7" w:eastAsia="CIDFont+F7"/>
                      <w:b w:val="0"/>
                      <w:i w:val="0"/>
                      <w:color w:val="00497B"/>
                      <w:sz w:val="14"/>
                    </w:rPr>
                    <w:t>Total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0.0" w:type="dxa"/>
            </w:tblPr>
            <w:tblGrid>
              <w:gridCol w:w="851"/>
              <w:gridCol w:w="851"/>
              <w:gridCol w:w="851"/>
            </w:tblGrid>
            <w:tr>
              <w:trPr>
                <w:trHeight w:hRule="exact" w:val="258"/>
              </w:trPr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0" w:firstLine="0"/>
                    <w:jc w:val="center"/>
                  </w:pPr>
                  <w:r>
                    <w:rPr>
                      <w:w w:val="101.67088508605957"/>
                      <w:rFonts w:ascii="CIDFont+F7" w:hAnsi="CIDFont+F7" w:eastAsia="CIDFont+F7"/>
                      <w:b w:val="0"/>
                      <w:i w:val="0"/>
                      <w:color w:val="00497B"/>
                      <w:sz w:val="14"/>
                    </w:rPr>
                    <w:t>Multi-Donor</w:t>
                  </w:r>
                </w:p>
              </w:tc>
              <w:tc>
                <w:tcPr>
                  <w:tcW w:type="dxa" w:w="10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0" w:firstLine="0"/>
                    <w:jc w:val="center"/>
                  </w:pPr>
                  <w:r>
                    <w:rPr>
                      <w:w w:val="101.67088508605957"/>
                      <w:rFonts w:ascii="CIDFont+F7" w:hAnsi="CIDFont+F7" w:eastAsia="CIDFont+F7"/>
                      <w:b w:val="0"/>
                      <w:i w:val="0"/>
                      <w:color w:val="00497B"/>
                      <w:sz w:val="14"/>
                    </w:rPr>
                    <w:t>Single-Donor</w:t>
                  </w:r>
                </w:p>
              </w:tc>
              <w:tc>
                <w:tcPr>
                  <w:tcW w:type="dxa" w:w="5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0" w:firstLine="0"/>
                    <w:jc w:val="center"/>
                  </w:pPr>
                  <w:r>
                    <w:rPr>
                      <w:w w:val="101.67088508605957"/>
                      <w:rFonts w:ascii="CIDFont+F7" w:hAnsi="CIDFont+F7" w:eastAsia="CIDFont+F7"/>
                      <w:b w:val="0"/>
                      <w:i w:val="0"/>
                      <w:color w:val="00497B"/>
                      <w:sz w:val="14"/>
                    </w:rPr>
                    <w:t>Total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75"/>
        </w:trPr>
        <w:tc>
          <w:tcPr>
            <w:tcW w:type="dxa" w:w="212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40" w:after="0"/>
              <w:ind w:left="30" w:right="0" w:firstLine="0"/>
              <w:jc w:val="left"/>
            </w:pPr>
            <w:r>
              <w:rPr>
                <w:w w:val="101.67088508605957"/>
                <w:rFonts w:ascii="CIDFont+F10" w:hAnsi="CIDFont+F10" w:eastAsia="CIDFont+F10"/>
                <w:b/>
                <w:i w:val="0"/>
                <w:color w:val="636363"/>
                <w:sz w:val="14"/>
              </w:rPr>
              <w:t>WBG</w:t>
            </w:r>
          </w:p>
        </w:tc>
        <w:tc>
          <w:tcPr>
            <w:tcW w:type="dxa" w:w="26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71.9999999999999" w:type="dxa"/>
            </w:tblPr>
            <w:tblGrid>
              <w:gridCol w:w="874"/>
              <w:gridCol w:w="874"/>
              <w:gridCol w:w="874"/>
            </w:tblGrid>
            <w:tr>
              <w:trPr>
                <w:trHeight w:hRule="exact" w:val="258"/>
              </w:trPr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176" w:right="0" w:firstLine="0"/>
                    <w:jc w:val="lef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$30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230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$425</w:t>
                  </w:r>
                </w:p>
              </w:tc>
              <w:tc>
                <w:tcPr>
                  <w:tcW w:type="dxa" w:w="6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90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$455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0.0" w:type="dxa"/>
            </w:tblPr>
            <w:tblGrid>
              <w:gridCol w:w="851"/>
              <w:gridCol w:w="851"/>
              <w:gridCol w:w="851"/>
            </w:tblGrid>
            <w:tr>
              <w:trPr>
                <w:trHeight w:hRule="exact" w:val="258"/>
              </w:trPr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164" w:right="0" w:firstLine="0"/>
                    <w:jc w:val="lef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$32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244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$508</w:t>
                  </w:r>
                </w:p>
              </w:tc>
              <w:tc>
                <w:tcPr>
                  <w:tcW w:type="dxa" w:w="6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60" w:after="0"/>
                    <w:ind w:left="0" w:right="86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$540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955"/>
        </w:trPr>
        <w:tc>
          <w:tcPr>
            <w:tcW w:type="dxa" w:w="212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0" w:lineRule="exact" w:before="138" w:after="0"/>
              <w:ind w:left="30" w:right="0" w:firstLine="0"/>
              <w:jc w:val="left"/>
            </w:pPr>
            <w:r>
              <w:rPr>
                <w:w w:val="101.67088508605957"/>
                <w:rFonts w:ascii="CIDFont+F10" w:hAnsi="CIDFont+F10" w:eastAsia="CIDFont+F10"/>
                <w:b/>
                <w:i w:val="0"/>
                <w:color w:val="636363"/>
                <w:sz w:val="14"/>
              </w:rPr>
              <w:t>IBRD</w:t>
            </w:r>
          </w:p>
          <w:p>
            <w:pPr>
              <w:autoSpaceDN w:val="0"/>
              <w:autoSpaceDE w:val="0"/>
              <w:widowControl/>
              <w:spacing w:line="158" w:lineRule="exact" w:before="314" w:after="0"/>
              <w:ind w:left="30" w:right="0" w:firstLine="0"/>
              <w:jc w:val="left"/>
            </w:pPr>
            <w:r>
              <w:rPr>
                <w:w w:val="101.67088508605957"/>
                <w:rFonts w:ascii="CIDFont+F10" w:hAnsi="CIDFont+F10" w:eastAsia="CIDFont+F10"/>
                <w:b/>
                <w:i w:val="0"/>
                <w:color w:val="636363"/>
                <w:sz w:val="14"/>
              </w:rPr>
              <w:t>IFC</w:t>
            </w:r>
          </w:p>
        </w:tc>
        <w:tc>
          <w:tcPr>
            <w:tcW w:type="dxa" w:w="26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91.9999999999999" w:type="dxa"/>
            </w:tblPr>
            <w:tblGrid>
              <w:gridCol w:w="874"/>
              <w:gridCol w:w="874"/>
              <w:gridCol w:w="874"/>
            </w:tblGrid>
            <w:tr>
              <w:trPr>
                <w:trHeight w:hRule="exact" w:val="374"/>
              </w:trPr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382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30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282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425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102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455</w:t>
                  </w:r>
                </w:p>
              </w:tc>
            </w:tr>
            <w:tr>
              <w:trPr>
                <w:trHeight w:hRule="exact" w:val="358"/>
              </w:trPr>
              <w:tc>
                <w:tcPr>
                  <w:tcW w:type="dxa" w:w="7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160" w:after="0"/>
                    <w:ind w:left="0" w:right="438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-</w:t>
                  </w:r>
                </w:p>
              </w:tc>
              <w:tc>
                <w:tcPr>
                  <w:tcW w:type="dxa" w:w="9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160" w:after="0"/>
                    <w:ind w:left="0" w:right="384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-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160" w:after="0"/>
                    <w:ind w:left="0" w:right="206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-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70.0" w:type="dxa"/>
            </w:tblPr>
            <w:tblGrid>
              <w:gridCol w:w="851"/>
              <w:gridCol w:w="851"/>
              <w:gridCol w:w="851"/>
            </w:tblGrid>
            <w:tr>
              <w:trPr>
                <w:trHeight w:hRule="exact" w:val="374"/>
              </w:trPr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356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32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270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505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92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537</w:t>
                  </w:r>
                </w:p>
              </w:tc>
            </w:tr>
            <w:tr>
              <w:trPr>
                <w:trHeight w:hRule="exact" w:val="358"/>
              </w:trPr>
              <w:tc>
                <w:tcPr>
                  <w:tcW w:type="dxa" w:w="72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160" w:after="0"/>
                    <w:ind w:left="0" w:right="410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-</w:t>
                  </w:r>
                </w:p>
              </w:tc>
              <w:tc>
                <w:tcPr>
                  <w:tcW w:type="dxa" w:w="9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160" w:after="0"/>
                    <w:ind w:left="0" w:right="352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3</w:t>
                  </w:r>
                </w:p>
              </w:tc>
              <w:tc>
                <w:tcPr>
                  <w:tcW w:type="dxa" w:w="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58" w:lineRule="exact" w:before="160" w:after="0"/>
                    <w:ind w:left="0" w:right="176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67"/>
        </w:trPr>
        <w:tc>
          <w:tcPr>
            <w:tcW w:type="dxa" w:w="212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4" w:lineRule="exact" w:before="120" w:after="0"/>
              <w:ind w:left="30" w:right="0" w:firstLine="0"/>
              <w:jc w:val="left"/>
            </w:pPr>
            <w:r>
              <w:rPr>
                <w:w w:val="101.67088508605957"/>
                <w:rFonts w:ascii="CIDFont+F10" w:hAnsi="CIDFont+F10" w:eastAsia="CIDFont+F10"/>
                <w:b/>
                <w:i w:val="0"/>
                <w:color w:val="636363"/>
                <w:sz w:val="14"/>
              </w:rPr>
              <w:t xml:space="preserve">Other DPs </w:t>
            </w:r>
            <w:r>
              <w:rPr>
                <w:w w:val="105.43647342258029"/>
                <w:rFonts w:ascii="CIDFont+F10" w:hAnsi="CIDFont+F10" w:eastAsia="CIDFont+F10"/>
                <w:b/>
                <w:i w:val="0"/>
                <w:color w:val="4D4746"/>
                <w:sz w:val="9"/>
              </w:rPr>
              <w:t>14</w:t>
            </w:r>
          </w:p>
        </w:tc>
        <w:tc>
          <w:tcPr>
            <w:tcW w:type="dxa" w:w="26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11.99999999999989" w:type="dxa"/>
            </w:tblPr>
            <w:tblGrid>
              <w:gridCol w:w="874"/>
              <w:gridCol w:w="874"/>
              <w:gridCol w:w="874"/>
            </w:tblGrid>
            <w:tr>
              <w:trPr>
                <w:trHeight w:hRule="exact" w:val="260"/>
              </w:trPr>
              <w:tc>
                <w:tcPr>
                  <w:tcW w:type="dxa" w:w="8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128" w:right="0" w:firstLine="0"/>
                    <w:jc w:val="lef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$1,604</w:t>
                  </w:r>
                </w:p>
              </w:tc>
              <w:tc>
                <w:tcPr>
                  <w:tcW w:type="dxa" w:w="80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224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$23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52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$1,627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25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7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90.0" w:type="dxa"/>
            </w:tblPr>
            <w:tblGrid>
              <w:gridCol w:w="851"/>
              <w:gridCol w:w="851"/>
              <w:gridCol w:w="851"/>
            </w:tblGrid>
            <w:tr>
              <w:trPr>
                <w:trHeight w:hRule="exact" w:val="260"/>
              </w:trPr>
              <w:tc>
                <w:tcPr>
                  <w:tcW w:type="dxa" w:w="86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116" w:right="0" w:firstLine="0"/>
                    <w:jc w:val="lef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$2,759</w:t>
                  </w:r>
                </w:p>
              </w:tc>
              <w:tc>
                <w:tcPr>
                  <w:tcW w:type="dxa" w:w="78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0" w:firstLine="0"/>
                    <w:jc w:val="center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$12</w:t>
                  </w:r>
                </w:p>
              </w:tc>
              <w:tc>
                <w:tcPr>
                  <w:tcW w:type="dxa" w:w="7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60" w:lineRule="exact" w:before="60" w:after="0"/>
                    <w:ind w:left="0" w:right="48" w:firstLine="0"/>
                    <w:jc w:val="right"/>
                  </w:pPr>
                  <w:r>
                    <w:rPr>
                      <w:w w:val="101.67088508605957"/>
                      <w:rFonts w:ascii="CIDFont+F10" w:hAnsi="CIDFont+F10" w:eastAsia="CIDFont+F10"/>
                      <w:b/>
                      <w:i w:val="0"/>
                      <w:color w:val="636363"/>
                      <w:sz w:val="14"/>
                    </w:rPr>
                    <w:t>$2,771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40" w:lineRule="auto" w:before="242" w:after="0"/>
        <w:ind w:left="4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80610" cy="400685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80610" cy="4006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6" w:lineRule="exact" w:before="0" w:after="0"/>
        <w:ind w:left="348" w:right="576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Health sector accounts for 31% (12% in YTD FY25) of the total FIF contributions primarily represented by GFATM.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Further, Climate sector accounts for 44% (10% in YTD FY25) primarily represented by GCF and CIF. </w:t>
      </w:r>
    </w:p>
    <w:p>
      <w:pPr>
        <w:autoSpaceDN w:val="0"/>
        <w:autoSpaceDE w:val="0"/>
        <w:widowControl/>
        <w:spacing w:line="264" w:lineRule="exact" w:before="262" w:after="0"/>
        <w:ind w:left="348" w:right="576" w:firstLine="0"/>
        <w:jc w:val="both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In IBRD/IDA TFs, contributions have decreased as a result of lower contributions to TFs supporting Ukraine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(Europe and Central Asia region) through SALNTF and FS-CFP programs where United States has made significant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contribution in YTD FY25. IBRD has also transferred $300 from surplus, by way of grant, to WBGBK during YTD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FY26. </w:t>
      </w:r>
    </w:p>
    <w:p>
      <w:pPr>
        <w:autoSpaceDN w:val="0"/>
        <w:autoSpaceDE w:val="0"/>
        <w:widowControl/>
        <w:spacing w:line="184" w:lineRule="exact" w:before="538" w:after="0"/>
        <w:ind w:left="348" w:right="432" w:firstLine="0"/>
        <w:jc w:val="left"/>
      </w:pP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14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Other DPs include multilateral development banks, United Nations agencies, and public and private institutions. Out of the total $1,627m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in Other DPs (YTD FY25 $2,771 m), $1,336m pertains to GFATM Secretariat (YTD FY25 $2,555m). </w:t>
      </w:r>
    </w:p>
    <w:p>
      <w:pPr>
        <w:autoSpaceDN w:val="0"/>
        <w:autoSpaceDE w:val="0"/>
        <w:widowControl/>
        <w:spacing w:line="228" w:lineRule="exact" w:before="856" w:after="0"/>
        <w:ind w:left="0" w:right="572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19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268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autoSpaceDE w:val="0"/>
        <w:widowControl/>
        <w:spacing w:line="174" w:lineRule="exact" w:before="0" w:after="0"/>
        <w:ind w:left="0" w:right="444" w:firstLine="0"/>
        <w:jc w:val="righ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>the six months ended December 31, 2025 and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41.9999999999999" w:type="dxa"/>
      </w:tblPr>
      <w:tblGrid>
        <w:gridCol w:w="4680"/>
        <w:gridCol w:w="4680"/>
      </w:tblGrid>
      <w:tr>
        <w:trPr>
          <w:trHeight w:hRule="exact" w:val="422"/>
        </w:trPr>
        <w:tc>
          <w:tcPr>
            <w:tcW w:type="dxa" w:w="3978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60" w:after="0"/>
              <w:ind w:left="0" w:right="0" w:firstLine="0"/>
              <w:jc w:val="left"/>
            </w:pPr>
            <w:r>
              <w:rPr>
                <w:w w:val="98.65285782586962"/>
                <w:rFonts w:ascii="CIDFont+F2" w:hAnsi="CIDFont+F2" w:eastAsia="CIDFont+F2"/>
                <w:b w:val="0"/>
                <w:i w:val="0"/>
                <w:color w:val="00497B"/>
                <w:sz w:val="21"/>
              </w:rPr>
              <w:t>Contribution and Receivables</w:t>
            </w:r>
          </w:p>
        </w:tc>
        <w:tc>
          <w:tcPr>
            <w:tcW w:type="dxa" w:w="4720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2" w:after="0"/>
              <w:ind w:left="0" w:right="192" w:firstLine="0"/>
              <w:jc w:val="right"/>
            </w:pPr>
            <w:r>
              <w:rPr>
                <w:w w:val="101.33335930960519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All amounts in USD millions, unless otherwise noted </w:t>
            </w:r>
          </w:p>
        </w:tc>
      </w:tr>
      <w:tr>
        <w:trPr>
          <w:trHeight w:hRule="exact" w:val="62"/>
        </w:trPr>
        <w:tc>
          <w:tcPr>
            <w:tcW w:type="dxa" w:w="3978"/>
            <w:tcBorders>
              <w:top w:sz="7.679999828338623" w:val="single" w:color="#1F497C"/>
            </w:tcBorders>
            <w:tcMar>
              <w:start w:w="0" w:type="dxa"/>
              <w:end w:w="0" w:type="dxa"/>
            </w:tcMar>
          </w:tcPr>
          <w:p/>
        </w:tc>
        <w:tc>
          <w:tcPr>
            <w:tcW w:type="dxa" w:w="4720"/>
            <w:tcBorders>
              <w:top w:sz="7.679999828338623" w:val="single" w:color="#1F497C"/>
            </w:tcBorders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98" w:lineRule="exact" w:before="86" w:after="0"/>
        <w:ind w:left="430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>Contributions Receivable (Cont’d)</w:t>
      </w:r>
      <w:r>
        <w:rPr>
          <w:rFonts w:ascii="CIDFont+F4" w:hAnsi="CIDFont+F4" w:eastAsia="CIDFont+F4"/>
          <w:b/>
          <w:i w:val="0"/>
          <w:color w:val="FFFFFF"/>
          <w:sz w:val="17"/>
        </w:rPr>
        <w:t>7</w:t>
      </w: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7030" cy="218821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21882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2" w:lineRule="exact" w:before="486" w:after="210"/>
        <w:ind w:left="518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>Top 5 Sovereign Countries, EU and Other DPs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1.9999999999999" w:type="dxa"/>
      </w:tblPr>
      <w:tblGrid>
        <w:gridCol w:w="3120"/>
        <w:gridCol w:w="3120"/>
        <w:gridCol w:w="3120"/>
      </w:tblGrid>
      <w:tr>
        <w:trPr>
          <w:trHeight w:hRule="exact" w:val="218"/>
        </w:trPr>
        <w:tc>
          <w:tcPr>
            <w:tcW w:type="dxa" w:w="340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59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0" w:after="0"/>
              <w:ind w:left="0" w:right="0" w:firstLine="0"/>
              <w:jc w:val="center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000000"/>
                <w:sz w:val="14"/>
              </w:rPr>
              <w:t>December 31, 2025</w:t>
            </w:r>
          </w:p>
        </w:tc>
        <w:tc>
          <w:tcPr>
            <w:tcW w:type="dxa" w:w="25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20" w:after="0"/>
              <w:ind w:left="0" w:right="0" w:firstLine="0"/>
              <w:jc w:val="center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000000"/>
                <w:sz w:val="14"/>
              </w:rPr>
              <w:t>December 31, 2024</w:t>
            </w:r>
          </w:p>
        </w:tc>
      </w:tr>
      <w:tr>
        <w:trPr>
          <w:trHeight w:hRule="exact" w:val="446"/>
        </w:trPr>
        <w:tc>
          <w:tcPr>
            <w:tcW w:type="dxa" w:w="340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6" w:after="0"/>
              <w:ind w:left="26" w:right="0" w:firstLine="0"/>
              <w:jc w:val="left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636363"/>
                <w:sz w:val="14"/>
              </w:rPr>
              <w:t>Sovereign Countries and EU</w:t>
            </w:r>
          </w:p>
        </w:tc>
        <w:tc>
          <w:tcPr>
            <w:tcW w:type="dxa" w:w="259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6" w:after="0"/>
              <w:ind w:left="0" w:right="1082" w:firstLine="0"/>
              <w:jc w:val="right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636363"/>
                <w:sz w:val="14"/>
              </w:rPr>
              <w:t xml:space="preserve">$18,689 </w:t>
            </w:r>
          </w:p>
        </w:tc>
        <w:tc>
          <w:tcPr>
            <w:tcW w:type="dxa" w:w="25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6" w:after="0"/>
              <w:ind w:left="0" w:right="0" w:firstLine="0"/>
              <w:jc w:val="center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636363"/>
                <w:sz w:val="14"/>
              </w:rPr>
              <w:t>$19,691</w:t>
            </w:r>
          </w:p>
        </w:tc>
      </w:tr>
      <w:tr>
        <w:trPr>
          <w:trHeight w:hRule="exact" w:val="2619"/>
        </w:trPr>
        <w:tc>
          <w:tcPr>
            <w:tcW w:type="dxa" w:w="340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2" w:after="0"/>
              <w:ind w:left="122" w:right="0" w:firstLine="0"/>
              <w:jc w:val="lef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Japan</w:t>
            </w:r>
          </w:p>
          <w:p>
            <w:pPr>
              <w:autoSpaceDN w:val="0"/>
              <w:autoSpaceDE w:val="0"/>
              <w:widowControl/>
              <w:spacing w:line="158" w:lineRule="exact" w:before="280" w:after="0"/>
              <w:ind w:left="122" w:right="0" w:firstLine="0"/>
              <w:jc w:val="lef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United Kingdom</w:t>
            </w:r>
          </w:p>
          <w:p>
            <w:pPr>
              <w:autoSpaceDN w:val="0"/>
              <w:autoSpaceDE w:val="0"/>
              <w:widowControl/>
              <w:spacing w:line="158" w:lineRule="exact" w:before="266" w:after="0"/>
              <w:ind w:left="122" w:right="0" w:firstLine="0"/>
              <w:jc w:val="lef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Germany</w:t>
            </w:r>
          </w:p>
          <w:p>
            <w:pPr>
              <w:autoSpaceDN w:val="0"/>
              <w:autoSpaceDE w:val="0"/>
              <w:widowControl/>
              <w:spacing w:line="158" w:lineRule="exact" w:before="264" w:after="0"/>
              <w:ind w:left="122" w:right="0" w:firstLine="0"/>
              <w:jc w:val="lef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United States</w:t>
            </w:r>
          </w:p>
          <w:p>
            <w:pPr>
              <w:autoSpaceDN w:val="0"/>
              <w:autoSpaceDE w:val="0"/>
              <w:widowControl/>
              <w:spacing w:line="158" w:lineRule="exact" w:before="280" w:after="0"/>
              <w:ind w:left="122" w:right="0" w:firstLine="0"/>
              <w:jc w:val="lef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France</w:t>
            </w:r>
          </w:p>
          <w:p>
            <w:pPr>
              <w:autoSpaceDN w:val="0"/>
              <w:autoSpaceDE w:val="0"/>
              <w:widowControl/>
              <w:spacing w:line="158" w:lineRule="exact" w:before="288" w:after="0"/>
              <w:ind w:left="122" w:right="0" w:firstLine="0"/>
              <w:jc w:val="lef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Other sovereign countries</w:t>
            </w:r>
          </w:p>
        </w:tc>
        <w:tc>
          <w:tcPr>
            <w:tcW w:type="dxa" w:w="259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2" w:after="0"/>
              <w:ind w:left="0" w:right="1196" w:firstLine="0"/>
              <w:jc w:val="righ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6,623</w:t>
            </w:r>
          </w:p>
          <w:p>
            <w:pPr>
              <w:autoSpaceDN w:val="0"/>
              <w:autoSpaceDE w:val="0"/>
              <w:widowControl/>
              <w:spacing w:line="158" w:lineRule="exact" w:before="280" w:after="0"/>
              <w:ind w:left="0" w:right="1196" w:firstLine="0"/>
              <w:jc w:val="righ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2,877</w:t>
            </w:r>
          </w:p>
          <w:p>
            <w:pPr>
              <w:autoSpaceDN w:val="0"/>
              <w:autoSpaceDE w:val="0"/>
              <w:widowControl/>
              <w:spacing w:line="158" w:lineRule="exact" w:before="266" w:after="0"/>
              <w:ind w:left="0" w:right="1196" w:firstLine="0"/>
              <w:jc w:val="righ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2,536</w:t>
            </w:r>
          </w:p>
          <w:p>
            <w:pPr>
              <w:autoSpaceDN w:val="0"/>
              <w:autoSpaceDE w:val="0"/>
              <w:widowControl/>
              <w:spacing w:line="158" w:lineRule="exact" w:before="264" w:after="0"/>
              <w:ind w:left="0" w:right="1196" w:firstLine="0"/>
              <w:jc w:val="righ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1,149</w:t>
            </w:r>
          </w:p>
          <w:p>
            <w:pPr>
              <w:autoSpaceDN w:val="0"/>
              <w:autoSpaceDE w:val="0"/>
              <w:widowControl/>
              <w:spacing w:line="158" w:lineRule="exact" w:before="280" w:after="0"/>
              <w:ind w:left="0" w:right="1250" w:firstLine="0"/>
              <w:jc w:val="righ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926</w:t>
            </w:r>
          </w:p>
          <w:p>
            <w:pPr>
              <w:autoSpaceDN w:val="0"/>
              <w:autoSpaceDE w:val="0"/>
              <w:widowControl/>
              <w:spacing w:line="158" w:lineRule="exact" w:before="288" w:after="0"/>
              <w:ind w:left="0" w:right="1196" w:firstLine="0"/>
              <w:jc w:val="right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4,578</w:t>
            </w:r>
          </w:p>
        </w:tc>
        <w:tc>
          <w:tcPr>
            <w:tcW w:type="dxa" w:w="2556"/>
            <w:tcBorders>
              <w:start w:sz="3.0" w:val="single" w:color="#000000"/>
              <w:top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2" w:after="0"/>
              <w:ind w:left="0" w:right="0" w:firstLine="0"/>
              <w:jc w:val="center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4,575</w:t>
            </w:r>
          </w:p>
          <w:p>
            <w:pPr>
              <w:autoSpaceDN w:val="0"/>
              <w:autoSpaceDE w:val="0"/>
              <w:widowControl/>
              <w:spacing w:line="158" w:lineRule="exact" w:before="280" w:after="0"/>
              <w:ind w:left="0" w:right="0" w:firstLine="0"/>
              <w:jc w:val="center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3,658</w:t>
            </w:r>
          </w:p>
          <w:p>
            <w:pPr>
              <w:autoSpaceDN w:val="0"/>
              <w:autoSpaceDE w:val="0"/>
              <w:widowControl/>
              <w:spacing w:line="158" w:lineRule="exact" w:before="266" w:after="0"/>
              <w:ind w:left="0" w:right="0" w:firstLine="0"/>
              <w:jc w:val="center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2,309</w:t>
            </w:r>
          </w:p>
          <w:p>
            <w:pPr>
              <w:autoSpaceDN w:val="0"/>
              <w:autoSpaceDE w:val="0"/>
              <w:widowControl/>
              <w:spacing w:line="158" w:lineRule="exact" w:before="264" w:after="0"/>
              <w:ind w:left="0" w:right="0" w:firstLine="0"/>
              <w:jc w:val="center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1,622</w:t>
            </w:r>
          </w:p>
          <w:p>
            <w:pPr>
              <w:autoSpaceDN w:val="0"/>
              <w:autoSpaceDE w:val="0"/>
              <w:widowControl/>
              <w:spacing w:line="158" w:lineRule="exact" w:before="280" w:after="0"/>
              <w:ind w:left="0" w:right="0" w:firstLine="0"/>
              <w:jc w:val="center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1,227</w:t>
            </w:r>
          </w:p>
          <w:p>
            <w:pPr>
              <w:autoSpaceDN w:val="0"/>
              <w:autoSpaceDE w:val="0"/>
              <w:widowControl/>
              <w:spacing w:line="158" w:lineRule="exact" w:before="288" w:after="0"/>
              <w:ind w:left="0" w:right="0" w:firstLine="0"/>
              <w:jc w:val="center"/>
            </w:pPr>
            <w:r>
              <w:rPr>
                <w:w w:val="101.0793277195521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6,300</w:t>
            </w:r>
          </w:p>
        </w:tc>
      </w:tr>
      <w:tr>
        <w:trPr>
          <w:trHeight w:hRule="exact" w:val="440"/>
        </w:trPr>
        <w:tc>
          <w:tcPr>
            <w:tcW w:type="dxa" w:w="340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0" w:lineRule="exact" w:before="110" w:after="0"/>
              <w:ind w:left="26" w:right="0" w:firstLine="0"/>
              <w:jc w:val="left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636363"/>
                <w:sz w:val="14"/>
              </w:rPr>
              <w:t xml:space="preserve">Other DPs </w:t>
            </w:r>
            <w:r>
              <w:rPr>
                <w:w w:val="97.96977043151855"/>
                <w:rFonts w:ascii="CIDFont+F10" w:hAnsi="CIDFont+F10" w:eastAsia="CIDFont+F10"/>
                <w:b/>
                <w:i w:val="0"/>
                <w:color w:val="636363"/>
                <w:sz w:val="10"/>
              </w:rPr>
              <w:t>16</w:t>
            </w:r>
          </w:p>
        </w:tc>
        <w:tc>
          <w:tcPr>
            <w:tcW w:type="dxa" w:w="259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2" w:after="0"/>
              <w:ind w:left="0" w:right="1116" w:firstLine="0"/>
              <w:jc w:val="right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636363"/>
                <w:sz w:val="14"/>
              </w:rPr>
              <w:t xml:space="preserve">$1,308 </w:t>
            </w:r>
          </w:p>
        </w:tc>
        <w:tc>
          <w:tcPr>
            <w:tcW w:type="dxa" w:w="255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58" w:lineRule="exact" w:before="122" w:after="0"/>
              <w:ind w:left="0" w:right="994" w:firstLine="0"/>
              <w:jc w:val="right"/>
            </w:pPr>
            <w:r>
              <w:rPr>
                <w:w w:val="101.07932771955217"/>
                <w:rFonts w:ascii="CIDFont+F10" w:hAnsi="CIDFont+F10" w:eastAsia="CIDFont+F10"/>
                <w:b/>
                <w:i w:val="0"/>
                <w:color w:val="636363"/>
                <w:sz w:val="14"/>
              </w:rPr>
              <w:t xml:space="preserve">$1,432 </w:t>
            </w:r>
          </w:p>
        </w:tc>
      </w:tr>
    </w:tbl>
    <w:p>
      <w:pPr>
        <w:autoSpaceDN w:val="0"/>
        <w:autoSpaceDE w:val="0"/>
        <w:widowControl/>
        <w:spacing w:line="162" w:lineRule="exact" w:before="4692" w:after="0"/>
        <w:ind w:left="348" w:right="576" w:firstLine="0"/>
        <w:jc w:val="left"/>
      </w:pP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16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Other DPs includes multilateral development banks, United Nations agencies, and public and private institutions but does not include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receivables from WBG entities amounting to $14m as of December 31,2025 ($14m as of December 31, 2024). </w:t>
      </w:r>
    </w:p>
    <w:p>
      <w:pPr>
        <w:autoSpaceDN w:val="0"/>
        <w:tabs>
          <w:tab w:pos="8728" w:val="left"/>
        </w:tabs>
        <w:autoSpaceDE w:val="0"/>
        <w:widowControl/>
        <w:spacing w:line="336" w:lineRule="exact" w:before="106" w:after="0"/>
        <w:ind w:left="348" w:right="288" w:firstLine="0"/>
        <w:jc w:val="left"/>
      </w:pPr>
      <w:r>
        <w:tab/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21 </w:t>
      </w: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3500" w:val="left"/>
          <w:tab w:pos="5974" w:val="left"/>
        </w:tabs>
        <w:autoSpaceDE w:val="0"/>
        <w:widowControl/>
        <w:spacing w:line="212" w:lineRule="exact" w:before="0" w:after="0"/>
        <w:ind w:left="448" w:right="288" w:firstLine="0"/>
        <w:jc w:val="left"/>
      </w:pPr>
      <w:r>
        <w:tab/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tab/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  <w:r>
        <w:rPr>
          <w:w w:val="98.65285782586962"/>
          <w:rFonts w:ascii="CIDFont+F2" w:hAnsi="CIDFont+F2" w:eastAsia="CIDFont+F2"/>
          <w:b w:val="0"/>
          <w:i w:val="0"/>
          <w:color w:val="00497B"/>
          <w:sz w:val="21"/>
        </w:rPr>
        <w:t xml:space="preserve">Contributions and Receivables </w:t>
      </w:r>
    </w:p>
    <w:p>
      <w:pPr>
        <w:autoSpaceDN w:val="0"/>
        <w:autoSpaceDE w:val="0"/>
        <w:widowControl/>
        <w:spacing w:line="300" w:lineRule="exact" w:before="134" w:after="136"/>
        <w:ind w:left="448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>Promissory Notes Receivable</w:t>
      </w:r>
      <w:r>
        <w:rPr>
          <w:rFonts w:ascii="CIDFont+F4" w:hAnsi="CIDFont+F4" w:eastAsia="CIDFont+F4"/>
          <w:b/>
          <w:i w:val="0"/>
          <w:color w:val="FFFFFF"/>
          <w:sz w:val="17"/>
        </w:rPr>
        <w:t>8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2340"/>
        <w:gridCol w:w="2340"/>
        <w:gridCol w:w="2340"/>
        <w:gridCol w:w="2340"/>
      </w:tblGrid>
      <w:tr>
        <w:trPr>
          <w:trHeight w:hRule="exact" w:val="300"/>
        </w:trPr>
        <w:tc>
          <w:tcPr>
            <w:tcW w:type="dxa" w:w="204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90" w:after="0"/>
              <w:ind w:left="334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December 31, 2025</w:t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88" w:lineRule="exact" w:before="190" w:after="0"/>
              <w:ind w:left="40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17"/>
              </w:rPr>
              <w:t>December 31, 2024</w:t>
            </w:r>
          </w:p>
        </w:tc>
        <w:tc>
          <w:tcPr>
            <w:tcW w:type="dxa" w:w="4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60" w:after="0"/>
              <w:ind w:left="334" w:right="0" w:firstLine="0"/>
              <w:jc w:val="left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In certain programs, contributions receivable are settled </w:t>
            </w:r>
          </w:p>
        </w:tc>
      </w:tr>
      <w:tr>
        <w:trPr>
          <w:trHeight w:hRule="exact" w:val="260"/>
        </w:trPr>
        <w:tc>
          <w:tcPr>
            <w:tcW w:type="dxa" w:w="4680"/>
            <w:gridSpan w:val="2"/>
            <w:vMerge/>
            <w:tcBorders/>
          </w:tcPr>
          <w:p/>
        </w:tc>
        <w:tc>
          <w:tcPr>
            <w:tcW w:type="dxa" w:w="2340"/>
            <w:vMerge/>
            <w:tcBorders/>
          </w:tcPr>
          <w:p/>
        </w:tc>
        <w:tc>
          <w:tcPr>
            <w:tcW w:type="dxa" w:w="4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4" w:after="0"/>
              <w:ind w:left="334" w:right="0" w:firstLine="0"/>
              <w:jc w:val="left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through deposit of promissory notes, which are </w:t>
            </w:r>
          </w:p>
        </w:tc>
      </w:tr>
      <w:tr>
        <w:trPr>
          <w:trHeight w:hRule="exact" w:val="260"/>
        </w:trPr>
        <w:tc>
          <w:tcPr>
            <w:tcW w:type="dxa" w:w="16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10" w:after="0"/>
              <w:ind w:left="0" w:right="126" w:firstLine="0"/>
              <w:jc w:val="righ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27"/>
              </w:rPr>
              <w:t>$13,409</w:t>
            </w:r>
          </w:p>
        </w:tc>
        <w:tc>
          <w:tcPr>
            <w:tcW w:type="dxa" w:w="3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0" w:right="2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4300" cy="1397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" cy="1397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8" w:lineRule="exact" w:before="10" w:after="0"/>
              <w:ind w:left="268" w:right="0" w:firstLine="0"/>
              <w:jc w:val="left"/>
            </w:pPr>
            <w:r>
              <w:rPr>
                <w:rFonts w:ascii="CIDFont+F7" w:hAnsi="CIDFont+F7" w:eastAsia="CIDFont+F7"/>
                <w:b w:val="0"/>
                <w:i w:val="0"/>
                <w:color w:val="00497B"/>
                <w:sz w:val="27"/>
              </w:rPr>
              <w:t>$12,119</w:t>
            </w:r>
          </w:p>
        </w:tc>
        <w:tc>
          <w:tcPr>
            <w:tcW w:type="dxa" w:w="4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28" w:after="0"/>
              <w:ind w:left="334" w:right="0" w:firstLine="0"/>
              <w:jc w:val="left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subsequently encashed based on schedules agreed with </w:t>
            </w:r>
          </w:p>
        </w:tc>
      </w:tr>
      <w:tr>
        <w:trPr>
          <w:trHeight w:hRule="exact" w:val="276"/>
        </w:trPr>
        <w:tc>
          <w:tcPr>
            <w:tcW w:type="dxa" w:w="2340"/>
            <w:vMerge/>
            <w:tcBorders/>
          </w:tcPr>
          <w:p/>
        </w:tc>
        <w:tc>
          <w:tcPr>
            <w:tcW w:type="dxa" w:w="2340"/>
            <w:vMerge/>
            <w:tcBorders/>
          </w:tcPr>
          <w:p/>
        </w:tc>
        <w:tc>
          <w:tcPr>
            <w:tcW w:type="dxa" w:w="2340"/>
            <w:vMerge/>
            <w:tcBorders/>
          </w:tcPr>
          <w:p/>
        </w:tc>
        <w:tc>
          <w:tcPr>
            <w:tcW w:type="dxa" w:w="4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exact" w:before="32" w:after="0"/>
              <w:ind w:left="334" w:right="0" w:firstLine="0"/>
              <w:jc w:val="left"/>
            </w:pPr>
            <w:r>
              <w:rPr>
                <w:w w:val="98.37079299123663"/>
                <w:rFonts w:ascii="CIDFont+F2" w:hAnsi="CIDFont+F2" w:eastAsia="CIDFont+F2"/>
                <w:b w:val="0"/>
                <w:i w:val="0"/>
                <w:color w:val="000000"/>
                <w:sz w:val="19"/>
              </w:rPr>
              <w:t xml:space="preserve">the DPs, and are recorded as cash contributions upon </w:t>
            </w:r>
          </w:p>
        </w:tc>
      </w:tr>
    </w:tbl>
    <w:p>
      <w:pPr>
        <w:autoSpaceDN w:val="0"/>
        <w:autoSpaceDE w:val="0"/>
        <w:widowControl/>
        <w:spacing w:line="228" w:lineRule="exact" w:before="18" w:after="0"/>
        <w:ind w:left="0" w:right="3756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encashment. </w:t>
      </w:r>
    </w:p>
    <w:p>
      <w:pPr>
        <w:autoSpaceDN w:val="0"/>
        <w:autoSpaceDE w:val="0"/>
        <w:widowControl/>
        <w:spacing w:line="240" w:lineRule="auto" w:before="0" w:after="0"/>
        <w:ind w:left="446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93310" cy="215265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893310" cy="2152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56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7030" cy="380492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3804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264" w:after="0"/>
        <w:ind w:left="348" w:right="288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The promissory note receivable ($5,000m) from Japan as contribution to the trust fund for advancing credit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enhancement for Ukraine through SALNTF remains outstanding as of December 2025. </w:t>
      </w:r>
    </w:p>
    <w:p>
      <w:pPr>
        <w:autoSpaceDN w:val="0"/>
        <w:autoSpaceDE w:val="0"/>
        <w:widowControl/>
        <w:spacing w:line="162" w:lineRule="exact" w:before="828" w:after="0"/>
        <w:ind w:left="348" w:right="0" w:firstLine="0"/>
        <w:jc w:val="left"/>
      </w:pPr>
      <w:r>
        <w:rPr>
          <w:w w:val="105.08649614122179"/>
          <w:rFonts w:ascii="CIDFont+F7" w:hAnsi="CIDFont+F7" w:eastAsia="CIDFont+F7"/>
          <w:b w:val="0"/>
          <w:i w:val="0"/>
          <w:color w:val="000000"/>
          <w:sz w:val="9"/>
        </w:rPr>
        <w:t xml:space="preserve">17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Other DPs include multilateral development banks, United Nations agencies, and public and private institutions. </w:t>
      </w:r>
    </w:p>
    <w:p>
      <w:pPr>
        <w:autoSpaceDN w:val="0"/>
        <w:autoSpaceDE w:val="0"/>
        <w:widowControl/>
        <w:spacing w:line="228" w:lineRule="exact" w:before="376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22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28.0000000000001" w:type="dxa"/>
      </w:tblPr>
      <w:tblGrid>
        <w:gridCol w:w="4842"/>
        <w:gridCol w:w="4842"/>
      </w:tblGrid>
      <w:tr>
        <w:trPr>
          <w:trHeight w:hRule="exact" w:val="624"/>
        </w:trPr>
        <w:tc>
          <w:tcPr>
            <w:tcW w:type="dxa" w:w="2772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46" w:after="0"/>
              <w:ind w:left="8" w:right="0" w:firstLine="0"/>
              <w:jc w:val="left"/>
            </w:pPr>
            <w:r>
              <w:rPr>
                <w:w w:val="98.6471448625837"/>
                <w:rFonts w:ascii="CIDFont+F2" w:hAnsi="CIDFont+F2" w:eastAsia="CIDFont+F2"/>
                <w:b w:val="0"/>
                <w:i w:val="0"/>
                <w:color w:val="00497B"/>
                <w:sz w:val="21"/>
              </w:rPr>
              <w:t xml:space="preserve">Contributions and Receivables </w:t>
            </w:r>
          </w:p>
        </w:tc>
        <w:tc>
          <w:tcPr>
            <w:tcW w:type="dxa" w:w="6000"/>
            <w:tcBorders>
              <w:bottom w:sz="7.679999828338623" w:val="single" w:color="#1F497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2674" w:val="left"/>
              </w:tabs>
              <w:autoSpaceDE w:val="0"/>
              <w:widowControl/>
              <w:spacing w:line="172" w:lineRule="exact" w:before="2" w:after="0"/>
              <w:ind w:left="196" w:right="288" w:firstLine="0"/>
              <w:jc w:val="left"/>
            </w:pPr>
            <w:r>
              <w:rPr>
                <w:w w:val="101.32767813546317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Trust Fund Financial Information Summary for </w:t>
            </w:r>
            <w:r>
              <w:rPr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the six months ended December 31, 2025 and 2024 </w:t>
            </w:r>
            <w:r>
              <w:rPr>
                <w:w w:val="101.32767813546317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All amounts in USD millions, unless otherwise noted </w:t>
            </w:r>
          </w:p>
        </w:tc>
      </w:tr>
    </w:tbl>
    <w:p>
      <w:pPr>
        <w:autoSpaceDN w:val="0"/>
        <w:autoSpaceDE w:val="0"/>
        <w:widowControl/>
        <w:spacing w:line="298" w:lineRule="exact" w:before="122" w:after="0"/>
        <w:ind w:left="536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>Commitment Authority</w:t>
      </w:r>
    </w:p>
    <w:p>
      <w:pPr>
        <w:autoSpaceDN w:val="0"/>
        <w:autoSpaceDE w:val="0"/>
        <w:widowControl/>
        <w:spacing w:line="264" w:lineRule="exact" w:before="156" w:after="678"/>
        <w:ind w:left="518" w:right="732" w:firstLine="0"/>
        <w:jc w:val="both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Commitment authority represents an upper limit up to which task teams can commit future disbursements at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the individual TF level. The classes of assets that a trust fund could commit upon form the trust fund’s Basis of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Commitment (BoC).  The asset classes that can be committed against are either (i) cash, (ii) cash plus promissory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notes, or (iii) cash plus promissory notes and contributions receivable. The default BoC for a trust fund is cash,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but may be modified to include promissory notes receivable and/or contributions receivable with the approval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of Director(s) in the unit managing the trust fund. The trust funds grouped by BoC types and the funds available </w:t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for commitments are presented in the table below: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1.9999999999999" w:type="dxa"/>
      </w:tblPr>
      <w:tblGrid>
        <w:gridCol w:w="1210"/>
        <w:gridCol w:w="1210"/>
        <w:gridCol w:w="1210"/>
        <w:gridCol w:w="1210"/>
        <w:gridCol w:w="1210"/>
        <w:gridCol w:w="1210"/>
        <w:gridCol w:w="1210"/>
        <w:gridCol w:w="1210"/>
      </w:tblGrid>
      <w:tr>
        <w:trPr>
          <w:trHeight w:hRule="exact" w:val="954"/>
        </w:trPr>
        <w:tc>
          <w:tcPr>
            <w:tcW w:type="dxa" w:w="24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84" w:after="0"/>
              <w:ind w:left="432" w:right="432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Trust funds with Basis of </w:t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Commitment as</w:t>
            </w:r>
          </w:p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84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Contribution </w:t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Receivable</w:t>
            </w:r>
          </w:p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00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Promissory </w:t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Notes </w:t>
            </w:r>
            <w:r>
              <w:br/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Receivable</w:t>
            </w:r>
          </w:p>
        </w:tc>
        <w:tc>
          <w:tcPr>
            <w:tcW w:type="dxa" w:w="76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4" w:lineRule="exact" w:before="382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Cash </w:t>
            </w:r>
            <w:r>
              <w:rPr>
                <w:w w:val="104.83508110046387"/>
                <w:rFonts w:ascii="CIDFont+F10" w:hAnsi="CIDFont+F10" w:eastAsia="CIDFont+F10"/>
                <w:b/>
                <w:i w:val="0"/>
                <w:color w:val="00497B"/>
                <w:sz w:val="8"/>
              </w:rPr>
              <w:t>18</w:t>
            </w:r>
          </w:p>
        </w:tc>
        <w:tc>
          <w:tcPr>
            <w:tcW w:type="dxa" w:w="79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84" w:after="0"/>
              <w:ind w:left="144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Total TF </w:t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Assets</w:t>
            </w:r>
          </w:p>
        </w:tc>
        <w:tc>
          <w:tcPr>
            <w:tcW w:type="dxa" w:w="9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284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Outstanding </w:t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Commitments</w:t>
            </w:r>
          </w:p>
        </w:tc>
        <w:tc>
          <w:tcPr>
            <w:tcW w:type="dxa" w:w="124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8" w:lineRule="exact" w:before="116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Balance Available to </w:t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Commit </w:t>
            </w:r>
            <w:r>
              <w:br/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 xml:space="preserve">as of </w:t>
            </w:r>
            <w:r>
              <w:br/>
            </w: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December 31, 2025</w:t>
            </w:r>
          </w:p>
        </w:tc>
        <w:tc>
          <w:tcPr>
            <w:tcW w:type="dxa" w:w="54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209"/>
        </w:trPr>
        <w:tc>
          <w:tcPr>
            <w:tcW w:type="dxa" w:w="24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18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A</w:t>
            </w:r>
          </w:p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18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B</w:t>
            </w:r>
          </w:p>
        </w:tc>
        <w:tc>
          <w:tcPr>
            <w:tcW w:type="dxa" w:w="76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18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C</w:t>
            </w:r>
          </w:p>
        </w:tc>
        <w:tc>
          <w:tcPr>
            <w:tcW w:type="dxa" w:w="79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18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D=A+B+C</w:t>
            </w:r>
          </w:p>
        </w:tc>
        <w:tc>
          <w:tcPr>
            <w:tcW w:type="dxa" w:w="9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18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E</w:t>
            </w:r>
          </w:p>
        </w:tc>
        <w:tc>
          <w:tcPr>
            <w:tcW w:type="dxa" w:w="124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0" w:lineRule="exact" w:before="18" w:after="0"/>
              <w:ind w:left="0" w:right="0" w:firstLine="0"/>
              <w:jc w:val="center"/>
            </w:pPr>
            <w:r>
              <w:rPr>
                <w:w w:val="96.7708367567796"/>
                <w:rFonts w:ascii="CIDFont+F10" w:hAnsi="CIDFont+F10" w:eastAsia="CIDFont+F10"/>
                <w:b/>
                <w:i w:val="0"/>
                <w:color w:val="00497B"/>
                <w:sz w:val="13"/>
              </w:rPr>
              <w:t>F</w:t>
            </w:r>
          </w:p>
        </w:tc>
        <w:tc>
          <w:tcPr>
            <w:tcW w:type="dxa" w:w="54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1855"/>
        </w:trPr>
        <w:tc>
          <w:tcPr>
            <w:tcW w:type="dxa" w:w="24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118" w:right="0" w:firstLine="0"/>
              <w:jc w:val="left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Cash (65% of TFs )</w:t>
            </w:r>
          </w:p>
          <w:p>
            <w:pPr>
              <w:autoSpaceDN w:val="0"/>
              <w:autoSpaceDE w:val="0"/>
              <w:widowControl/>
              <w:spacing w:line="168" w:lineRule="exact" w:before="302" w:after="0"/>
              <w:ind w:left="118" w:right="0" w:firstLine="0"/>
              <w:jc w:val="left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 xml:space="preserve">Cash and Promissory Notes Receivable </w:t>
            </w: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(4% of TFs)</w:t>
            </w:r>
          </w:p>
          <w:p>
            <w:pPr>
              <w:autoSpaceDN w:val="0"/>
              <w:autoSpaceDE w:val="0"/>
              <w:widowControl/>
              <w:spacing w:line="168" w:lineRule="exact" w:before="262" w:after="0"/>
              <w:ind w:left="118" w:right="0" w:firstLine="0"/>
              <w:jc w:val="left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 xml:space="preserve">Cash, Promissory Notes Receivable, </w:t>
            </w: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 xml:space="preserve">and Contributions Receivable (31% of </w:t>
            </w: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TFs)</w:t>
            </w:r>
          </w:p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6,229</w:t>
            </w:r>
          </w:p>
          <w:p>
            <w:pPr>
              <w:autoSpaceDN w:val="0"/>
              <w:autoSpaceDE w:val="0"/>
              <w:widowControl/>
              <w:spacing w:line="140" w:lineRule="exact" w:before="41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7,073</w:t>
            </w:r>
          </w:p>
          <w:p>
            <w:pPr>
              <w:autoSpaceDN w:val="0"/>
              <w:autoSpaceDE w:val="0"/>
              <w:widowControl/>
              <w:spacing w:line="142" w:lineRule="exact" w:before="540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6,709</w:t>
            </w:r>
          </w:p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2,992</w:t>
            </w:r>
          </w:p>
          <w:p>
            <w:pPr>
              <w:autoSpaceDN w:val="0"/>
              <w:autoSpaceDE w:val="0"/>
              <w:widowControl/>
              <w:spacing w:line="140" w:lineRule="exact" w:before="41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5,101</w:t>
            </w:r>
          </w:p>
          <w:p>
            <w:pPr>
              <w:autoSpaceDN w:val="0"/>
              <w:autoSpaceDE w:val="0"/>
              <w:widowControl/>
              <w:spacing w:line="142" w:lineRule="exact" w:before="540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5,316</w:t>
            </w:r>
          </w:p>
        </w:tc>
        <w:tc>
          <w:tcPr>
            <w:tcW w:type="dxa" w:w="76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31,221</w:t>
            </w:r>
          </w:p>
          <w:p>
            <w:pPr>
              <w:autoSpaceDN w:val="0"/>
              <w:autoSpaceDE w:val="0"/>
              <w:widowControl/>
              <w:spacing w:line="140" w:lineRule="exact" w:before="41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23,504</w:t>
            </w:r>
          </w:p>
          <w:p>
            <w:pPr>
              <w:autoSpaceDN w:val="0"/>
              <w:autoSpaceDE w:val="0"/>
              <w:widowControl/>
              <w:spacing w:line="142" w:lineRule="exact" w:before="540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5,800</w:t>
            </w:r>
          </w:p>
        </w:tc>
        <w:tc>
          <w:tcPr>
            <w:tcW w:type="dxa" w:w="79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40,442</w:t>
            </w:r>
          </w:p>
          <w:p>
            <w:pPr>
              <w:autoSpaceDN w:val="0"/>
              <w:autoSpaceDE w:val="0"/>
              <w:widowControl/>
              <w:spacing w:line="140" w:lineRule="exact" w:before="41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35,678</w:t>
            </w:r>
          </w:p>
          <w:p>
            <w:pPr>
              <w:autoSpaceDN w:val="0"/>
              <w:autoSpaceDE w:val="0"/>
              <w:widowControl/>
              <w:spacing w:line="142" w:lineRule="exact" w:before="540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17,825</w:t>
            </w:r>
          </w:p>
        </w:tc>
        <w:tc>
          <w:tcPr>
            <w:tcW w:type="dxa" w:w="90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15,258</w:t>
            </w:r>
          </w:p>
          <w:p>
            <w:pPr>
              <w:autoSpaceDN w:val="0"/>
              <w:autoSpaceDE w:val="0"/>
              <w:widowControl/>
              <w:spacing w:line="140" w:lineRule="exact" w:before="41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18,451</w:t>
            </w:r>
          </w:p>
          <w:p>
            <w:pPr>
              <w:autoSpaceDN w:val="0"/>
              <w:autoSpaceDE w:val="0"/>
              <w:widowControl/>
              <w:spacing w:line="142" w:lineRule="exact" w:before="540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4,782</w:t>
            </w:r>
          </w:p>
        </w:tc>
        <w:tc>
          <w:tcPr>
            <w:tcW w:type="dxa" w:w="124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15,963</w:t>
            </w:r>
          </w:p>
          <w:p>
            <w:pPr>
              <w:autoSpaceDN w:val="0"/>
              <w:autoSpaceDE w:val="0"/>
              <w:widowControl/>
              <w:spacing w:line="140" w:lineRule="exact" w:before="41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10,154</w:t>
            </w:r>
          </w:p>
          <w:p>
            <w:pPr>
              <w:autoSpaceDN w:val="0"/>
              <w:autoSpaceDE w:val="0"/>
              <w:widowControl/>
              <w:spacing w:line="142" w:lineRule="exact" w:before="540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13,043</w:t>
            </w:r>
          </w:p>
        </w:tc>
        <w:tc>
          <w:tcPr>
            <w:tcW w:type="dxa" w:w="54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42" w:lineRule="exact" w:before="16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(C-E)</w:t>
            </w:r>
          </w:p>
          <w:p>
            <w:pPr>
              <w:autoSpaceDN w:val="0"/>
              <w:autoSpaceDE w:val="0"/>
              <w:widowControl/>
              <w:spacing w:line="140" w:lineRule="exact" w:before="414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(B+C-E)</w:t>
            </w:r>
          </w:p>
          <w:p>
            <w:pPr>
              <w:autoSpaceDN w:val="0"/>
              <w:autoSpaceDE w:val="0"/>
              <w:widowControl/>
              <w:spacing w:line="142" w:lineRule="exact" w:before="540" w:after="0"/>
              <w:ind w:left="0" w:right="0" w:firstLine="0"/>
              <w:jc w:val="center"/>
            </w:pPr>
            <w:r>
              <w:rPr>
                <w:w w:val="96.7708367567796"/>
                <w:rFonts w:ascii="CIDFont+F7" w:hAnsi="CIDFont+F7" w:eastAsia="CIDFont+F7"/>
                <w:b w:val="0"/>
                <w:i w:val="0"/>
                <w:color w:val="00497B"/>
                <w:sz w:val="13"/>
              </w:rPr>
              <w:t>(D-E)</w:t>
            </w:r>
          </w:p>
        </w:tc>
      </w:tr>
      <w:tr>
        <w:trPr>
          <w:trHeight w:hRule="exact" w:val="421"/>
        </w:trPr>
        <w:tc>
          <w:tcPr>
            <w:tcW w:type="dxa" w:w="2454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16" w:after="0"/>
              <w:ind w:left="24" w:right="0" w:firstLine="0"/>
              <w:jc w:val="left"/>
            </w:pPr>
            <w:r>
              <w:rPr>
                <w:w w:val="98.28248620033264"/>
                <w:rFonts w:ascii="CIDFont+F10" w:hAnsi="CIDFont+F10" w:eastAsia="CIDFont+F10"/>
                <w:b/>
                <w:i w:val="0"/>
                <w:color w:val="000000"/>
                <w:sz w:val="16"/>
              </w:rPr>
              <w:t>TOTAL</w:t>
            </w:r>
          </w:p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16" w:after="0"/>
              <w:ind w:left="0" w:right="0" w:firstLine="0"/>
              <w:jc w:val="center"/>
            </w:pPr>
            <w:r>
              <w:rPr>
                <w:w w:val="98.28248620033264"/>
                <w:rFonts w:ascii="CIDFont+F10" w:hAnsi="CIDFont+F10" w:eastAsia="CIDFont+F10"/>
                <w:b/>
                <w:i w:val="0"/>
                <w:color w:val="000000"/>
                <w:sz w:val="16"/>
              </w:rPr>
              <w:t>$20,011</w:t>
            </w:r>
          </w:p>
        </w:tc>
        <w:tc>
          <w:tcPr>
            <w:tcW w:type="dxa" w:w="922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16" w:after="0"/>
              <w:ind w:left="0" w:right="0" w:firstLine="0"/>
              <w:jc w:val="center"/>
            </w:pPr>
            <w:r>
              <w:rPr>
                <w:w w:val="98.28248620033264"/>
                <w:rFonts w:ascii="CIDFont+F10" w:hAnsi="CIDFont+F10" w:eastAsia="CIDFont+F10"/>
                <w:b/>
                <w:i w:val="0"/>
                <w:color w:val="000000"/>
                <w:sz w:val="16"/>
              </w:rPr>
              <w:t>$13,409</w:t>
            </w:r>
          </w:p>
        </w:tc>
        <w:tc>
          <w:tcPr>
            <w:tcW w:type="dxa" w:w="764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16" w:after="0"/>
              <w:ind w:left="0" w:right="0" w:firstLine="0"/>
              <w:jc w:val="center"/>
            </w:pPr>
            <w:r>
              <w:rPr>
                <w:w w:val="98.28248620033264"/>
                <w:rFonts w:ascii="CIDFont+F10" w:hAnsi="CIDFont+F10" w:eastAsia="CIDFont+F10"/>
                <w:b/>
                <w:i w:val="0"/>
                <w:color w:val="000000"/>
                <w:sz w:val="16"/>
              </w:rPr>
              <w:t>$60,525</w:t>
            </w:r>
          </w:p>
        </w:tc>
        <w:tc>
          <w:tcPr>
            <w:tcW w:type="dxa" w:w="796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16" w:after="0"/>
              <w:ind w:left="0" w:right="0" w:firstLine="0"/>
              <w:jc w:val="center"/>
            </w:pPr>
            <w:r>
              <w:rPr>
                <w:w w:val="98.28248620033264"/>
                <w:rFonts w:ascii="CIDFont+F10" w:hAnsi="CIDFont+F10" w:eastAsia="CIDFont+F10"/>
                <w:b/>
                <w:i w:val="0"/>
                <w:color w:val="000000"/>
                <w:sz w:val="16"/>
              </w:rPr>
              <w:t>$93,945</w:t>
            </w:r>
          </w:p>
        </w:tc>
        <w:tc>
          <w:tcPr>
            <w:tcW w:type="dxa" w:w="904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16" w:after="0"/>
              <w:ind w:left="0" w:right="0" w:firstLine="0"/>
              <w:jc w:val="center"/>
            </w:pPr>
            <w:r>
              <w:rPr>
                <w:w w:val="98.28248620033264"/>
                <w:rFonts w:ascii="CIDFont+F10" w:hAnsi="CIDFont+F10" w:eastAsia="CIDFont+F10"/>
                <w:b/>
                <w:i w:val="0"/>
                <w:color w:val="000000"/>
                <w:sz w:val="16"/>
              </w:rPr>
              <w:t>$38,491</w:t>
            </w:r>
          </w:p>
        </w:tc>
        <w:tc>
          <w:tcPr>
            <w:tcW w:type="dxa" w:w="1246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6" w:lineRule="exact" w:before="116" w:after="0"/>
              <w:ind w:left="0" w:right="0" w:firstLine="0"/>
              <w:jc w:val="center"/>
            </w:pPr>
            <w:r>
              <w:rPr>
                <w:w w:val="98.28248620033264"/>
                <w:rFonts w:ascii="CIDFont+F10" w:hAnsi="CIDFont+F10" w:eastAsia="CIDFont+F10"/>
                <w:b/>
                <w:i w:val="0"/>
                <w:color w:val="000000"/>
                <w:sz w:val="16"/>
              </w:rPr>
              <w:t>$39,160</w:t>
            </w:r>
          </w:p>
        </w:tc>
        <w:tc>
          <w:tcPr>
            <w:tcW w:type="dxa" w:w="548"/>
            <w:tcBorders>
              <w:start w:sz="3.0" w:val="single" w:color="#000000"/>
              <w:top w:sz="3.0" w:val="single" w:color="#000000"/>
              <w:end w:sz="3.0" w:val="single" w:color="#000000"/>
            </w:tcBorders>
            <w:shd w:fill="dfdfd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104" w:lineRule="exact" w:before="5048" w:after="0"/>
        <w:ind w:left="348" w:right="0" w:firstLine="0"/>
        <w:jc w:val="left"/>
      </w:pPr>
      <w:r>
        <w:rPr>
          <w:w w:val="105.08066813151042"/>
          <w:rFonts w:ascii="CIDFont+F8" w:hAnsi="CIDFont+F8" w:eastAsia="CIDFont+F8"/>
          <w:b w:val="0"/>
          <w:i/>
          <w:color w:val="000000"/>
          <w:sz w:val="9"/>
        </w:rPr>
        <w:t xml:space="preserve">___________________________________________________________ </w:t>
      </w:r>
    </w:p>
    <w:p>
      <w:pPr>
        <w:autoSpaceDN w:val="0"/>
        <w:autoSpaceDE w:val="0"/>
        <w:widowControl/>
        <w:spacing w:line="186" w:lineRule="exact" w:before="58" w:after="0"/>
        <w:ind w:left="348" w:right="624" w:firstLine="0"/>
        <w:jc w:val="both"/>
      </w:pPr>
      <w:r>
        <w:rPr>
          <w:w w:val="105.08066813151042"/>
          <w:rFonts w:ascii="CIDFont+F8" w:hAnsi="CIDFont+F8" w:eastAsia="CIDFont+F8"/>
          <w:b w:val="0"/>
          <w:i/>
          <w:color w:val="000000"/>
          <w:sz w:val="9"/>
        </w:rPr>
        <w:t xml:space="preserve">18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Excludes cash in DP Balance Accounts, funds held in escrow on behalf of ICSID and DPs contributions to be applied to trust funds pending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receipt of signed agreements, and balances in administration accounts (IBRD/IFC), totally amounting to $1,263m. RE activities in PEND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status and GFRs for RE activities in pipeline (including corresponding fee) are not considered. </w:t>
      </w:r>
    </w:p>
    <w:p>
      <w:pPr>
        <w:autoSpaceDN w:val="0"/>
        <w:autoSpaceDE w:val="0"/>
        <w:widowControl/>
        <w:spacing w:line="228" w:lineRule="exact" w:before="1400" w:after="0"/>
        <w:ind w:left="0" w:right="726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23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116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autoSpaceDE w:val="0"/>
        <w:widowControl/>
        <w:spacing w:line="174" w:lineRule="exact" w:before="0" w:after="0"/>
        <w:ind w:left="0" w:right="444" w:firstLine="0"/>
        <w:jc w:val="righ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>the six months ended December 31, 2025 and 2024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21.9999999999999" w:type="dxa"/>
      </w:tblPr>
      <w:tblGrid>
        <w:gridCol w:w="4680"/>
        <w:gridCol w:w="4680"/>
      </w:tblGrid>
      <w:tr>
        <w:trPr>
          <w:trHeight w:hRule="exact" w:val="440"/>
        </w:trPr>
        <w:tc>
          <w:tcPr>
            <w:tcW w:type="dxa" w:w="3338"/>
            <w:tcBorders>
              <w:bottom w:sz="11.200000000000045" w:val="single" w:color="#00497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172" w:after="0"/>
              <w:ind w:left="114" w:right="0" w:firstLine="0"/>
              <w:jc w:val="left"/>
            </w:pPr>
            <w:r>
              <w:rPr>
                <w:w w:val="98.65285782586962"/>
                <w:rFonts w:ascii="CIDFont+F2" w:hAnsi="CIDFont+F2" w:eastAsia="CIDFont+F2"/>
                <w:b w:val="0"/>
                <w:i w:val="0"/>
                <w:color w:val="00497B"/>
                <w:sz w:val="21"/>
              </w:rPr>
              <w:t>Investments</w:t>
            </w:r>
          </w:p>
        </w:tc>
        <w:tc>
          <w:tcPr>
            <w:tcW w:type="dxa" w:w="5170"/>
            <w:tcBorders>
              <w:bottom w:sz="11.200000000000045" w:val="single" w:color="#00497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2" w:lineRule="exact" w:before="2" w:after="0"/>
              <w:ind w:left="0" w:right="0" w:firstLine="0"/>
              <w:jc w:val="right"/>
            </w:pPr>
            <w:r>
              <w:rPr>
                <w:w w:val="101.33335930960519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All amounts in USD millions, unless otherwise noted </w:t>
            </w:r>
          </w:p>
        </w:tc>
      </w:tr>
    </w:tbl>
    <w:p>
      <w:pPr>
        <w:autoSpaceDN w:val="0"/>
        <w:autoSpaceDE w:val="0"/>
        <w:widowControl/>
        <w:spacing w:line="298" w:lineRule="exact" w:before="228" w:after="0"/>
        <w:ind w:left="416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1F497D"/>
          <w:sz w:val="26"/>
        </w:rPr>
        <w:t xml:space="preserve"> Cash and Investments</w:t>
      </w:r>
    </w:p>
    <w:p>
      <w:pPr>
        <w:autoSpaceDN w:val="0"/>
        <w:autoSpaceDE w:val="0"/>
        <w:widowControl/>
        <w:spacing w:line="240" w:lineRule="auto" w:before="232" w:after="0"/>
        <w:ind w:left="3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75180" cy="355599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075180" cy="355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194" w:after="0"/>
        <w:ind w:left="518" w:right="344" w:firstLine="0"/>
        <w:jc w:val="both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Cash received from DPs contributions, loans from DPs and proceeds from the issuance of bonds (for IFFIM) are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managed by IBRD’s Treasury, which manages a commingled investment portfolio (the Pool) for all funds that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are administered by the Bank Group entities. The Pool also includes funds held in ICSID's escrow accounts. IBRD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maintains all assets underlying the trust funds’ fund balances separate and apart from the assets of the World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Bank Group. IBRD, on behalf of the World Bank Group, invests the funds in liquid financial instruments such as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government and agency obligations, time deposits, money-market securities and asset-backed securities, as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well as swaps and a range of other derivative instruments. Additionally, the pool also include equity securities.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The investment composition within the pool is based on the investment horizons and cash flow profiles of the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trust fund programs. Net investment income earned by the Pool is allocated to each trust fund based on its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share of cash and investments in the Pool. </w:t>
      </w:r>
    </w:p>
    <w:p>
      <w:pPr>
        <w:autoSpaceDN w:val="0"/>
        <w:autoSpaceDE w:val="0"/>
        <w:widowControl/>
        <w:spacing w:line="240" w:lineRule="auto" w:before="22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47030" cy="10668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47030" cy="1066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2" w:lineRule="exact" w:before="250" w:after="0"/>
        <w:ind w:left="518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 xml:space="preserve">Cash and Investments in DP Balance Accounts </w:t>
      </w:r>
    </w:p>
    <w:p>
      <w:pPr>
        <w:autoSpaceDN w:val="0"/>
        <w:autoSpaceDE w:val="0"/>
        <w:widowControl/>
        <w:spacing w:line="264" w:lineRule="exact" w:before="216" w:after="294"/>
        <w:ind w:left="518" w:right="298" w:firstLine="0"/>
        <w:jc w:val="both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DP balance accounts are established to hold unused funds from closed trust funds, investment income earned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on active trust fund balances, or on a temporary basis, subject to separate agreement, funds pending the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establishment of another trust fund. The funds in a DP balance accounts may only be returned to the DPs or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transferred to other trust funds as a contribution from DPs.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20.0" w:type="dxa"/>
      </w:tblPr>
      <w:tblGrid>
        <w:gridCol w:w="3120"/>
        <w:gridCol w:w="3120"/>
        <w:gridCol w:w="3120"/>
      </w:tblGrid>
      <w:tr>
        <w:trPr>
          <w:trHeight w:hRule="exact" w:val="232"/>
        </w:trPr>
        <w:tc>
          <w:tcPr>
            <w:tcW w:type="dxa" w:w="261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4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000000"/>
                <w:sz w:val="14"/>
              </w:rPr>
              <w:t>Top 5 DP Balance Accounts</w:t>
            </w:r>
          </w:p>
        </w:tc>
        <w:tc>
          <w:tcPr>
            <w:tcW w:type="dxa" w:w="27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4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000000"/>
                <w:sz w:val="14"/>
              </w:rPr>
              <w:t>December 31, 2025</w:t>
            </w:r>
          </w:p>
        </w:tc>
        <w:tc>
          <w:tcPr>
            <w:tcW w:type="dxa" w:w="318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4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000000"/>
                <w:sz w:val="14"/>
              </w:rPr>
              <w:t>December 31, 2024</w:t>
            </w:r>
          </w:p>
        </w:tc>
      </w:tr>
      <w:tr>
        <w:trPr>
          <w:trHeight w:hRule="exact" w:val="2812"/>
        </w:trPr>
        <w:tc>
          <w:tcPr>
            <w:tcW w:type="dxa" w:w="261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497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50" w:after="0"/>
              <w:ind w:left="144" w:right="0" w:firstLine="0"/>
              <w:jc w:val="left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Korea</w:t>
            </w:r>
          </w:p>
          <w:p>
            <w:pPr>
              <w:autoSpaceDN w:val="0"/>
              <w:autoSpaceDE w:val="0"/>
              <w:widowControl/>
              <w:spacing w:line="160" w:lineRule="exact" w:before="304" w:after="0"/>
              <w:ind w:left="144" w:right="0" w:firstLine="0"/>
              <w:jc w:val="left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Germany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144" w:right="0" w:firstLine="0"/>
              <w:jc w:val="left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Saudi Arabia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144" w:right="0" w:firstLine="0"/>
              <w:jc w:val="left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EC/EU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144" w:right="0" w:firstLine="0"/>
              <w:jc w:val="left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United States</w:t>
            </w:r>
          </w:p>
          <w:p>
            <w:pPr>
              <w:autoSpaceDN w:val="0"/>
              <w:autoSpaceDE w:val="0"/>
              <w:widowControl/>
              <w:spacing w:line="188" w:lineRule="exact" w:before="304" w:after="0"/>
              <w:ind w:left="144" w:right="0" w:firstLine="0"/>
              <w:jc w:val="left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Others</w:t>
            </w:r>
            <w:r>
              <w:rPr>
                <w:w w:val="95.01770973205566"/>
                <w:rFonts w:ascii="CIDFont+F7" w:hAnsi="CIDFont+F7" w:eastAsia="CIDFont+F7"/>
                <w:b w:val="0"/>
                <w:i w:val="0"/>
                <w:color w:val="636363"/>
                <w:sz w:val="10"/>
              </w:rPr>
              <w:t>20</w:t>
            </w:r>
          </w:p>
        </w:tc>
        <w:tc>
          <w:tcPr>
            <w:tcW w:type="dxa" w:w="27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497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50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83</w:t>
            </w:r>
          </w:p>
          <w:p>
            <w:pPr>
              <w:autoSpaceDN w:val="0"/>
              <w:autoSpaceDE w:val="0"/>
              <w:widowControl/>
              <w:spacing w:line="160" w:lineRule="exact" w:before="304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77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45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42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39</w:t>
            </w:r>
          </w:p>
          <w:p>
            <w:pPr>
              <w:autoSpaceDN w:val="0"/>
              <w:autoSpaceDE w:val="0"/>
              <w:widowControl/>
              <w:spacing w:line="162" w:lineRule="exact" w:before="31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355</w:t>
            </w:r>
          </w:p>
        </w:tc>
        <w:tc>
          <w:tcPr>
            <w:tcW w:type="dxa" w:w="3186"/>
            <w:tcBorders>
              <w:start w:sz="3.0" w:val="single" w:color="#000000"/>
              <w:top w:sz="3.0" w:val="single" w:color="#000000"/>
              <w:bottom w:sz="3.0" w:val="single" w:color="#00497B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150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77</w:t>
            </w:r>
          </w:p>
          <w:p>
            <w:pPr>
              <w:autoSpaceDN w:val="0"/>
              <w:autoSpaceDE w:val="0"/>
              <w:widowControl/>
              <w:spacing w:line="160" w:lineRule="exact" w:before="304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48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55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63</w:t>
            </w:r>
          </w:p>
          <w:p>
            <w:pPr>
              <w:autoSpaceDN w:val="0"/>
              <w:autoSpaceDE w:val="0"/>
              <w:widowControl/>
              <w:spacing w:line="160" w:lineRule="exact" w:before="30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32</w:t>
            </w:r>
          </w:p>
          <w:p>
            <w:pPr>
              <w:autoSpaceDN w:val="0"/>
              <w:autoSpaceDE w:val="0"/>
              <w:widowControl/>
              <w:spacing w:line="162" w:lineRule="exact" w:before="316" w:after="0"/>
              <w:ind w:left="0" w:right="0" w:firstLine="0"/>
              <w:jc w:val="center"/>
            </w:pPr>
            <w:r>
              <w:rPr>
                <w:w w:val="101.80468559265137"/>
                <w:rFonts w:ascii="CIDFont+F7" w:hAnsi="CIDFont+F7" w:eastAsia="CIDFont+F7"/>
                <w:b w:val="0"/>
                <w:i w:val="0"/>
                <w:color w:val="636363"/>
                <w:sz w:val="14"/>
              </w:rPr>
              <w:t>265</w:t>
            </w:r>
          </w:p>
        </w:tc>
      </w:tr>
      <w:tr>
        <w:trPr>
          <w:trHeight w:hRule="exact" w:val="239"/>
        </w:trPr>
        <w:tc>
          <w:tcPr>
            <w:tcW w:type="dxa" w:w="2612"/>
            <w:tcBorders>
              <w:start w:sz="3.0" w:val="single" w:color="#000000"/>
              <w:top w:sz="3.0" w:val="single" w:color="#00497B"/>
              <w:end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8" w:after="0"/>
              <w:ind w:left="0" w:right="0" w:firstLine="0"/>
              <w:jc w:val="center"/>
            </w:pPr>
            <w:r>
              <w:rPr>
                <w:w w:val="101.80468559265137"/>
                <w:rFonts w:ascii="CIDFont+F10" w:hAnsi="CIDFont+F10" w:eastAsia="CIDFont+F10"/>
                <w:b/>
                <w:i w:val="0"/>
                <w:color w:val="393E2D"/>
                <w:sz w:val="14"/>
              </w:rPr>
              <w:t>TOTAL</w:t>
            </w:r>
          </w:p>
        </w:tc>
        <w:tc>
          <w:tcPr>
            <w:tcW w:type="dxa" w:w="2762"/>
            <w:tcBorders>
              <w:start w:sz="3.0" w:val="single" w:color="#000000"/>
              <w:top w:sz="3.0" w:val="single" w:color="#00497B"/>
              <w:end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8" w:after="0"/>
              <w:ind w:left="0" w:right="0" w:firstLine="0"/>
              <w:jc w:val="center"/>
            </w:pPr>
            <w:r>
              <w:rPr>
                <w:w w:val="101.80468559265137"/>
                <w:rFonts w:ascii="CIDFont+F10" w:hAnsi="CIDFont+F10" w:eastAsia="CIDFont+F10"/>
                <w:b/>
                <w:i w:val="0"/>
                <w:color w:val="393E2D"/>
                <w:sz w:val="14"/>
              </w:rPr>
              <w:t>$641</w:t>
            </w:r>
          </w:p>
        </w:tc>
        <w:tc>
          <w:tcPr>
            <w:tcW w:type="dxa" w:w="3186"/>
            <w:tcBorders>
              <w:start w:sz="3.0" w:val="single" w:color="#000000"/>
              <w:top w:sz="3.0" w:val="single" w:color="#00497B"/>
              <w:end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62" w:lineRule="exact" w:before="38" w:after="0"/>
              <w:ind w:left="0" w:right="0" w:firstLine="0"/>
              <w:jc w:val="center"/>
            </w:pPr>
            <w:r>
              <w:rPr>
                <w:w w:val="101.80468559265137"/>
                <w:rFonts w:ascii="CIDFont+F10" w:hAnsi="CIDFont+F10" w:eastAsia="CIDFont+F10"/>
                <w:b/>
                <w:i w:val="0"/>
                <w:color w:val="393E2D"/>
                <w:sz w:val="14"/>
              </w:rPr>
              <w:t>$540</w:t>
            </w:r>
          </w:p>
        </w:tc>
      </w:tr>
    </w:tbl>
    <w:p>
      <w:pPr>
        <w:autoSpaceDN w:val="0"/>
        <w:autoSpaceDE w:val="0"/>
        <w:widowControl/>
        <w:spacing w:line="106" w:lineRule="exact" w:before="1014" w:after="0"/>
        <w:ind w:left="348" w:right="0" w:firstLine="0"/>
        <w:jc w:val="left"/>
      </w:pP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__________________________________________________ </w:t>
      </w:r>
    </w:p>
    <w:p>
      <w:pPr>
        <w:autoSpaceDN w:val="0"/>
        <w:autoSpaceDE w:val="0"/>
        <w:widowControl/>
        <w:spacing w:line="188" w:lineRule="exact" w:before="54" w:after="0"/>
        <w:ind w:left="348" w:right="288" w:firstLine="0"/>
        <w:jc w:val="left"/>
      </w:pPr>
      <w:r>
        <w:rPr>
          <w:w w:val="105.08649614122179"/>
          <w:rFonts w:ascii="CIDFont+F7" w:hAnsi="CIDFont+F7" w:eastAsia="CIDFont+F7"/>
          <w:b w:val="0"/>
          <w:i w:val="0"/>
          <w:color w:val="000000"/>
          <w:sz w:val="9"/>
        </w:rPr>
        <w:t>19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Primarily represents funds held in escrow on behalf of ICSID and DPs contributions to be applied to trust funds pending receipt of signed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agreements, and balances on administration accounts (IBRD/IFC). </w:t>
      </w:r>
    </w:p>
    <w:p>
      <w:pPr>
        <w:autoSpaceDN w:val="0"/>
        <w:autoSpaceDE w:val="0"/>
        <w:widowControl/>
        <w:spacing w:line="188" w:lineRule="exact" w:before="54" w:after="0"/>
        <w:ind w:left="348" w:right="288" w:firstLine="0"/>
        <w:jc w:val="left"/>
      </w:pP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 xml:space="preserve">20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Others includes balance accounts of Sovereign countries other than the top 5, WBG, multilateral development banks, United Nations 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agencies, and public and private institutions. Multi-donor holding accounts have also been grouped under others. </w:t>
      </w:r>
    </w:p>
    <w:p>
      <w:pPr>
        <w:autoSpaceDN w:val="0"/>
        <w:autoSpaceDE w:val="0"/>
        <w:widowControl/>
        <w:spacing w:line="228" w:lineRule="exact" w:before="394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24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200.0" w:type="dxa"/>
      </w:tblPr>
      <w:tblGrid>
        <w:gridCol w:w="4760"/>
        <w:gridCol w:w="4760"/>
      </w:tblGrid>
      <w:tr>
        <w:trPr>
          <w:trHeight w:hRule="exact" w:val="658"/>
        </w:trPr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52" w:lineRule="exact" w:before="346" w:after="0"/>
              <w:ind w:left="232" w:right="0" w:firstLine="0"/>
              <w:jc w:val="left"/>
            </w:pPr>
            <w:r>
              <w:rPr>
                <w:w w:val="98.6471448625837"/>
                <w:rFonts w:ascii="CIDFont+F2" w:hAnsi="CIDFont+F2" w:eastAsia="CIDFont+F2"/>
                <w:b w:val="0"/>
                <w:i w:val="0"/>
                <w:color w:val="00497B"/>
                <w:sz w:val="21"/>
              </w:rPr>
              <w:t xml:space="preserve">Investments </w:t>
            </w:r>
          </w:p>
        </w:tc>
        <w:tc>
          <w:tcPr>
            <w:tcW w:type="dxa" w:w="6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474" w:val="left"/>
              </w:tabs>
              <w:autoSpaceDE w:val="0"/>
              <w:widowControl/>
              <w:spacing w:line="172" w:lineRule="exact" w:before="2" w:after="0"/>
              <w:ind w:left="996" w:right="144" w:firstLine="0"/>
              <w:jc w:val="left"/>
            </w:pPr>
            <w:r>
              <w:rPr>
                <w:w w:val="101.32767813546317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Trust Fund Financial Information Summary for </w:t>
            </w:r>
            <w:r>
              <w:rPr>
                <w:rFonts w:ascii="CIDFont+F2" w:hAnsi="CIDFont+F2" w:eastAsia="CIDFont+F2"/>
                <w:b w:val="0"/>
                <w:i w:val="0"/>
                <w:color w:val="000000"/>
                <w:sz w:val="13"/>
              </w:rPr>
              <w:t xml:space="preserve">the six months ended December 31, 2025 and 2024 </w:t>
            </w:r>
            <w:r>
              <w:rPr>
                <w:w w:val="101.32767813546317"/>
                <w:rFonts w:ascii="CIDFont+F6" w:hAnsi="CIDFont+F6" w:eastAsia="CIDFont+F6"/>
                <w:b w:val="0"/>
                <w:i/>
                <w:color w:val="000000"/>
                <w:sz w:val="14"/>
              </w:rPr>
              <w:t xml:space="preserve">All amounts in USD millions, unless otherwise noted </w:t>
            </w:r>
          </w:p>
        </w:tc>
      </w:tr>
    </w:tbl>
    <w:p>
      <w:pPr>
        <w:autoSpaceDN w:val="0"/>
        <w:autoSpaceDE w:val="0"/>
        <w:widowControl/>
        <w:spacing w:line="300" w:lineRule="exact" w:before="92" w:after="0"/>
        <w:ind w:left="536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Cash and Investments (cont’d) </w:t>
      </w:r>
    </w:p>
    <w:p>
      <w:pPr>
        <w:autoSpaceDN w:val="0"/>
        <w:autoSpaceDE w:val="0"/>
        <w:widowControl/>
        <w:spacing w:line="192" w:lineRule="exact" w:before="264" w:after="0"/>
        <w:ind w:left="536" w:right="0" w:firstLine="0"/>
        <w:jc w:val="left"/>
      </w:pPr>
      <w:r>
        <w:rPr>
          <w:rFonts w:ascii="CIDFont+F4" w:hAnsi="CIDFont+F4" w:eastAsia="CIDFont+F4"/>
          <w:b/>
          <w:i w:val="0"/>
          <w:color w:val="00497B"/>
          <w:sz w:val="17"/>
        </w:rPr>
        <w:t xml:space="preserve">Investment Income </w:t>
      </w:r>
    </w:p>
    <w:p>
      <w:pPr>
        <w:autoSpaceDN w:val="0"/>
        <w:autoSpaceDE w:val="0"/>
        <w:widowControl/>
        <w:spacing w:line="240" w:lineRule="auto" w:before="30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008120" cy="1333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008120" cy="13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34" w:after="0"/>
        <w:ind w:left="53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886959" cy="310007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86959" cy="310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40" w:lineRule="auto" w:before="236" w:after="0"/>
        <w:ind w:left="51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464050" cy="280035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2800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16" w:lineRule="exact" w:before="100" w:after="0"/>
        <w:ind w:left="348" w:right="576" w:firstLine="0"/>
        <w:jc w:val="left"/>
      </w:pPr>
      <w:r>
        <w:rPr>
          <w:w w:val="105.08066813151042"/>
          <w:rFonts w:ascii="CIDFont+F7" w:hAnsi="CIDFont+F7" w:eastAsia="CIDFont+F7"/>
          <w:b w:val="0"/>
          <w:i w:val="0"/>
          <w:color w:val="000000"/>
          <w:sz w:val="9"/>
        </w:rPr>
        <w:t xml:space="preserve">_____________________________________________ </w:t>
      </w:r>
      <w:r>
        <w:br/>
      </w:r>
      <w:r>
        <w:rPr>
          <w:w w:val="105.08066813151042"/>
          <w:rFonts w:ascii="CIDFont+F8" w:hAnsi="CIDFont+F8" w:eastAsia="CIDFont+F8"/>
          <w:b w:val="0"/>
          <w:i/>
          <w:color w:val="000000"/>
          <w:sz w:val="9"/>
        </w:rPr>
        <w:t>21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Refers to the return in excess of the benchmarks determined by the WBG Treasury before deducting any investment management fee. </w:t>
      </w:r>
      <w:r>
        <w:rPr>
          <w:w w:val="101.32767813546317"/>
          <w:rFonts w:ascii="CIDFont+F8" w:hAnsi="CIDFont+F8" w:eastAsia="CIDFont+F8"/>
          <w:b w:val="0"/>
          <w:i/>
          <w:color w:val="000000"/>
          <w:sz w:val="14"/>
        </w:rPr>
        <w:t xml:space="preserve">* MP9 was newly included in December 2024 hence the average returns are not available in December 2024 MIR. </w:t>
      </w:r>
    </w:p>
    <w:p>
      <w:pPr>
        <w:autoSpaceDN w:val="0"/>
        <w:autoSpaceDE w:val="0"/>
        <w:widowControl/>
        <w:spacing w:line="228" w:lineRule="exact" w:before="194" w:after="0"/>
        <w:ind w:left="0" w:right="56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25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280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3496" w:val="left"/>
          <w:tab w:pos="5974" w:val="left"/>
        </w:tabs>
        <w:autoSpaceDE w:val="0"/>
        <w:widowControl/>
        <w:spacing w:line="312" w:lineRule="exact" w:before="0" w:after="0"/>
        <w:ind w:left="348" w:right="576" w:firstLine="0"/>
        <w:jc w:val="left"/>
      </w:pPr>
      <w:r>
        <w:tab/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tab/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  <w:r>
        <w:rPr>
          <w:w w:val="98.6471448625837"/>
          <w:rFonts w:ascii="CIDFont+F2" w:hAnsi="CIDFont+F2" w:eastAsia="CIDFont+F2"/>
          <w:b w:val="0"/>
          <w:i w:val="0"/>
          <w:color w:val="00497B"/>
          <w:sz w:val="21"/>
        </w:rPr>
        <w:t xml:space="preserve">Investments </w:t>
      </w:r>
      <w:r>
        <w:br/>
      </w: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Cash and Investments (cont’d) </w:t>
      </w:r>
    </w:p>
    <w:p>
      <w:pPr>
        <w:autoSpaceDN w:val="0"/>
        <w:autoSpaceDE w:val="0"/>
        <w:widowControl/>
        <w:spacing w:line="240" w:lineRule="auto" w:before="390" w:after="0"/>
        <w:ind w:left="3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839460" cy="38481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839460" cy="3848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28" w:lineRule="exact" w:before="224" w:after="0"/>
        <w:ind w:left="348" w:right="0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 Investment Composition </w:t>
      </w:r>
    </w:p>
    <w:p>
      <w:pPr>
        <w:autoSpaceDN w:val="0"/>
        <w:autoSpaceDE w:val="0"/>
        <w:widowControl/>
        <w:spacing w:line="240" w:lineRule="auto" w:before="224" w:after="0"/>
        <w:ind w:left="348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5232400" cy="2058669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32400" cy="20586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52" w:lineRule="exact" w:before="1924" w:after="0"/>
        <w:ind w:left="348" w:right="864" w:firstLine="0"/>
        <w:jc w:val="left"/>
      </w:pPr>
      <w:r>
        <w:rPr>
          <w:w w:val="101.32767813546317"/>
          <w:rFonts w:ascii="CIDFont+F2" w:hAnsi="CIDFont+F2" w:eastAsia="CIDFont+F2"/>
          <w:b w:val="0"/>
          <w:i w:val="0"/>
          <w:color w:val="000000"/>
          <w:sz w:val="14"/>
        </w:rPr>
        <w:t xml:space="preserve">___________________________________________ </w:t>
      </w:r>
      <w:r>
        <w:br/>
      </w:r>
      <w:r>
        <w:rPr>
          <w:w w:val="95.0730005900065"/>
          <w:rFonts w:ascii="CIDFont+F8" w:hAnsi="CIDFont+F8" w:eastAsia="CIDFont+F8"/>
          <w:b w:val="0"/>
          <w:i/>
          <w:color w:val="000000"/>
          <w:sz w:val="9"/>
        </w:rPr>
        <w:t xml:space="preserve">22 </w:t>
      </w:r>
      <w:r>
        <w:rPr>
          <w:rFonts w:ascii="CIDFont+F8" w:hAnsi="CIDFont+F8" w:eastAsia="CIDFont+F8"/>
          <w:b w:val="0"/>
          <w:i/>
          <w:color w:val="000000"/>
          <w:sz w:val="13"/>
        </w:rPr>
        <w:t xml:space="preserve">Negative amounts in MM/Cash and Swaps are due to excess payable position over receivable position as of December 31, 2025 and as of </w:t>
      </w:r>
    </w:p>
    <w:p>
      <w:pPr>
        <w:autoSpaceDN w:val="0"/>
        <w:autoSpaceDE w:val="0"/>
        <w:widowControl/>
        <w:spacing w:line="146" w:lineRule="exact" w:before="28" w:after="0"/>
        <w:ind w:left="348" w:right="0" w:firstLine="0"/>
        <w:jc w:val="left"/>
      </w:pPr>
      <w:r>
        <w:rPr>
          <w:rFonts w:ascii="CIDFont+F8" w:hAnsi="CIDFont+F8" w:eastAsia="CIDFont+F8"/>
          <w:b w:val="0"/>
          <w:i/>
          <w:color w:val="000000"/>
          <w:sz w:val="13"/>
        </w:rPr>
        <w:t>December 31, 2024.</w:t>
      </w:r>
    </w:p>
    <w:p>
      <w:pPr>
        <w:autoSpaceDN w:val="0"/>
        <w:tabs>
          <w:tab w:pos="8726" w:val="left"/>
        </w:tabs>
        <w:autoSpaceDE w:val="0"/>
        <w:widowControl/>
        <w:spacing w:line="334" w:lineRule="exact" w:before="214" w:after="0"/>
        <w:ind w:left="348" w:right="576" w:firstLine="0"/>
        <w:jc w:val="left"/>
      </w:pPr>
      <w:r>
        <w:tab/>
      </w: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26 </w:t>
      </w: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236" w:bottom="11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4" w:lineRule="exact" w:before="0" w:after="0"/>
        <w:ind w:left="3500" w:right="288" w:firstLine="0"/>
        <w:jc w:val="left"/>
      </w:pP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3335930960519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52" w:lineRule="exact" w:before="200" w:after="0"/>
        <w:ind w:left="536" w:right="0" w:firstLine="0"/>
        <w:jc w:val="left"/>
      </w:pPr>
      <w:r>
        <w:rPr>
          <w:w w:val="98.65285782586962"/>
          <w:rFonts w:ascii="CIDFont+F2" w:hAnsi="CIDFont+F2" w:eastAsia="CIDFont+F2"/>
          <w:b w:val="0"/>
          <w:i w:val="0"/>
          <w:color w:val="00497B"/>
          <w:sz w:val="21"/>
        </w:rPr>
        <w:t xml:space="preserve">Cost Recovery </w:t>
      </w:r>
    </w:p>
    <w:p>
      <w:pPr>
        <w:autoSpaceDN w:val="0"/>
        <w:autoSpaceDE w:val="0"/>
        <w:widowControl/>
        <w:spacing w:line="298" w:lineRule="exact" w:before="174" w:after="0"/>
        <w:ind w:left="432" w:right="0" w:firstLine="0"/>
        <w:jc w:val="left"/>
      </w:pPr>
      <w:r>
        <w:rPr>
          <w:w w:val="101.33307530329778"/>
          <w:rFonts w:ascii="CIDFont+F4" w:hAnsi="CIDFont+F4" w:eastAsia="CIDFont+F4"/>
          <w:b/>
          <w:i w:val="0"/>
          <w:color w:val="00497B"/>
          <w:sz w:val="26"/>
        </w:rPr>
        <w:t xml:space="preserve">Cost Recovery </w:t>
      </w:r>
    </w:p>
    <w:p>
      <w:pPr>
        <w:autoSpaceDN w:val="0"/>
        <w:autoSpaceDE w:val="0"/>
        <w:widowControl/>
        <w:spacing w:line="228" w:lineRule="exact" w:before="300" w:after="0"/>
        <w:ind w:left="434" w:right="0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WBG charges administrative fees, pursuant to administrative agreements with DPs to assist in the defrayment </w:t>
      </w:r>
    </w:p>
    <w:p>
      <w:pPr>
        <w:autoSpaceDN w:val="0"/>
        <w:autoSpaceDE w:val="0"/>
        <w:widowControl/>
        <w:spacing w:line="228" w:lineRule="exact" w:before="36" w:after="0"/>
        <w:ind w:left="434" w:right="0" w:firstLine="0"/>
        <w:jc w:val="lef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of the costs incurred for the administration, supervision and oversight of trust funds. </w:t>
      </w:r>
    </w:p>
    <w:p>
      <w:pPr>
        <w:autoSpaceDN w:val="0"/>
        <w:autoSpaceDE w:val="0"/>
        <w:widowControl/>
        <w:spacing w:line="240" w:lineRule="auto" w:before="294" w:after="32"/>
        <w:ind w:left="344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509520" cy="598169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09520" cy="598169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1.9999999999999" w:type="dxa"/>
      </w:tblPr>
      <w:tblGrid>
        <w:gridCol w:w="3120"/>
        <w:gridCol w:w="3120"/>
        <w:gridCol w:w="3120"/>
      </w:tblGrid>
      <w:tr>
        <w:trPr>
          <w:trHeight w:hRule="exact" w:val="240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0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Description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0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YTD FY26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20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YTD FY25</w:t>
            </w:r>
          </w:p>
        </w:tc>
      </w:tr>
      <w:tr>
        <w:trPr>
          <w:trHeight w:hRule="exact" w:val="518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0" w:after="0"/>
              <w:ind w:left="162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Administrative Fees and Expenses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0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89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60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81</w:t>
            </w:r>
          </w:p>
        </w:tc>
      </w:tr>
      <w:tr>
        <w:trPr>
          <w:trHeight w:hRule="exact" w:val="563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8" w:after="0"/>
              <w:ind w:left="162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Indirects charges on Personnel Cost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8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33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8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37</w:t>
            </w:r>
          </w:p>
        </w:tc>
      </w:tr>
      <w:tr>
        <w:trPr>
          <w:trHeight w:hRule="exact" w:val="380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90" w:after="0"/>
              <w:ind w:left="3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Total Cost Recovery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90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$122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90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$118</w:t>
            </w:r>
          </w:p>
        </w:tc>
      </w:tr>
    </w:tbl>
    <w:p>
      <w:pPr>
        <w:autoSpaceDN w:val="0"/>
        <w:autoSpaceDE w:val="0"/>
        <w:widowControl/>
        <w:spacing w:line="228" w:lineRule="exact" w:before="310" w:after="34"/>
        <w:ind w:left="348" w:right="0" w:firstLine="0"/>
        <w:jc w:val="left"/>
      </w:pPr>
      <w:r>
        <w:rPr>
          <w:w w:val="98.37079299123663"/>
          <w:rFonts w:ascii="CIDFont+F1" w:hAnsi="CIDFont+F1" w:eastAsia="CIDFont+F1"/>
          <w:b/>
          <w:i w:val="0"/>
          <w:color w:val="00538F"/>
          <w:sz w:val="19"/>
        </w:rPr>
        <w:t xml:space="preserve">Administrative Fee &amp; Expenses Composition: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1.9999999999999" w:type="dxa"/>
      </w:tblPr>
      <w:tblGrid>
        <w:gridCol w:w="3120"/>
        <w:gridCol w:w="3120"/>
        <w:gridCol w:w="3120"/>
      </w:tblGrid>
      <w:tr>
        <w:trPr>
          <w:trHeight w:hRule="exact" w:val="283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Description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YTD FY26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YTD FY25</w:t>
            </w:r>
          </w:p>
        </w:tc>
      </w:tr>
      <w:tr>
        <w:trPr>
          <w:trHeight w:hRule="exact" w:val="564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6" w:after="0"/>
              <w:ind w:left="162" w:right="1008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 xml:space="preserve">Fees charged as a percentage of grant </w:t>
            </w: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commitments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38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29</w:t>
            </w:r>
          </w:p>
        </w:tc>
      </w:tr>
      <w:tr>
        <w:trPr>
          <w:trHeight w:hRule="exact" w:val="563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4" w:lineRule="exact" w:before="46" w:after="0"/>
              <w:ind w:left="162" w:right="432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 xml:space="preserve">Fee charged as a percentage of contributions </w:t>
            </w: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received from donors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7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14</w:t>
            </w:r>
          </w:p>
        </w:tc>
      </w:tr>
      <w:tr>
        <w:trPr>
          <w:trHeight w:hRule="exact" w:val="564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162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FIF Secretariat fees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13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13</w:t>
            </w:r>
          </w:p>
        </w:tc>
      </w:tr>
      <w:tr>
        <w:trPr>
          <w:trHeight w:hRule="exact" w:val="563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162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Financial Intermediary funds - Billing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13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11</w:t>
            </w:r>
          </w:p>
        </w:tc>
      </w:tr>
      <w:tr>
        <w:trPr>
          <w:trHeight w:hRule="exact" w:val="565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42" w:after="0"/>
              <w:ind w:left="162" w:right="144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 xml:space="preserve">Fee charged as a percentage on disbursements of </w:t>
            </w: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BE activities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16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11</w:t>
            </w:r>
          </w:p>
        </w:tc>
      </w:tr>
      <w:tr>
        <w:trPr>
          <w:trHeight w:hRule="exact" w:val="549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86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64.00000000000006" w:type="dxa"/>
            </w:tblPr>
            <w:tblGrid>
              <w:gridCol w:w="2094"/>
              <w:gridCol w:w="2094"/>
            </w:tblGrid>
            <w:tr>
              <w:trPr>
                <w:trHeight w:hRule="exact" w:val="348"/>
              </w:trPr>
              <w:tc>
                <w:tcPr>
                  <w:tcW w:type="dxa" w:w="9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06" w:lineRule="exact" w:before="102" w:after="0"/>
                    <w:ind w:left="98" w:right="0" w:firstLine="0"/>
                    <w:jc w:val="left"/>
                  </w:pPr>
                  <w:r>
                    <w:rPr>
                      <w:rFonts w:ascii="CIDFont+F2" w:hAnsi="CIDFont+F2" w:eastAsia="CIDFont+F2"/>
                      <w:b w:val="0"/>
                      <w:i w:val="0"/>
                      <w:color w:val="636363"/>
                      <w:sz w:val="17"/>
                    </w:rPr>
                    <w:t xml:space="preserve">Other fees </w:t>
                  </w:r>
                </w:p>
              </w:tc>
              <w:tc>
                <w:tcPr>
                  <w:tcW w:type="dxa" w:w="1640"/>
                  <w:tcBorders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138" w:lineRule="exact" w:before="60" w:after="0"/>
                    <w:ind w:left="4" w:right="0" w:firstLine="0"/>
                    <w:jc w:val="left"/>
                  </w:pPr>
                  <w:r>
                    <w:rPr>
                      <w:w w:val="102.50649018721147"/>
                      <w:rFonts w:ascii="CIDFont+F2" w:hAnsi="CIDFont+F2" w:eastAsia="CIDFont+F2"/>
                      <w:b w:val="0"/>
                      <w:i w:val="0"/>
                      <w:color w:val="636363"/>
                      <w:sz w:val="11"/>
                    </w:rPr>
                    <w:t>23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2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3</w:t>
            </w:r>
          </w:p>
        </w:tc>
      </w:tr>
      <w:tr>
        <w:trPr>
          <w:trHeight w:hRule="exact" w:val="281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3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Total Administrative Fees and Expenses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$89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34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$81</w:t>
            </w:r>
          </w:p>
        </w:tc>
      </w:tr>
    </w:tbl>
    <w:p>
      <w:pPr>
        <w:autoSpaceDN w:val="0"/>
        <w:autoSpaceDE w:val="0"/>
        <w:widowControl/>
        <w:spacing w:line="228" w:lineRule="exact" w:before="312" w:after="0"/>
        <w:ind w:left="348" w:right="0" w:firstLine="0"/>
        <w:jc w:val="left"/>
      </w:pPr>
      <w:r>
        <w:rPr>
          <w:w w:val="98.37079299123663"/>
          <w:rFonts w:ascii="CIDFont+F1" w:hAnsi="CIDFont+F1" w:eastAsia="CIDFont+F1"/>
          <w:b/>
          <w:i w:val="0"/>
          <w:color w:val="00538F"/>
          <w:sz w:val="19"/>
        </w:rPr>
        <w:t>Indirects charges on Personnel Cost Composition</w:t>
      </w:r>
      <w:r>
        <w:rPr>
          <w:w w:val="98.37079299123663"/>
          <w:rFonts w:ascii="CIDFont+F1" w:hAnsi="CIDFont+F1" w:eastAsia="CIDFont+F1"/>
          <w:b/>
          <w:i w:val="0"/>
          <w:color w:val="000000"/>
          <w:sz w:val="19"/>
        </w:rPr>
        <w:t xml:space="preserve">: </w:t>
      </w:r>
    </w:p>
    <w:p>
      <w:pPr>
        <w:autoSpaceDN w:val="0"/>
        <w:autoSpaceDE w:val="0"/>
        <w:widowControl/>
        <w:spacing w:line="230" w:lineRule="exact" w:before="32" w:after="186"/>
        <w:ind w:left="348" w:right="430" w:firstLine="0"/>
        <w:jc w:val="both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For BE activities, the computation of personnel costs (Staff costs, Short-Term Consultants/ Temporary Costs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(STC/STT) and Extended Term Consultants/Temporary costs (ETC/ETT) includes indirect costs, charged in </w:t>
      </w: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accordance with Bank policies and procedures.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1.9999999999999" w:type="dxa"/>
      </w:tblPr>
      <w:tblGrid>
        <w:gridCol w:w="3120"/>
        <w:gridCol w:w="3120"/>
        <w:gridCol w:w="3120"/>
      </w:tblGrid>
      <w:tr>
        <w:trPr>
          <w:trHeight w:hRule="exact" w:val="282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Description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YTD FY26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7"/>
              </w:rPr>
              <w:t>YTD FY25</w:t>
            </w:r>
          </w:p>
        </w:tc>
      </w:tr>
      <w:tr>
        <w:trPr>
          <w:trHeight w:hRule="exact" w:val="563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162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Staff costs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22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25</w:t>
            </w:r>
          </w:p>
        </w:tc>
      </w:tr>
      <w:tr>
        <w:trPr>
          <w:trHeight w:hRule="exact" w:val="550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8" w:after="0"/>
              <w:ind w:left="162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Short Term Consultants/Temporary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8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9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6" w:lineRule="exact" w:before="178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10</w:t>
            </w:r>
          </w:p>
        </w:tc>
      </w:tr>
      <w:tr>
        <w:trPr>
          <w:trHeight w:hRule="exact" w:val="550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76" w:after="0"/>
              <w:ind w:left="162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Extended Term Consultants/Temporary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2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17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7"/>
              </w:rPr>
              <w:t>2</w:t>
            </w:r>
          </w:p>
        </w:tc>
      </w:tr>
      <w:tr>
        <w:trPr>
          <w:trHeight w:hRule="exact" w:val="283"/>
        </w:trPr>
        <w:tc>
          <w:tcPr>
            <w:tcW w:type="dxa" w:w="418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3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Total Indirects charges on Personnel Cost</w:t>
            </w:r>
          </w:p>
        </w:tc>
        <w:tc>
          <w:tcPr>
            <w:tcW w:type="dxa" w:w="1366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$33</w:t>
            </w:r>
          </w:p>
        </w:tc>
        <w:tc>
          <w:tcPr>
            <w:tcW w:type="dxa" w:w="1254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08" w:lineRule="exact" w:before="34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7"/>
              </w:rPr>
              <w:t>$37</w:t>
            </w:r>
          </w:p>
        </w:tc>
      </w:tr>
    </w:tbl>
    <w:p>
      <w:pPr>
        <w:autoSpaceDN w:val="0"/>
        <w:autoSpaceDE w:val="0"/>
        <w:widowControl/>
        <w:spacing w:line="184" w:lineRule="exact" w:before="244" w:after="0"/>
        <w:ind w:left="348" w:right="0" w:firstLine="0"/>
        <w:jc w:val="left"/>
      </w:pPr>
      <w:r>
        <w:rPr>
          <w:rFonts w:ascii="CIDFont+F2" w:hAnsi="CIDFont+F2" w:eastAsia="CIDFont+F2"/>
          <w:b w:val="0"/>
          <w:i w:val="0"/>
          <w:color w:val="000000"/>
          <w:sz w:val="15"/>
        </w:rPr>
        <w:t xml:space="preserve">___________________________________________ </w:t>
      </w:r>
    </w:p>
    <w:p>
      <w:pPr>
        <w:autoSpaceDN w:val="0"/>
        <w:autoSpaceDE w:val="0"/>
        <w:widowControl/>
        <w:spacing w:line="162" w:lineRule="exact" w:before="216" w:after="0"/>
        <w:ind w:left="348" w:right="0" w:firstLine="0"/>
        <w:jc w:val="left"/>
      </w:pPr>
      <w:r>
        <w:rPr>
          <w:w w:val="105.08649614122179"/>
          <w:rFonts w:ascii="CIDFont+F8" w:hAnsi="CIDFont+F8" w:eastAsia="CIDFont+F8"/>
          <w:b w:val="0"/>
          <w:i/>
          <w:color w:val="000000"/>
          <w:sz w:val="9"/>
        </w:rPr>
        <w:t>23</w:t>
      </w:r>
      <w:r>
        <w:rPr>
          <w:w w:val="101.33335930960519"/>
          <w:rFonts w:ascii="CIDFont+F8" w:hAnsi="CIDFont+F8" w:eastAsia="CIDFont+F8"/>
          <w:b w:val="0"/>
          <w:i/>
          <w:color w:val="000000"/>
          <w:sz w:val="14"/>
        </w:rPr>
        <w:t xml:space="preserve"> Other fees include any special arrangements, manual fee recovery </w:t>
      </w:r>
    </w:p>
    <w:p>
      <w:pPr>
        <w:autoSpaceDN w:val="0"/>
        <w:autoSpaceDE w:val="0"/>
        <w:widowControl/>
        <w:spacing w:line="228" w:lineRule="exact" w:before="296" w:after="0"/>
        <w:ind w:left="0" w:right="400" w:firstLine="0"/>
        <w:jc w:val="right"/>
      </w:pPr>
      <w:r>
        <w:rPr>
          <w:w w:val="98.37079299123663"/>
          <w:rFonts w:ascii="CIDFont+F2" w:hAnsi="CIDFont+F2" w:eastAsia="CIDFont+F2"/>
          <w:b w:val="0"/>
          <w:i w:val="0"/>
          <w:color w:val="000000"/>
          <w:sz w:val="19"/>
        </w:rPr>
        <w:t xml:space="preserve">27 </w:t>
      </w:r>
    </w:p>
    <w:p>
      <w:pPr>
        <w:autoSpaceDN w:val="0"/>
        <w:autoSpaceDE w:val="0"/>
        <w:widowControl/>
        <w:spacing w:line="148" w:lineRule="exact" w:before="188" w:after="0"/>
        <w:ind w:left="348" w:right="0" w:firstLine="0"/>
        <w:jc w:val="left"/>
      </w:pPr>
      <w:r>
        <w:rPr>
          <w:w w:val="101.3333797454834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p>
      <w:pPr>
        <w:sectPr>
          <w:pgSz w:w="12240" w:h="15840"/>
          <w:pgMar w:top="356" w:right="1440" w:bottom="11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36"/>
        <w:ind w:left="0" w:right="0"/>
      </w:pPr>
    </w:p>
    <w:p>
      <w:pPr>
        <w:autoSpaceDN w:val="0"/>
        <w:tabs>
          <w:tab w:pos="5974" w:val="left"/>
        </w:tabs>
        <w:autoSpaceDE w:val="0"/>
        <w:widowControl/>
        <w:spacing w:line="172" w:lineRule="exact" w:before="2" w:after="0"/>
        <w:ind w:left="3496" w:right="288" w:firstLine="0"/>
        <w:jc w:val="left"/>
      </w:pP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Trust Fund Financial Information Summary for </w:t>
      </w:r>
      <w:r>
        <w:rPr>
          <w:rFonts w:ascii="CIDFont+F2" w:hAnsi="CIDFont+F2" w:eastAsia="CIDFont+F2"/>
          <w:b w:val="0"/>
          <w:i w:val="0"/>
          <w:color w:val="000000"/>
          <w:sz w:val="13"/>
        </w:rPr>
        <w:t xml:space="preserve">the six months ended December 31, 2025 and 2024 </w:t>
      </w:r>
      <w:r>
        <w:rPr>
          <w:w w:val="101.32767813546317"/>
          <w:rFonts w:ascii="CIDFont+F6" w:hAnsi="CIDFont+F6" w:eastAsia="CIDFont+F6"/>
          <w:b w:val="0"/>
          <w:i/>
          <w:color w:val="000000"/>
          <w:sz w:val="14"/>
        </w:rPr>
        <w:t xml:space="preserve">All amounts in USD millions, unless otherwise noted </w:t>
      </w:r>
    </w:p>
    <w:p>
      <w:pPr>
        <w:autoSpaceDN w:val="0"/>
        <w:autoSpaceDE w:val="0"/>
        <w:widowControl/>
        <w:spacing w:line="254" w:lineRule="exact" w:before="374" w:after="0"/>
        <w:ind w:left="536" w:right="0" w:firstLine="0"/>
        <w:jc w:val="left"/>
      </w:pPr>
      <w:r>
        <w:rPr>
          <w:w w:val="98.6471448625837"/>
          <w:rFonts w:ascii="CIDFont+F2" w:hAnsi="CIDFont+F2" w:eastAsia="CIDFont+F2"/>
          <w:b w:val="0"/>
          <w:i w:val="0"/>
          <w:color w:val="00497B"/>
          <w:sz w:val="21"/>
        </w:rPr>
        <w:t xml:space="preserve">Cost Recovery </w:t>
      </w:r>
    </w:p>
    <w:p>
      <w:pPr>
        <w:autoSpaceDN w:val="0"/>
        <w:autoSpaceDE w:val="0"/>
        <w:widowControl/>
        <w:spacing w:line="300" w:lineRule="exact" w:before="170" w:after="0"/>
        <w:ind w:left="432" w:right="0" w:firstLine="0"/>
        <w:jc w:val="left"/>
      </w:pPr>
      <w:r>
        <w:rPr>
          <w:w w:val="101.32788144625151"/>
          <w:rFonts w:ascii="CIDFont+F4" w:hAnsi="CIDFont+F4" w:eastAsia="CIDFont+F4"/>
          <w:b/>
          <w:i w:val="0"/>
          <w:color w:val="00497B"/>
          <w:sz w:val="26"/>
        </w:rPr>
        <w:t xml:space="preserve">Cost Recovery </w:t>
      </w:r>
    </w:p>
    <w:p>
      <w:pPr>
        <w:autoSpaceDN w:val="0"/>
        <w:autoSpaceDE w:val="0"/>
        <w:widowControl/>
        <w:spacing w:line="228" w:lineRule="exact" w:before="302" w:after="0"/>
        <w:ind w:left="348" w:right="0" w:firstLine="0"/>
        <w:jc w:val="left"/>
      </w:pPr>
      <w:r>
        <w:rPr>
          <w:w w:val="98.36526168020147"/>
          <w:rFonts w:ascii="CIDFont+F1" w:hAnsi="CIDFont+F1" w:eastAsia="CIDFont+F1"/>
          <w:b/>
          <w:i w:val="0"/>
          <w:color w:val="00538F"/>
          <w:sz w:val="19"/>
        </w:rPr>
        <w:t>Administrative Fees through FIF Billings</w:t>
      </w:r>
      <w:r>
        <w:rPr>
          <w:w w:val="98.36526168020147"/>
          <w:rFonts w:ascii="CIDFont+F1" w:hAnsi="CIDFont+F1" w:eastAsia="CIDFont+F1"/>
          <w:b/>
          <w:i w:val="0"/>
          <w:color w:val="000000"/>
          <w:sz w:val="19"/>
        </w:rPr>
        <w:t xml:space="preserve">: </w:t>
      </w:r>
    </w:p>
    <w:p>
      <w:pPr>
        <w:autoSpaceDN w:val="0"/>
        <w:autoSpaceDE w:val="0"/>
        <w:widowControl/>
        <w:spacing w:line="228" w:lineRule="exact" w:before="222" w:after="0"/>
        <w:ind w:left="348" w:right="0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Fees are charged by the respective business units to recover administration costs for providing trustee services </w:t>
      </w:r>
    </w:p>
    <w:p>
      <w:pPr>
        <w:autoSpaceDN w:val="0"/>
        <w:autoSpaceDE w:val="0"/>
        <w:widowControl/>
        <w:spacing w:line="228" w:lineRule="exact" w:before="36" w:after="222"/>
        <w:ind w:left="348" w:right="0" w:firstLine="0"/>
        <w:jc w:val="lef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to the FIFs.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50.0" w:type="dxa"/>
      </w:tblPr>
      <w:tblGrid>
        <w:gridCol w:w="3120"/>
        <w:gridCol w:w="3120"/>
        <w:gridCol w:w="3120"/>
      </w:tblGrid>
      <w:tr>
        <w:trPr>
          <w:trHeight w:hRule="exact" w:val="260"/>
        </w:trPr>
        <w:tc>
          <w:tcPr>
            <w:tcW w:type="dxa" w:w="42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6"/>
              </w:rPr>
              <w:t>Unit</w:t>
            </w:r>
          </w:p>
        </w:tc>
        <w:tc>
          <w:tcPr>
            <w:tcW w:type="dxa" w:w="136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6"/>
              </w:rPr>
              <w:t>YTD FY26</w:t>
            </w:r>
          </w:p>
        </w:tc>
        <w:tc>
          <w:tcPr>
            <w:tcW w:type="dxa" w:w="12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00497B"/>
                <w:sz w:val="16"/>
              </w:rPr>
              <w:t>YTD FY25</w:t>
            </w:r>
          </w:p>
        </w:tc>
      </w:tr>
      <w:tr>
        <w:trPr>
          <w:trHeight w:hRule="exact" w:val="524"/>
        </w:trPr>
        <w:tc>
          <w:tcPr>
            <w:tcW w:type="dxa" w:w="42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56" w:after="0"/>
              <w:ind w:left="164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TRE</w:t>
            </w:r>
          </w:p>
        </w:tc>
        <w:tc>
          <w:tcPr>
            <w:tcW w:type="dxa" w:w="136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5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5</w:t>
            </w:r>
          </w:p>
        </w:tc>
        <w:tc>
          <w:tcPr>
            <w:tcW w:type="dxa" w:w="12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5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4</w:t>
            </w:r>
          </w:p>
        </w:tc>
      </w:tr>
      <w:tr>
        <w:trPr>
          <w:trHeight w:hRule="exact" w:val="522"/>
        </w:trPr>
        <w:tc>
          <w:tcPr>
            <w:tcW w:type="dxa" w:w="42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56" w:after="0"/>
              <w:ind w:left="164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DFTFPR</w:t>
            </w:r>
          </w:p>
        </w:tc>
        <w:tc>
          <w:tcPr>
            <w:tcW w:type="dxa" w:w="136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5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3</w:t>
            </w:r>
          </w:p>
        </w:tc>
        <w:tc>
          <w:tcPr>
            <w:tcW w:type="dxa" w:w="12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5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3</w:t>
            </w:r>
          </w:p>
        </w:tc>
      </w:tr>
      <w:tr>
        <w:trPr>
          <w:trHeight w:hRule="exact" w:val="522"/>
        </w:trPr>
        <w:tc>
          <w:tcPr>
            <w:tcW w:type="dxa" w:w="42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54" w:after="0"/>
              <w:ind w:left="164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CRO and Non-Core Units</w:t>
            </w:r>
          </w:p>
        </w:tc>
        <w:tc>
          <w:tcPr>
            <w:tcW w:type="dxa" w:w="136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5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3</w:t>
            </w:r>
          </w:p>
        </w:tc>
        <w:tc>
          <w:tcPr>
            <w:tcW w:type="dxa" w:w="12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8" w:lineRule="exact" w:before="15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2</w:t>
            </w:r>
          </w:p>
        </w:tc>
      </w:tr>
      <w:tr>
        <w:trPr>
          <w:trHeight w:hRule="exact" w:val="522"/>
        </w:trPr>
        <w:tc>
          <w:tcPr>
            <w:tcW w:type="dxa" w:w="42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56" w:after="0"/>
              <w:ind w:left="164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CTR</w:t>
            </w:r>
          </w:p>
        </w:tc>
        <w:tc>
          <w:tcPr>
            <w:tcW w:type="dxa" w:w="136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5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1</w:t>
            </w:r>
          </w:p>
        </w:tc>
        <w:tc>
          <w:tcPr>
            <w:tcW w:type="dxa" w:w="12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56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1</w:t>
            </w:r>
          </w:p>
        </w:tc>
      </w:tr>
      <w:tr>
        <w:trPr>
          <w:trHeight w:hRule="exact" w:val="530"/>
        </w:trPr>
        <w:tc>
          <w:tcPr>
            <w:tcW w:type="dxa" w:w="42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4" w:after="0"/>
              <w:ind w:left="164" w:right="0" w:firstLine="0"/>
              <w:jc w:val="left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LEG</w:t>
            </w:r>
          </w:p>
        </w:tc>
        <w:tc>
          <w:tcPr>
            <w:tcW w:type="dxa" w:w="136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1</w:t>
            </w:r>
          </w:p>
        </w:tc>
        <w:tc>
          <w:tcPr>
            <w:tcW w:type="dxa" w:w="12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dde6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164" w:after="0"/>
              <w:ind w:left="0" w:right="0" w:firstLine="0"/>
              <w:jc w:val="center"/>
            </w:pPr>
            <w:r>
              <w:rPr>
                <w:rFonts w:ascii="CIDFont+F2" w:hAnsi="CIDFont+F2" w:eastAsia="CIDFont+F2"/>
                <w:b w:val="0"/>
                <w:i w:val="0"/>
                <w:color w:val="636363"/>
                <w:sz w:val="16"/>
              </w:rPr>
              <w:t>1</w:t>
            </w:r>
          </w:p>
        </w:tc>
      </w:tr>
      <w:tr>
        <w:trPr>
          <w:trHeight w:hRule="exact" w:val="261"/>
        </w:trPr>
        <w:tc>
          <w:tcPr>
            <w:tcW w:type="dxa" w:w="422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6" w:after="0"/>
              <w:ind w:left="26" w:right="0" w:firstLine="0"/>
              <w:jc w:val="left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6"/>
              </w:rPr>
              <w:t>Total FIF Billing Admin Fees per Business Unit</w:t>
            </w:r>
          </w:p>
        </w:tc>
        <w:tc>
          <w:tcPr>
            <w:tcW w:type="dxa" w:w="1368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6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6"/>
              </w:rPr>
              <w:t>$13</w:t>
            </w:r>
          </w:p>
        </w:tc>
        <w:tc>
          <w:tcPr>
            <w:tcW w:type="dxa" w:w="1262"/>
            <w:tcBorders>
              <w:start w:sz="3.0" w:val="single" w:color="#000000"/>
              <w:top w:sz="3.0" w:val="single" w:color="#000000"/>
              <w:end w:sz="3.0" w:val="single" w:color="#000000"/>
              <w:bottom w:sz="3.0" w:val="single" w:color="#000000"/>
            </w:tcBorders>
            <w:shd w:fill="ebebe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6" w:lineRule="exact" w:before="26" w:after="0"/>
              <w:ind w:left="0" w:right="0" w:firstLine="0"/>
              <w:jc w:val="center"/>
            </w:pPr>
            <w:r>
              <w:rPr>
                <w:rFonts w:ascii="CIDFont+F1" w:hAnsi="CIDFont+F1" w:eastAsia="CIDFont+F1"/>
                <w:b/>
                <w:i w:val="0"/>
                <w:color w:val="393E2D"/>
                <w:sz w:val="16"/>
              </w:rPr>
              <w:t>$11</w:t>
            </w:r>
          </w:p>
        </w:tc>
      </w:tr>
    </w:tbl>
    <w:p>
      <w:pPr>
        <w:autoSpaceDN w:val="0"/>
        <w:autoSpaceDE w:val="0"/>
        <w:widowControl/>
        <w:spacing w:line="228" w:lineRule="exact" w:before="8276" w:after="0"/>
        <w:ind w:left="0" w:right="402" w:firstLine="0"/>
        <w:jc w:val="right"/>
      </w:pPr>
      <w:r>
        <w:rPr>
          <w:w w:val="98.36526168020147"/>
          <w:rFonts w:ascii="CIDFont+F2" w:hAnsi="CIDFont+F2" w:eastAsia="CIDFont+F2"/>
          <w:b w:val="0"/>
          <w:i w:val="0"/>
          <w:color w:val="000000"/>
          <w:sz w:val="19"/>
        </w:rPr>
        <w:t xml:space="preserve">28 </w:t>
      </w:r>
    </w:p>
    <w:p>
      <w:pPr>
        <w:autoSpaceDN w:val="0"/>
        <w:autoSpaceDE w:val="0"/>
        <w:widowControl/>
        <w:spacing w:line="148" w:lineRule="exact" w:before="186" w:after="0"/>
        <w:ind w:left="348" w:right="0" w:firstLine="0"/>
        <w:jc w:val="left"/>
      </w:pPr>
      <w:r>
        <w:rPr>
          <w:w w:val="101.3277530670166"/>
          <w:rFonts w:ascii="CIDFont+F2" w:hAnsi="CIDFont+F2" w:eastAsia="CIDFont+F2"/>
          <w:b w:val="0"/>
          <w:i w:val="0"/>
          <w:color w:val="FFFFFF"/>
          <w:sz w:val="12"/>
        </w:rPr>
        <w:t>1</w:t>
      </w:r>
    </w:p>
    <w:sectPr w:rsidR="00FC693F" w:rsidRPr="0006063C" w:rsidSect="00034616">
      <w:pgSz w:w="12240" w:h="15840"/>
      <w:pgMar w:top="356" w:right="1440" w:bottom="116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