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428" w:lineRule="exact" w:before="0" w:after="0"/>
        <w:ind w:left="720" w:right="720" w:firstLine="0"/>
        <w:jc w:val="center"/>
      </w:pPr>
      <w:r>
        <w:rPr>
          <w:rFonts w:ascii="Times" w:hAnsi="Times" w:eastAsia="Times"/>
          <w:b/>
          <w:i w:val="0"/>
          <w:color w:val="231F20"/>
          <w:sz w:val="28"/>
        </w:rPr>
        <w:t xml:space="preserve">Information Statement </w:t>
      </w:r>
      <w:r>
        <w:br/>
      </w:r>
      <w:r>
        <w:rPr>
          <w:rFonts w:ascii="Times" w:hAnsi="Times" w:eastAsia="Times"/>
          <w:b/>
          <w:i w:val="0"/>
          <w:color w:val="231F20"/>
          <w:sz w:val="48"/>
        </w:rPr>
        <w:t xml:space="preserve">International Bank for Reconstruction </w:t>
      </w:r>
      <w:r>
        <w:rPr>
          <w:rFonts w:ascii="Times" w:hAnsi="Times" w:eastAsia="Times"/>
          <w:b/>
          <w:i w:val="0"/>
          <w:color w:val="231F20"/>
          <w:sz w:val="48"/>
        </w:rPr>
        <w:t>and Development</w:t>
      </w:r>
    </w:p>
    <w:p>
      <w:pPr>
        <w:autoSpaceDN w:val="0"/>
        <w:autoSpaceDE w:val="0"/>
        <w:widowControl/>
        <w:spacing w:line="240" w:lineRule="auto" w:before="35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70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12" w:after="0"/>
        <w:ind w:left="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Bank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Reconstruction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(IBRD)</w:t>
      </w:r>
      <w:r>
        <w:rPr>
          <w:rFonts w:ascii="Times" w:hAnsi="Times" w:eastAsia="Times"/>
          <w:b w:val="0"/>
          <w:i w:val="0"/>
          <w:color w:val="231F20"/>
          <w:sz w:val="20"/>
        </w:rPr>
        <w:t>intends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issue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bonds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maturities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sale.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bonds may be sold to dealers or underwriters, who may resell them, or they may be sold by IBRD directly </w:t>
      </w:r>
      <w:r>
        <w:rPr>
          <w:rFonts w:ascii="Times" w:hAnsi="Times" w:eastAsia="Times"/>
          <w:b w:val="0"/>
          <w:i w:val="0"/>
          <w:color w:val="231F20"/>
          <w:sz w:val="20"/>
        </w:rPr>
        <w:t>or through agents.</w:t>
      </w:r>
    </w:p>
    <w:p>
      <w:pPr>
        <w:autoSpaceDN w:val="0"/>
        <w:autoSpaceDE w:val="0"/>
        <w:widowControl/>
        <w:spacing w:line="240" w:lineRule="exact" w:before="118" w:after="0"/>
        <w:ind w:left="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specific currency, aggregate principal amount, maturity, interest rate or method for determining such rate, 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dates,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any,</w:t>
      </w:r>
      <w:r>
        <w:rPr>
          <w:rFonts w:ascii="Times" w:hAnsi="Times" w:eastAsia="Times"/>
          <w:b w:val="0"/>
          <w:i w:val="0"/>
          <w:color w:val="231F20"/>
          <w:sz w:val="20"/>
        </w:rPr>
        <w:t>purchase</w:t>
      </w:r>
      <w:r>
        <w:rPr>
          <w:rFonts w:ascii="Times" w:hAnsi="Times" w:eastAsia="Times"/>
          <w:b w:val="0"/>
          <w:i w:val="0"/>
          <w:color w:val="231F20"/>
          <w:sz w:val="20"/>
        </w:rPr>
        <w:t>price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paid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redemption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terms, form and denomination of such notes and bonds, information as to stock exchange listing and the names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dealers,</w:t>
      </w:r>
      <w:r>
        <w:rPr>
          <w:rFonts w:ascii="Times" w:hAnsi="Times" w:eastAsia="Times"/>
          <w:b w:val="0"/>
          <w:i w:val="0"/>
          <w:color w:val="231F20"/>
          <w:sz w:val="20"/>
        </w:rPr>
        <w:t>underwriters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agents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connection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sale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bonds</w:t>
      </w:r>
      <w:r>
        <w:rPr>
          <w:rFonts w:ascii="Times" w:hAnsi="Times" w:eastAsia="Times"/>
          <w:b w:val="0"/>
          <w:i w:val="0"/>
          <w:color w:val="231F20"/>
          <w:sz w:val="20"/>
        </w:rPr>
        <w:t>being</w:t>
      </w:r>
      <w:r>
        <w:rPr>
          <w:rFonts w:ascii="Times" w:hAnsi="Times" w:eastAsia="Times"/>
          <w:b w:val="0"/>
          <w:i w:val="0"/>
          <w:color w:val="231F20"/>
          <w:sz w:val="20"/>
        </w:rPr>
        <w:t>offered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</w:t>
      </w:r>
      <w:r>
        <w:rPr>
          <w:rFonts w:ascii="Times" w:hAnsi="Times" w:eastAsia="Times"/>
          <w:b w:val="0"/>
          <w:i w:val="0"/>
          <w:color w:val="231F20"/>
          <w:sz w:val="20"/>
        </w:rPr>
        <w:t>time,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required,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forth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prospectus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supplemental information statement.</w:t>
      </w:r>
    </w:p>
    <w:p>
      <w:pPr>
        <w:autoSpaceDN w:val="0"/>
        <w:autoSpaceDE w:val="0"/>
        <w:widowControl/>
        <w:spacing w:line="240" w:lineRule="exact" w:before="118" w:after="0"/>
        <w:ind w:left="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Except as otherwise indicated, in this Information Statement (1) all amounts are stated in current United States </w:t>
      </w:r>
      <w:r>
        <w:rPr>
          <w:rFonts w:ascii="Times" w:hAnsi="Times" w:eastAsia="Times"/>
          <w:b w:val="0"/>
          <w:i w:val="0"/>
          <w:color w:val="231F20"/>
          <w:sz w:val="20"/>
        </w:rPr>
        <w:t>dollars translated</w:t>
      </w:r>
      <w:r>
        <w:rPr>
          <w:rFonts w:ascii="Times" w:hAnsi="Times" w:eastAsia="Times"/>
          <w:b w:val="0"/>
          <w:i w:val="0"/>
          <w:color w:val="231F20"/>
          <w:sz w:val="20"/>
        </w:rPr>
        <w:t>as indicated in the Notes to Financial Statements: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 A and (2) all information is given as </w:t>
      </w:r>
      <w:r>
        <w:rPr>
          <w:rFonts w:ascii="Times" w:hAnsi="Times" w:eastAsia="Times"/>
          <w:b w:val="0"/>
          <w:i w:val="0"/>
          <w:color w:val="231F20"/>
          <w:sz w:val="20"/>
        </w:rPr>
        <w:t>of June 30, 2025.</w:t>
      </w:r>
    </w:p>
    <w:p>
      <w:pPr>
        <w:autoSpaceDN w:val="0"/>
        <w:autoSpaceDE w:val="0"/>
        <w:widowControl/>
        <w:spacing w:line="200" w:lineRule="exact" w:before="27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AVAILABILITY OF INFORMATION</w:t>
      </w:r>
    </w:p>
    <w:p>
      <w:pPr>
        <w:autoSpaceDN w:val="0"/>
        <w:autoSpaceDE w:val="0"/>
        <w:widowControl/>
        <w:spacing w:line="240" w:lineRule="exact" w:before="120" w:after="0"/>
        <w:ind w:left="2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filed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Commission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electronically </w:t>
      </w:r>
      <w:r>
        <w:rPr>
          <w:rFonts w:ascii="Times" w:hAnsi="Times" w:eastAsia="Times"/>
          <w:b w:val="0"/>
          <w:i w:val="0"/>
          <w:color w:val="231F20"/>
          <w:sz w:val="20"/>
        </w:rPr>
        <w:t>through the EDGAR system and will be available at the Internet address http://www.sec.gov/edgar.shtml.</w:t>
      </w:r>
    </w:p>
    <w:p>
      <w:pPr>
        <w:autoSpaceDN w:val="0"/>
        <w:autoSpaceDE w:val="0"/>
        <w:widowControl/>
        <w:spacing w:line="240" w:lineRule="exact" w:before="118" w:after="98"/>
        <w:ind w:left="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request,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copies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without</w:t>
      </w:r>
      <w:r>
        <w:rPr>
          <w:rFonts w:ascii="Times" w:hAnsi="Times" w:eastAsia="Times"/>
          <w:b w:val="0"/>
          <w:i w:val="0"/>
          <w:color w:val="231F20"/>
          <w:sz w:val="20"/>
        </w:rPr>
        <w:t>charge.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Written 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telephone</w:t>
      </w:r>
      <w:r>
        <w:rPr>
          <w:rFonts w:ascii="Times" w:hAnsi="Times" w:eastAsia="Times"/>
          <w:b w:val="0"/>
          <w:i w:val="0"/>
          <w:color w:val="231F20"/>
          <w:sz w:val="20"/>
        </w:rPr>
        <w:t>requests</w:t>
      </w:r>
      <w:r>
        <w:rPr>
          <w:rFonts w:ascii="Times" w:hAnsi="Times" w:eastAsia="Times"/>
          <w:b w:val="0"/>
          <w:i w:val="0"/>
          <w:color w:val="231F20"/>
          <w:sz w:val="20"/>
        </w:rPr>
        <w:t>should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directed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main</w:t>
      </w:r>
      <w:r>
        <w:rPr>
          <w:rFonts w:ascii="Times" w:hAnsi="Times" w:eastAsia="Times"/>
          <w:b w:val="0"/>
          <w:i w:val="0"/>
          <w:color w:val="231F20"/>
          <w:sz w:val="20"/>
        </w:rPr>
        <w:t>office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1818</w:t>
      </w:r>
      <w:r>
        <w:rPr>
          <w:rFonts w:ascii="Times" w:hAnsi="Times" w:eastAsia="Times"/>
          <w:b w:val="0"/>
          <w:i w:val="0"/>
          <w:color w:val="231F20"/>
          <w:sz w:val="20"/>
        </w:rPr>
        <w:t>H</w:t>
      </w:r>
      <w:r>
        <w:rPr>
          <w:rFonts w:ascii="Times" w:hAnsi="Times" w:eastAsia="Times"/>
          <w:b w:val="0"/>
          <w:i w:val="0"/>
          <w:color w:val="231F20"/>
          <w:sz w:val="20"/>
        </w:rPr>
        <w:t>Street,</w:t>
      </w:r>
      <w:r>
        <w:rPr>
          <w:rFonts w:ascii="Times" w:hAnsi="Times" w:eastAsia="Times"/>
          <w:b w:val="0"/>
          <w:i w:val="0"/>
          <w:color w:val="231F20"/>
          <w:sz w:val="20"/>
        </w:rPr>
        <w:t>N.W.,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Washington,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D.C. 20433, Attention: Capital Markets and Investments Department, tel: (202) 477-2880, or to IBRD’s Tokyo </w:t>
      </w:r>
      <w:r>
        <w:rPr>
          <w:rFonts w:ascii="Times" w:hAnsi="Times" w:eastAsia="Times"/>
          <w:b w:val="0"/>
          <w:i w:val="0"/>
          <w:color w:val="231F20"/>
          <w:sz w:val="20"/>
        </w:rPr>
        <w:t>office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Fukoku</w:t>
      </w:r>
      <w:r>
        <w:rPr>
          <w:rFonts w:ascii="Times" w:hAnsi="Times" w:eastAsia="Times"/>
          <w:b w:val="0"/>
          <w:i w:val="0"/>
          <w:color w:val="231F20"/>
          <w:sz w:val="20"/>
        </w:rPr>
        <w:t>Seimei</w:t>
      </w:r>
      <w:r>
        <w:rPr>
          <w:rFonts w:ascii="Times" w:hAnsi="Times" w:eastAsia="Times"/>
          <w:b w:val="0"/>
          <w:i w:val="0"/>
          <w:color w:val="231F20"/>
          <w:sz w:val="20"/>
        </w:rPr>
        <w:t>Building</w:t>
      </w:r>
      <w:r>
        <w:rPr>
          <w:rFonts w:ascii="Times" w:hAnsi="Times" w:eastAsia="Times"/>
          <w:b w:val="0"/>
          <w:i w:val="0"/>
          <w:color w:val="231F20"/>
          <w:sz w:val="20"/>
        </w:rPr>
        <w:t>14F,</w:t>
      </w:r>
      <w:r>
        <w:rPr>
          <w:rFonts w:ascii="Times" w:hAnsi="Times" w:eastAsia="Times"/>
          <w:b w:val="0"/>
          <w:i w:val="0"/>
          <w:color w:val="231F20"/>
          <w:sz w:val="20"/>
        </w:rPr>
        <w:t>2-2-2</w:t>
      </w:r>
      <w:r>
        <w:rPr>
          <w:rFonts w:ascii="Times" w:hAnsi="Times" w:eastAsia="Times"/>
          <w:b w:val="0"/>
          <w:i w:val="0"/>
          <w:color w:val="231F20"/>
          <w:sz w:val="20"/>
        </w:rPr>
        <w:t>Uchisaiwai-cho,</w:t>
      </w:r>
      <w:r>
        <w:rPr>
          <w:rFonts w:ascii="Times" w:hAnsi="Times" w:eastAsia="Times"/>
          <w:b w:val="0"/>
          <w:i w:val="0"/>
          <w:color w:val="231F20"/>
          <w:sz w:val="20"/>
        </w:rPr>
        <w:t>Chiyoda-ku,</w:t>
      </w:r>
      <w:r>
        <w:rPr>
          <w:rFonts w:ascii="Times" w:hAnsi="Times" w:eastAsia="Times"/>
          <w:b w:val="0"/>
          <w:i w:val="0"/>
          <w:color w:val="231F20"/>
          <w:sz w:val="20"/>
        </w:rPr>
        <w:t>Tokyo</w:t>
      </w:r>
      <w:r>
        <w:rPr>
          <w:rFonts w:ascii="Times" w:hAnsi="Times" w:eastAsia="Times"/>
          <w:b w:val="0"/>
          <w:i w:val="0"/>
          <w:color w:val="231F20"/>
          <w:sz w:val="20"/>
        </w:rPr>
        <w:t>100-0011,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Japan, </w:t>
      </w:r>
      <w:r>
        <w:rPr>
          <w:rFonts w:ascii="Times" w:hAnsi="Times" w:eastAsia="Times"/>
          <w:b w:val="0"/>
          <w:i w:val="0"/>
          <w:color w:val="231F20"/>
          <w:sz w:val="20"/>
        </w:rPr>
        <w:t>tel: (81)-3-3597-6650.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Information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Statement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also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available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on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Investor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Relations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website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30" w:lineRule="exact" w:before="0" w:after="182"/>
        <w:ind w:left="2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http://www.worldbank.org/debtsecurities/.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documents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website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</w:t>
      </w:r>
      <w:r>
        <w:rPr>
          <w:rFonts w:ascii="Times" w:hAnsi="Times" w:eastAsia="Times"/>
          <w:b w:val="0"/>
          <w:i w:val="0"/>
          <w:color w:val="231F20"/>
          <w:sz w:val="20"/>
        </w:rPr>
        <w:t>intended to be incorporated by reference in this Information Statement.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360"/>
      </w:tblGrid>
      <w:tr>
        <w:trPr>
          <w:trHeight w:hRule="exact" w:val="1080"/>
        </w:trPr>
        <w:tc>
          <w:tcPr>
            <w:tcW w:type="dxa" w:w="9108"/>
            <w:tcBorders>
              <w:start w:sz="8.0" w:val="single" w:color="#221F1F"/>
              <w:top w:sz="8.0" w:val="single" w:color="#221F1F"/>
              <w:end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4" w:right="84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Recipients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this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Statement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should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retain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future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reference,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since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intended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that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each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prospectus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any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supplemental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statement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issued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after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date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hereof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will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refer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this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Statement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description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IBRD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its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financial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condition,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until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subsequent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 statement is filed.</w:t>
            </w:r>
          </w:p>
        </w:tc>
      </w:tr>
    </w:tbl>
    <w:p>
      <w:pPr>
        <w:autoSpaceDN w:val="0"/>
        <w:autoSpaceDE w:val="0"/>
        <w:widowControl/>
        <w:spacing w:line="200" w:lineRule="exact" w:before="566" w:after="0"/>
        <w:ind w:left="2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September 23, 2025</w:t>
      </w:r>
    </w:p>
    <w:p>
      <w:pPr>
        <w:sectPr>
          <w:pgSz w:w="12240" w:h="15840"/>
          <w:pgMar w:top="752" w:right="1440" w:bottom="6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640"/>
      </w:tblGrid>
      <w:tr>
        <w:trPr>
          <w:trHeight w:hRule="exact" w:val="12460"/>
        </w:trPr>
        <w:tc>
          <w:tcPr>
            <w:tcW w:type="dxa" w:w="9580"/>
            <w:tcBorders>
              <w:start w:sz="16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6" w:after="0"/>
              <w:ind w:left="2736" w:right="2736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SUMMARY INFORMATION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As of June 30, 2025, unless otherwise indicated </w:t>
            </w:r>
          </w:p>
          <w:p>
            <w:pPr>
              <w:autoSpaceDN w:val="0"/>
              <w:autoSpaceDE w:val="0"/>
              <w:widowControl/>
              <w:spacing w:line="240" w:lineRule="exact" w:before="388" w:after="0"/>
              <w:ind w:left="2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 International Bank for Reconstruction and Development (IBRD) is an international organization established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 1945 and owned by its member countries. As a global development cooperative owned by 189 member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countries, IBRD’s purpose is to work with its borrowing members so that they can achieve equitable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sustainable economic growth in their national economies and find effective solutions to pressing regional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global problems in economic development and environmental sustainability, all with a view to overcoming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poverty and improving standards of living. It pursues this goal primarily by providing financing, risk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management products and other financial services, access to experts, and a pool of knowledge in development-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related disciplines so that borrowing members can pool, administer, and prioritize resources they dedicate to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development-related objectives. The six largest shareholders of IBRD are the United States (with 15.79% of 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voting power), Japan (7.00%), China (5.85%), Germany (4.16%), and France and the United Kingdom (with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3.82% each). </w:t>
            </w:r>
          </w:p>
          <w:p>
            <w:pPr>
              <w:autoSpaceDN w:val="0"/>
              <w:autoSpaceDE w:val="0"/>
              <w:widowControl/>
              <w:spacing w:line="240" w:lineRule="exact" w:before="258" w:after="0"/>
              <w:ind w:left="210" w:right="16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 financial strength of IBRD is based on the continued support it receives from its shareholders, and on its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array of financial policies and practices. Shareholder support for IBRD is reflected in the capital backing it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continues to receive from its members and in the record of its borrowing member countries in meeting their debt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service obligations to IBRD. In October 2018, the Governors approved a new General and Selective Capital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Increases (GCI and SCI) as part of a capital package that includes institutional and financial reforms designed to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ensure long-term financial sustainability. The capital increases would result in additional subscribed capital of up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 $60.1 billion, with $7.5 billion of paid-in capital and $52.6 billion of callable capital. The subscription period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for the GCI and SCI ends on October 1, 2025. </w:t>
            </w:r>
          </w:p>
          <w:p>
            <w:pPr>
              <w:autoSpaceDN w:val="0"/>
              <w:autoSpaceDE w:val="0"/>
              <w:widowControl/>
              <w:spacing w:line="240" w:lineRule="exact" w:before="258" w:after="0"/>
              <w:ind w:left="210" w:right="16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 meet its development goals, the WBG supports client countries’ efforts to implement programs to improve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growth and development outcomes with a vision to create a world free of poverty on a livable planet. Further,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new and ongoing factors continue to influence the global outlook, including: global market uncertainties,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migration surges, youth unemployment, energy access, climate adaptation and mitigation, and growing fragility.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continues to work with partners at global and country levels and its borrowing countries to maximize 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impact for development by efficiently channeling resources into projects that create jobs, drive growth, reduce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poverty, and improve living standards. To further support these efforts, the Boards of Directors and management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have been reforming the WBG and are working to better address the scale of development needs. This process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includes initiatives to increase impact, expand financing capacity, support projects that address global challenges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with cross-border externalities, and modernize the approach to delivery. </w:t>
            </w:r>
          </w:p>
          <w:p>
            <w:pPr>
              <w:autoSpaceDN w:val="0"/>
              <w:autoSpaceDE w:val="0"/>
              <w:widowControl/>
              <w:spacing w:line="200" w:lineRule="exact" w:before="426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Basis of Reporting and Results of Operations </w:t>
            </w:r>
          </w:p>
          <w:p>
            <w:pPr>
              <w:autoSpaceDN w:val="0"/>
              <w:autoSpaceDE w:val="0"/>
              <w:widowControl/>
              <w:spacing w:line="240" w:lineRule="exact" w:before="130" w:after="0"/>
              <w:ind w:left="210" w:right="16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IBRD’s financial statements conform with accounting principles generally accepted in the United States 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America (U.S. GAAP). Generally, Investments – Trading, Borrowings, and Derivatives are reported at fair value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 the Balance Sheets, with changes in fair value reported in the Statements of Income. Changes in IBRD’s own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credit are reflected in Other Comprehensive Income. Hybrid capital and IBRD’s loans are reported at amortized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cost. Management uses net income as the basis for deriving allocable income. </w:t>
            </w:r>
          </w:p>
          <w:p>
            <w:pPr>
              <w:autoSpaceDN w:val="0"/>
              <w:autoSpaceDE w:val="0"/>
              <w:widowControl/>
              <w:spacing w:line="240" w:lineRule="exact" w:before="258" w:after="0"/>
              <w:ind w:left="210" w:right="16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had net income of $2,100 million for FY25. Management recommends allocations of income to the Board,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at the end of each fiscal year, to augment reserves and support developmental activities. These allocations are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based on allocable income, which is derived by adjusting the reported net income to exclude certain items, in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order to arrive at amounts realized during the year and available for use. IBRD has earned positive allocable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income every year since 1964. IBRD’s allocable income was $2,384 million for the fiscal year ended June 30,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2025. </w:t>
            </w:r>
          </w:p>
        </w:tc>
      </w:tr>
    </w:tbl>
    <w:p>
      <w:pPr>
        <w:autoSpaceDN w:val="0"/>
        <w:autoSpaceDE w:val="0"/>
        <w:widowControl/>
        <w:spacing w:line="200" w:lineRule="exact" w:before="31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 </w:t>
      </w:r>
    </w:p>
    <w:p>
      <w:pPr>
        <w:sectPr>
          <w:pgSz w:w="12240" w:h="15840"/>
          <w:pgMar w:top="716" w:right="1290" w:bottom="696" w:left="13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640"/>
      </w:tblGrid>
      <w:tr>
        <w:trPr>
          <w:trHeight w:hRule="exact" w:val="12460"/>
        </w:trPr>
        <w:tc>
          <w:tcPr>
            <w:tcW w:type="dxa" w:w="9580"/>
            <w:tcBorders>
              <w:start w:sz="16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Equity and Borrowings </w:t>
            </w:r>
          </w:p>
          <w:p>
            <w:pPr>
              <w:autoSpaceDN w:val="0"/>
              <w:autoSpaceDE w:val="0"/>
              <w:widowControl/>
              <w:spacing w:line="240" w:lineRule="exact" w:before="122" w:after="0"/>
              <w:ind w:left="210" w:right="160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>Equit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– As of June 30, 2025, IBRD’s shareholders have subscribed to $326.8 billion of capital, $22.9 billion 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which has been paid in and the remainder of which is callable. The callable portion may be called only to meet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IBRD’s obligations for funds borrowed or loans guaranteed and is, thus, not available for use by IBRD in making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loans. IBRD’s equity also included $40.4 billion of retained earnings. The equity-to-loans ratio was 21.6%. 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210" w:right="160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Borrowings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diversifies its borrowings by currency, country, source and maturity to provide flexibility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and cost-effectiveness in funding. It has borrowed in all of the world’s major capital markets, as well as directly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from member governments and central banks. IBRD’s outstanding borrowings totaled $306.2 billion as 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June 30, 2025. </w:t>
            </w:r>
          </w:p>
          <w:p>
            <w:pPr>
              <w:autoSpaceDN w:val="0"/>
              <w:autoSpaceDE w:val="0"/>
              <w:widowControl/>
              <w:spacing w:line="200" w:lineRule="exact" w:before="398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Assets </w:t>
            </w:r>
          </w:p>
          <w:p>
            <w:pPr>
              <w:autoSpaceDN w:val="0"/>
              <w:autoSpaceDE w:val="0"/>
              <w:widowControl/>
              <w:spacing w:line="240" w:lineRule="exact" w:before="122" w:after="0"/>
              <w:ind w:left="210" w:right="160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Loans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 largest component of IBRD’s assets are its loans outstanding. The net loans outstanding were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$280 billion as of June 30, 2025. IBRD’s net loan commitments in FY25 totaled $40.9 billion. In accordance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with the Articles of Agreement (Articles), all of IBRD’s loans are made to, or guaranteed by, member countries.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IBRD’s Articles also limit the total amount of loans and guarantees IBRD can extend. IBRD loans are made only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 countries deemed creditworthy. 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210" w:right="162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Loans in nonaccrual status totaled 0.5% of IBRD’s loans outstanding and were related to two borrower countries.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IBRD’s accumulated provision for losses on loans and other exposures was less than 1% of the underlying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exposures as of June 30, 2025. 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210" w:right="160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Liquid Asset Portfolio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holds a portfolio of liquid investments to help ensure that it can meet its financial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commitments and to retain flexibility in the timing of its market borrowings. As of June 30, 2025, its liquid asset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portfolio totaled $96 billion. Under IBRD’s liquidity management guidelines, aggregate liquid asset holdings are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kept at or above a specified prudential minimum to safeguard against cash flow interruptions. The Target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Liquidity Level represents twelve-months’ coverage as calculated at the start of every fiscal year. The Prudential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Minimum is defined as 80% of the Target Liquidity Level. The maximum guideline of 150% of the Target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Liquidity Level continues to function as a guideline rather than a hard ceiling. As of June 30, 2025, the liquid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asset portfolio was 148% of the Target Liquidity Level. The FY26 Target Liquidity Level is set at $79.0 billion,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$14.0 billion higher than FY25 Target Liquidity Level due to higher projected debt service and net loan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disbursements in FY26. </w:t>
            </w:r>
          </w:p>
          <w:p>
            <w:pPr>
              <w:autoSpaceDN w:val="0"/>
              <w:autoSpaceDE w:val="0"/>
              <w:widowControl/>
              <w:spacing w:line="200" w:lineRule="exact" w:before="398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Asset / Liability Management </w:t>
            </w:r>
          </w:p>
          <w:p>
            <w:pPr>
              <w:autoSpaceDN w:val="0"/>
              <w:autoSpaceDE w:val="0"/>
              <w:widowControl/>
              <w:spacing w:line="240" w:lineRule="exact" w:before="122" w:after="0"/>
              <w:ind w:left="210" w:right="16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seeks to avoid exchange rate risks by matching its liabilities in various currencies with assets in those same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currencies and by matching the currency composition of its equity to that of its outstanding loans. IBRD also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seeks to limit its interest rate risk in its loan and liquidity portfolio. IBRD uses derivatives, including currency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and interest rate swaps, in connection with its operations in order to better manage balance sheet risks. The credit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exposures on swaps are controlled through specified credit-rating requirements for counterparties and through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netting and collateralization arrangements. </w:t>
            </w:r>
          </w:p>
          <w:p>
            <w:pPr>
              <w:autoSpaceDN w:val="0"/>
              <w:autoSpaceDE w:val="0"/>
              <w:widowControl/>
              <w:spacing w:line="240" w:lineRule="exact" w:before="358" w:after="0"/>
              <w:ind w:left="1440" w:right="144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The above information is qualified by the detailed information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and financial statements appearing elsewhere in this Information Statement. </w:t>
            </w:r>
          </w:p>
        </w:tc>
      </w:tr>
    </w:tbl>
    <w:p>
      <w:pPr>
        <w:autoSpaceDN w:val="0"/>
        <w:autoSpaceDE w:val="0"/>
        <w:widowControl/>
        <w:spacing w:line="200" w:lineRule="exact" w:before="31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 </w:t>
      </w:r>
    </w:p>
    <w:p>
      <w:pPr>
        <w:sectPr>
          <w:pgSz w:w="12240" w:h="15840"/>
          <w:pgMar w:top="716" w:right="1290" w:bottom="696" w:left="13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I: OVERVIEW </w:t>
      </w:r>
    </w:p>
    <w:p>
      <w:pPr>
        <w:autoSpaceDN w:val="0"/>
        <w:autoSpaceDE w:val="0"/>
        <w:widowControl/>
        <w:spacing w:line="220" w:lineRule="exact" w:before="1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Introduction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Bank for Reconstruction and Development (IBRD), an international organization owned by its 189 </w:t>
      </w:r>
      <w:r>
        <w:rPr>
          <w:rFonts w:ascii="Times" w:hAnsi="Times" w:eastAsia="Times"/>
          <w:b w:val="0"/>
          <w:i w:val="0"/>
          <w:color w:val="231F20"/>
          <w:sz w:val="20"/>
        </w:rPr>
        <w:t>member countries, is one of the five institutions of the World Bank Group (WBG</w:t>
      </w:r>
      <w:r>
        <w:rPr>
          <w:rFonts w:ascii="Times" w:hAnsi="Times" w:eastAsia="Times"/>
          <w:b w:val="0"/>
          <w:i w:val="0"/>
          <w:color w:val="231F20"/>
          <w:sz w:val="13"/>
        </w:rPr>
        <w:t>1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). Each institution is legally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financially independent, with separate assets and liabilities. IBRD is not liable for the obligations of the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institutions.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 a Multilateral Development Bank (MDB) that combines knowledge services and financing with a global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reach. IBRD’s value is derived from its ability to help eligible borrowing members address their development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challenges and meet their rising demand for innovative products. IBRD provides loans, guarantees, and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products for development-focused projects and programs primarily to middle-income and creditworthy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lower-income countries to support sustainable development. By operating across a full range of country clients,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maintains a depth of development knowledge, uses its convening power to promote development,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coordinates responses to regional and global challenges. </w:t>
      </w:r>
    </w:p>
    <w:p>
      <w:pPr>
        <w:autoSpaceDN w:val="0"/>
        <w:autoSpaceDE w:val="0"/>
        <w:widowControl/>
        <w:spacing w:line="240" w:lineRule="exact" w:before="24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countries use IBRD’s technical advice and analysis and convening power to develop or implement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better policies, programs, and reforms that help sustain development over the long term. The products delivered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range from development data, to reports on key social economic and social issues at the local, country, regional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global levels. The products also include knowledge-sharing workshops focused on local issues, flagship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events and fora to address the most pressing global development challenges.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mission is to end extreme poverty and boost shared prosperity on a livable planet by providing countries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loans, guarantees, advisory services, analytical support and other products.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and its affiliated institutions seek to help countries in reducing poverty and inequality, and achieve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progress toward development objectives, including economic growth, job creation, governance, human capital,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infrastructure, and debt transparency. To meet its development goals, the WBG supports client countries’ efforts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implement programs to improve growth and development outcomes with a vision to create a world free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poverty on a livable planet. Further, new and ongoing factors continue to influence the global outlook, including: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global market uncertainties, migration surges, youth unemployment, energy access, climate adaptation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mitigation, and growing fragility. IBRD continues to work with partners at global and country levels and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countries to maximize the impact for development by efficiently channeling resources into projects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create jobs, drive growth, reduce poverty, and improve living standards. To further support these efforts,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Boards of Directors and management have been reforming the WBG and are working to better address the scale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development needs. This process includes initiatives to increase impact, expand financing capacity, support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projects that address global challenges with cross-border externalities, and modernize the approach to delivery.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Financial Business Model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objective is not to maximize profits, but to earn adequate income to ensure that it has the long- term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capacity necessary to support its development activities. IBRD seeks to generate sufficient revenue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finance its operations as well as to be able to grow reserves to strengthen its financial position. </w:t>
      </w:r>
    </w:p>
    <w:p>
      <w:pPr>
        <w:autoSpaceDN w:val="0"/>
        <w:autoSpaceDE w:val="0"/>
        <w:widowControl/>
        <w:spacing w:line="240" w:lineRule="exact" w:before="240" w:after="602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It also seeks to provide support to IDA and certain trust funds through income transfers for other developmental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purposes.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10"/>
        </w:trPr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3"/>
              </w:rPr>
              <w:t>1</w:t>
            </w:r>
          </w:p>
        </w:tc>
        <w:tc>
          <w:tcPr>
            <w:tcW w:type="dxa" w:w="89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 other WBG institutions are the International Development Association (IDA), the International Finance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Corporation (IFC), the Multilateral Investment Guarantee Agency (MIGA), and the International Centre for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Settlement of Investment Disputes (ICSID). The World Bank consists of IBRD and IDA. </w:t>
      </w:r>
    </w:p>
    <w:p>
      <w:pPr>
        <w:autoSpaceDN w:val="0"/>
        <w:autoSpaceDE w:val="0"/>
        <w:widowControl/>
        <w:spacing w:line="200" w:lineRule="exact" w:before="28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financial strength rests on the support it receives from its shareholders, and on its array of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policies and practices. Shareholder support for IBRD is reflected in the capital backing it continues to receive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its members and in the record of its borrowing member countries in meeting their debt service obligations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IBRD. Sound financial and risk management policies and practices have enabled IBRD to maintain adequate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capital, diversify its funding sources, hold a portfolio of liquid investments to meet its financial commitments,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limit its risks, including credit and market risks.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offers its borrowers, in middle-income and creditworthy low-income countries, loans with maturities up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35 years. For some projects, the maximum loan maturity can be extended to up to 50 years (Table 16). Borrowers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may customize their repayment terms to meet their debt management or project needs, in multiple currencies.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Borrowers have generally preferred loans denominated in U.S dollars and euros. IBRD also supports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borrowers by providing access to risk management products such as derivative instruments, including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interest rate swaps, catastrophe derivatives, and interest rate caps and collars.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 meet its development goals, IBRD intermediates funds for lending from the international capital markets.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loans are largely financed through its equity and from borrowings raised in the capital markets and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shareholders. IBRD is rated triple-A by the major rating agencies and its bonds are viewed as high-quality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by investors. IBRD’s funding strategy is aimed at achieving the best long-term value on a sustainable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 for its borrowing members. This strategy has enabled IBRD to borrow at favorable market terms and pass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savings on to its borrowing members. IBRD’s annual funding volumes vary from year to year, and funds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raised are used to finance development projects and programs in member countries. Funds not deployed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are maintained in IBRD’s investment portfolio to supply liquidity for its operations.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derivatives to manage its exposure to various market risks from the above activities. These are used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align the interest and currency composition of its assets (loan and investment portfolios) with that of its liabilities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(borrowing portfolio), and to stabilize earnings on the portion of the loan portfolio funded by equity. See Section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IX: Risk Management for additional details on how IBRD uses derivatives.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believes that these risk management strategies, taken together, effectively manage market risk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operations from an economic perspective. However, these strategies entail the use of derivatives,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introduce volatility in net income through unrealized mark-to-market gains and losses (particularly given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long-term nature of some of IBRD’s assets and liabilities). Accordingly, management makes decisions on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without reference to unrealized mark-to-market gains and losses on risk management instruments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non-trading portfolios – see Basis of Reporting – Allocable Income.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Sources and Uses of Revenue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primary sources of revenue are from loans and investments, both net of funding costs (Figure 1). These </w:t>
      </w:r>
      <w:r>
        <w:rPr>
          <w:rFonts w:ascii="Times" w:hAnsi="Times" w:eastAsia="Times"/>
          <w:b w:val="0"/>
          <w:i w:val="0"/>
          <w:color w:val="231F20"/>
          <w:sz w:val="20"/>
        </w:rPr>
        <w:t>revenues cover administrative expenses, provisions for losses on loans and other exposures</w:t>
      </w:r>
      <w:r>
        <w:rPr>
          <w:rFonts w:ascii="Times" w:hAnsi="Times" w:eastAsia="Times"/>
          <w:b w:val="0"/>
          <w:i w:val="0"/>
          <w:color w:val="231F20"/>
          <w:sz w:val="13"/>
        </w:rPr>
        <w:t>2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(LLP), as well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transfers to Reserves, Surplus, and for other development purposes, including transfers to IDA. </w:t>
      </w:r>
    </w:p>
    <w:p>
      <w:pPr>
        <w:autoSpaceDN w:val="0"/>
        <w:autoSpaceDE w:val="0"/>
        <w:widowControl/>
        <w:spacing w:line="240" w:lineRule="exact" w:before="240" w:after="1142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other development activities generate non-interest revenue that is classified as Revenue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externally funded activities. These external funds include trust fund fees, reimbursable funds, and revenues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fee-based services to member countries. Non-interest revenue from externally funded activities provides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additional capacity to support the development needs of client countries.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10"/>
        </w:trPr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3"/>
              </w:rPr>
              <w:t>2</w:t>
            </w:r>
          </w:p>
        </w:tc>
        <w:tc>
          <w:tcPr>
            <w:tcW w:type="dxa" w:w="89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Other exposures include deferred drawdown options (DDO), irrevocable commitments, exposures to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member countries’ derivatives and guarantees. </w:t>
      </w:r>
    </w:p>
    <w:p>
      <w:pPr>
        <w:autoSpaceDN w:val="0"/>
        <w:autoSpaceDE w:val="0"/>
        <w:widowControl/>
        <w:spacing w:line="200" w:lineRule="exact" w:before="28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1206500</wp:posOffset>
            </wp:positionV>
            <wp:extent cx="5765800" cy="3327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32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312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1: Sources and Uses of Revenue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02"/>
        </w:trPr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10" w:after="0"/>
              <w:ind w:left="142" w:right="0" w:firstLine="0"/>
              <w:jc w:val="left"/>
            </w:pPr>
            <w:r>
              <w:rPr>
                <w:w w:val="97.77000427246094"/>
                <w:rFonts w:ascii="Arial" w:hAnsi="Arial" w:eastAsia="Arial"/>
                <w:b/>
                <w:i w:val="0"/>
                <w:color w:val="044A72"/>
                <w:sz w:val="20"/>
              </w:rPr>
              <w:t>Simplified Balance Sheet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12" w:after="0"/>
              <w:ind w:left="0" w:right="0" w:firstLine="0"/>
              <w:jc w:val="center"/>
            </w:pPr>
            <w:r>
              <w:rPr>
                <w:w w:val="97.77000427246094"/>
                <w:rFonts w:ascii="Arial" w:hAnsi="Arial" w:eastAsia="Arial"/>
                <w:b/>
                <w:i w:val="0"/>
                <w:color w:val="231F20"/>
                <w:sz w:val="20"/>
              </w:rPr>
              <w:t>Revenue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110" w:firstLine="0"/>
              <w:jc w:val="right"/>
            </w:pPr>
            <w:r>
              <w:rPr>
                <w:w w:val="101.81738811990488"/>
                <w:rFonts w:ascii="Arial" w:hAnsi="Arial" w:eastAsia="Arial"/>
                <w:b/>
                <w:i w:val="0"/>
                <w:color w:val="FFFFFF"/>
                <w:sz w:val="23"/>
              </w:rPr>
              <w:t>Sources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22" w:after="0"/>
              <w:ind w:left="146" w:right="0" w:firstLine="0"/>
              <w:jc w:val="left"/>
            </w:pPr>
            <w:r>
              <w:rPr>
                <w:w w:val="97.77000427246094"/>
                <w:rFonts w:ascii="Arial" w:hAnsi="Arial" w:eastAsia="Arial"/>
                <w:b/>
                <w:i w:val="0"/>
                <w:color w:val="231F20"/>
                <w:sz w:val="20"/>
              </w:rPr>
              <w:t xml:space="preserve">Net Interest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0" w:right="274" w:firstLine="0"/>
              <w:jc w:val="right"/>
            </w:pPr>
            <w:r>
              <w:rPr>
                <w:w w:val="101.81738811990488"/>
                <w:rFonts w:ascii="Arial" w:hAnsi="Arial" w:eastAsia="Arial"/>
                <w:b/>
                <w:i w:val="0"/>
                <w:color w:val="FFFFFF"/>
                <w:sz w:val="23"/>
              </w:rPr>
              <w:t>Uses</w:t>
            </w:r>
          </w:p>
        </w:tc>
      </w:tr>
      <w:tr>
        <w:trPr>
          <w:trHeight w:hRule="exact" w:val="43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10" w:after="0"/>
              <w:ind w:left="0" w:right="0" w:firstLine="0"/>
              <w:jc w:val="center"/>
            </w:pPr>
            <w:r>
              <w:rPr>
                <w:w w:val="97.77000427246094"/>
                <w:rFonts w:ascii="Arial" w:hAnsi="Arial" w:eastAsia="Arial"/>
                <w:b/>
                <w:i w:val="0"/>
                <w:color w:val="231F20"/>
                <w:sz w:val="20"/>
              </w:rPr>
              <w:t>Funding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4" w:lineRule="exact" w:before="18" w:after="144"/>
        <w:ind w:left="0" w:right="2794" w:firstLine="0"/>
        <w:jc w:val="right"/>
      </w:pPr>
      <w:r>
        <w:rPr>
          <w:w w:val="97.77000427246094"/>
          <w:rFonts w:ascii="Arial" w:hAnsi="Arial" w:eastAsia="Arial"/>
          <w:b/>
          <w:i w:val="0"/>
          <w:color w:val="231F20"/>
          <w:sz w:val="20"/>
        </w:rPr>
        <w:t>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4" w:after="0"/>
              <w:ind w:left="0" w:right="0" w:firstLine="0"/>
              <w:jc w:val="center"/>
            </w:pPr>
            <w:r>
              <w:rPr>
                <w:w w:val="97.57499694824219"/>
                <w:rFonts w:ascii="ArialMT" w:hAnsi="ArialMT" w:eastAsia="ArialMT"/>
                <w:b w:val="0"/>
                <w:i w:val="0"/>
                <w:color w:val="FFFFFF"/>
                <w:sz w:val="18"/>
              </w:rPr>
              <w:t xml:space="preserve">Liquid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086" w:after="0"/>
              <w:ind w:left="0" w:right="404" w:firstLine="0"/>
              <w:jc w:val="righ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>Debt</w:t>
            </w:r>
          </w:p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46" w:after="0"/>
              <w:ind w:left="0" w:right="164" w:firstLine="0"/>
              <w:jc w:val="righ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 xml:space="preserve">Return on 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0" w:right="0" w:firstLine="0"/>
              <w:jc w:val="center"/>
            </w:pPr>
            <w:r>
              <w:rPr>
                <w:w w:val="101.04444291856554"/>
                <w:rFonts w:ascii="Arial" w:hAnsi="Arial" w:eastAsia="Arial"/>
                <w:b/>
                <w:i w:val="0"/>
                <w:color w:val="231F20"/>
                <w:sz w:val="27"/>
              </w:rPr>
              <w:t>-</w:t>
            </w:r>
          </w:p>
        </w:tc>
        <w:tc>
          <w:tcPr>
            <w:tcW w:type="dxa" w:w="3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308" w:lineRule="exact" w:before="24" w:after="0"/>
              <w:ind w:left="96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 xml:space="preserve">Cost of </w:t>
            </w:r>
            <w:r>
              <w:tab/>
            </w:r>
            <w:r>
              <w:rPr>
                <w:w w:val="102.03523181733631"/>
                <w:rFonts w:ascii="Arial" w:hAnsi="Arial" w:eastAsia="Arial"/>
                <w:b/>
                <w:i w:val="0"/>
                <w:color w:val="231F20"/>
                <w:sz w:val="21"/>
              </w:rPr>
              <w:t xml:space="preserve">= </w:t>
            </w: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>Investment</w:t>
            </w:r>
          </w:p>
          <w:p>
            <w:pPr>
              <w:autoSpaceDN w:val="0"/>
              <w:tabs>
                <w:tab w:pos="1304" w:val="left"/>
              </w:tabs>
              <w:autoSpaceDE w:val="0"/>
              <w:widowControl/>
              <w:spacing w:line="196" w:lineRule="exact" w:before="0" w:after="0"/>
              <w:ind w:left="96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 xml:space="preserve">borrowings </w:t>
            </w: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>Revenue, net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0" w:right="304" w:firstLine="0"/>
              <w:jc w:val="righ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Admin </w:t>
            </w:r>
          </w:p>
        </w:tc>
      </w:tr>
      <w:tr>
        <w:trPr>
          <w:trHeight w:hRule="exact" w:val="100"/>
        </w:trPr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0" w:right="0" w:firstLine="0"/>
              <w:jc w:val="center"/>
            </w:pPr>
            <w:r>
              <w:rPr>
                <w:w w:val="97.57499694824219"/>
                <w:rFonts w:ascii="ArialMT" w:hAnsi="ArialMT" w:eastAsia="ArialMT"/>
                <w:b w:val="0"/>
                <w:i w:val="0"/>
                <w:color w:val="FFFFFF"/>
                <w:sz w:val="18"/>
              </w:rPr>
              <w:t>Investments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" w:after="0"/>
              <w:ind w:left="0" w:right="210" w:firstLine="0"/>
              <w:jc w:val="righ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>Expenses</w:t>
            </w:r>
          </w:p>
        </w:tc>
      </w:tr>
      <w:tr>
        <w:trPr>
          <w:trHeight w:hRule="exact" w:val="22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0" w:right="46" w:firstLine="0"/>
              <w:jc w:val="righ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>Investments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958" w:after="0"/>
              <w:ind w:left="422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 xml:space="preserve">Loan </w:t>
            </w:r>
            <w:r>
              <w:br/>
            </w: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>Revenue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70" w:after="0"/>
              <w:ind w:left="0" w:right="18" w:firstLine="0"/>
              <w:jc w:val="right"/>
            </w:pPr>
            <w:r>
              <w:rPr>
                <w:w w:val="101.04444291856554"/>
                <w:rFonts w:ascii="Arial" w:hAnsi="Arial" w:eastAsia="Arial"/>
                <w:b/>
                <w:i w:val="0"/>
                <w:color w:val="231F20"/>
                <w:sz w:val="27"/>
              </w:rPr>
              <w:t>-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88" w:after="0"/>
              <w:ind w:left="94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>Cost of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118" w:after="0"/>
              <w:ind w:left="0" w:right="0" w:firstLine="0"/>
              <w:jc w:val="center"/>
            </w:pPr>
            <w:r>
              <w:rPr>
                <w:w w:val="102.03523181733631"/>
                <w:rFonts w:ascii="Arial" w:hAnsi="Arial" w:eastAsia="Arial"/>
                <w:b/>
                <w:i w:val="0"/>
                <w:color w:val="231F20"/>
                <w:sz w:val="21"/>
              </w:rPr>
              <w:t>=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88" w:after="0"/>
              <w:ind w:left="82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>Loan Interest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38" w:after="0"/>
              <w:ind w:left="0" w:right="468" w:firstLine="0"/>
              <w:jc w:val="righ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>LLP</w:t>
            </w:r>
          </w:p>
        </w:tc>
      </w:tr>
      <w:tr>
        <w:trPr>
          <w:trHeight w:hRule="exact" w:val="42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26" w:firstLine="0"/>
              <w:jc w:val="righ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>Reserves</w:t>
            </w:r>
          </w:p>
        </w:tc>
      </w:tr>
      <w:tr>
        <w:trPr>
          <w:trHeight w:hRule="exact" w:val="246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" w:after="0"/>
              <w:ind w:left="94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 xml:space="preserve">borrowings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" w:after="0"/>
              <w:ind w:left="82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231F20"/>
                <w:sz w:val="20"/>
              </w:rPr>
              <w:t>Revenue, net</w:t>
            </w:r>
          </w:p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6" w:lineRule="exact" w:before="20" w:after="0"/>
        <w:ind w:left="628" w:right="0" w:firstLine="0"/>
        <w:jc w:val="left"/>
      </w:pPr>
      <w:r>
        <w:rPr>
          <w:w w:val="97.77000427246094"/>
          <w:rFonts w:ascii="ArialMT" w:hAnsi="ArialMT" w:eastAsia="ArialMT"/>
          <w:b w:val="0"/>
          <w:i w:val="0"/>
          <w:color w:val="FFFFFF"/>
          <w:sz w:val="20"/>
        </w:rPr>
        <w:t>Loans</w:t>
      </w:r>
    </w:p>
    <w:p>
      <w:pPr>
        <w:autoSpaceDN w:val="0"/>
        <w:autoSpaceDE w:val="0"/>
        <w:widowControl/>
        <w:spacing w:line="194" w:lineRule="exact" w:before="386" w:after="18"/>
        <w:ind w:left="0" w:right="354" w:firstLine="0"/>
        <w:jc w:val="right"/>
      </w:pPr>
      <w:r>
        <w:rPr>
          <w:w w:val="97.77000427246094"/>
          <w:rFonts w:ascii="ArialMT" w:hAnsi="ArialMT" w:eastAsia="ArialMT"/>
          <w:b w:val="0"/>
          <w:i w:val="0"/>
          <w:color w:val="FFFFFF"/>
          <w:sz w:val="20"/>
        </w:rPr>
        <w:t xml:space="preserve">IDA, 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508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18" w:after="0"/>
              <w:ind w:left="922" w:right="0" w:firstLine="0"/>
              <w:jc w:val="left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>Equity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36" w:right="144" w:firstLine="0"/>
              <w:jc w:val="center"/>
            </w:pP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transfers &amp; </w:t>
            </w:r>
            <w:r>
              <w:br/>
            </w:r>
            <w:r>
              <w:rPr>
                <w:w w:val="97.77000427246094"/>
                <w:rFonts w:ascii="ArialMT" w:hAnsi="ArialMT" w:eastAsia="ArialMT"/>
                <w:b w:val="0"/>
                <w:i w:val="0"/>
                <w:color w:val="FFFFFF"/>
                <w:sz w:val="20"/>
              </w:rPr>
              <w:t>Surplus</w:t>
            </w:r>
          </w:p>
        </w:tc>
      </w:tr>
    </w:tbl>
    <w:p>
      <w:pPr>
        <w:autoSpaceDN w:val="0"/>
        <w:autoSpaceDE w:val="0"/>
        <w:widowControl/>
        <w:spacing w:line="220" w:lineRule="exact" w:before="91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Basis of Reporting </w:t>
      </w:r>
    </w:p>
    <w:p>
      <w:pPr>
        <w:autoSpaceDN w:val="0"/>
        <w:autoSpaceDE w:val="0"/>
        <w:widowControl/>
        <w:spacing w:line="200" w:lineRule="exact" w:before="1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Reported Basis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financial statements are prepared in accordance with accounting principles generally accepted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States of America (U.S. GAAP) and are independently audited on an annual basis. Generally,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Investments—Trading, Borrowings, and Derivatives are reported at fair value in the Balance Sheets,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changes in fair value reported in the Statements of Income. Changes in IBRD’s own credit are reflected in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Comprehensive Income. Hybrid capital and IBRD’s loans are reported at amortized cost in the Balance Sheets.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variability in IBRD’s reported net income is inherently driven by the unrealized mark-to-market gains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on the financial instruments in IBRD’s non-trading portfolios as not all financial instruments are reported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the same measurement basis. IBRD’s risk management strategy entails the use of derivatives to manage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 risk. These derivatives are primarily used to align the interest rate and currency bases of its assets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liabilities. IBRD has elected not to designate any hedging relationships for accounting purposes. Rather, all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instruments are reported at fair value on the Balance Sheets, with changes in fair values accounted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 the Statements of Income.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Non-GAAP Measures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uses certain non-GAAP financial measures to evaluate the underlying operations and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performance of IBRD. A non-GAAP financial measure is a measure that is adjusted to exclude, include,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reclassify certain items or components from the most directly comparable measure calculated in accordance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U.S. GAAP and reported in the audited financial statements. </w:t>
      </w:r>
    </w:p>
    <w:p>
      <w:pPr>
        <w:autoSpaceDN w:val="0"/>
        <w:autoSpaceDE w:val="0"/>
        <w:widowControl/>
        <w:spacing w:line="200" w:lineRule="exact" w:before="117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Allocable Income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Articles of Agreement (the Articles) require that the Board of Governors determine the allocation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at the end of every fiscal year. Allocable income is a non-GAAP measure that reflects income available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allocation. IBRD defines allocable income as net income after certain adjustments. These adjustments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relate to unrealized mark-to-market gains and losses associated with the non-trading portfolios, as well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Board of Governors-approved transfers, which primarily relate to the allocation of the prior year’s net income.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line with its financial risk management policies, for the non-trading portfolios, unrealized mark-to-market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gains and losses from instruments reported at fair value (borrowing portfolio, and derivatives in the loan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Asset/Liability Management (ALM) portfolios) are excluded from allocable income. </w:t>
      </w:r>
    </w:p>
    <w:p>
      <w:pPr>
        <w:autoSpaceDN w:val="0"/>
        <w:autoSpaceDE w:val="0"/>
        <w:widowControl/>
        <w:spacing w:line="240" w:lineRule="exact" w:before="24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trading portfolio (investment portfolio), allocable income generally includes both realized and unrealized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mark-to-market gains and losses. In some cases, the unrealized mark-to-market gains and losses on certain trades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excluded from allocable income when the underlying item is an asset held at amortized cost.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See Section III: Financial Results and Table 9, for details of the adjustments to reported net income to calculate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allocable income.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Equity-to-Loans Ratio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capital adequacy model mandates that IBRD hold capital for credit risk, market risk, and operational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covering all activities and assets on its books. The Equity-to-Loans ratio is a key indicator of IBRD’s capital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adequacy representing IBRD’s usable equity as a percentage of its total loans, guarantees and other exposures.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See Section IX: Risk Management and Table 33 for more details on the Equity-to-Loans ratio.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Budget Anchor Ratio 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Budget Anchor is an efficiency metric to monitor the coverage of IBRD’s net administrative expenses by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spread revenue.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See Section III: Financial Results and Table 7 for more details of the Budget Anchor components. </w:t>
      </w:r>
    </w:p>
    <w:p>
      <w:pPr>
        <w:autoSpaceDN w:val="0"/>
        <w:autoSpaceDE w:val="0"/>
        <w:widowControl/>
        <w:spacing w:line="200" w:lineRule="exact" w:before="49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II: EXECUTIVE SUMMARY </w:t>
      </w:r>
    </w:p>
    <w:p>
      <w:pPr>
        <w:autoSpaceDN w:val="0"/>
        <w:autoSpaceDE w:val="0"/>
        <w:widowControl/>
        <w:spacing w:line="240" w:lineRule="exact" w:before="114" w:after="0"/>
        <w:ind w:left="120" w:right="16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This Management’s Discussion and Analysis (MD&amp;A) discusses the financial results of the International Bank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Reconstruction and Development (IBRD) for the fiscal year ended June 30, 2025 (FY25). IBRD undertakes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 obligation to update any forward-looking statements. Certain reclassifications of prior years’ information have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been made to conform with the current year’s presentation. For discussion of IBRD’s financial results for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ended June 30, 2024, as compared to the year ended June 30, 2023, see Section III: Financial Results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MD&amp;A and Financial Statements for the fiscal year ended June 30, 2024 (FY24).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1: Selected Financial Data </w:t>
      </w:r>
    </w:p>
    <w:p>
      <w:pPr>
        <w:autoSpaceDN w:val="0"/>
        <w:autoSpaceDE w:val="0"/>
        <w:widowControl/>
        <w:spacing w:line="16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ratios which are in percentages </w:t>
      </w:r>
    </w:p>
    <w:p>
      <w:pPr>
        <w:autoSpaceDN w:val="0"/>
        <w:autoSpaceDE w:val="0"/>
        <w:widowControl/>
        <w:spacing w:line="160" w:lineRule="exact" w:before="240" w:after="24"/>
        <w:ind w:left="0" w:right="17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As of and for the fiscal years ended June 30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30.0" w:type="dxa"/>
      </w:tblPr>
      <w:tblGrid>
        <w:gridCol w:w="3151"/>
        <w:gridCol w:w="3151"/>
        <w:gridCol w:w="3151"/>
      </w:tblGrid>
      <w:tr>
        <w:trPr>
          <w:trHeight w:hRule="exact" w:val="240"/>
        </w:trPr>
        <w:tc>
          <w:tcPr>
            <w:tcW w:type="dxa" w:w="8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100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  <w:tc>
          <w:tcPr>
            <w:tcW w:type="dxa" w:w="100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38" w:lineRule="exact" w:before="50" w:after="22"/>
        <w:ind w:left="120" w:right="648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Lending Highlights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(Section IV)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Loans and Guarantees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63"/>
        <w:gridCol w:w="2363"/>
        <w:gridCol w:w="2363"/>
        <w:gridCol w:w="2363"/>
      </w:tblGrid>
      <w:tr>
        <w:trPr>
          <w:trHeight w:hRule="exact" w:val="23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Net commitments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40,885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37,568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38,572 </w:t>
            </w:r>
          </w:p>
        </w:tc>
      </w:tr>
      <w:tr>
        <w:trPr>
          <w:trHeight w:hRule="exact" w:val="24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Gross disbursements .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30,779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33,450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25,504 </w:t>
            </w:r>
          </w:p>
        </w:tc>
      </w:tr>
      <w:tr>
        <w:trPr>
          <w:trHeight w:hRule="exact" w:val="248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disbursements . . .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14,794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20,115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12,736 </w:t>
            </w:r>
          </w:p>
        </w:tc>
      </w:tr>
    </w:tbl>
    <w:p>
      <w:pPr>
        <w:autoSpaceDN w:val="0"/>
        <w:autoSpaceDE w:val="0"/>
        <w:widowControl/>
        <w:spacing w:line="202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Income Statement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(Section III)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23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Board of Governors-approved transfers . . . . . . . . . . . . . . . . . . . . . . . . .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(815) $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(371) $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(221) </w:t>
            </w:r>
          </w:p>
        </w:tc>
      </w:tr>
      <w:tr>
        <w:trPr>
          <w:trHeight w:hRule="exact" w:val="248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income . . . . . . . . . . . . . . . . . . . . . . . . . . . . . . . . . . . . . . . . . . . . . . .</w:t>
            </w:r>
          </w:p>
        </w:tc>
        <w:tc>
          <w:tcPr>
            <w:tcW w:type="dxa" w:w="1890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2,100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2,142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1,144 </w:t>
            </w:r>
          </w:p>
        </w:tc>
      </w:tr>
    </w:tbl>
    <w:p>
      <w:pPr>
        <w:autoSpaceDN w:val="0"/>
        <w:autoSpaceDE w:val="0"/>
        <w:widowControl/>
        <w:spacing w:line="202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Balance Sheet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(Section III)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63"/>
        <w:gridCol w:w="2363"/>
        <w:gridCol w:w="2363"/>
        <w:gridCol w:w="2363"/>
      </w:tblGrid>
      <w:tr>
        <w:trPr>
          <w:trHeight w:hRule="exact" w:val="23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assets . . . . . . . .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$399,511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$356,612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$332,641 </w:t>
            </w:r>
          </w:p>
        </w:tc>
      </w:tr>
      <w:tr>
        <w:trPr>
          <w:trHeight w:hRule="exact" w:val="24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Investments-Trading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102,674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82,728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79,199 </w:t>
            </w:r>
          </w:p>
        </w:tc>
      </w:tr>
      <w:tr>
        <w:trPr>
          <w:trHeight w:hRule="exact" w:val="24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loans outstanding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280,043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260,236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241,041 </w:t>
            </w:r>
          </w:p>
        </w:tc>
      </w:tr>
      <w:tr>
        <w:trPr>
          <w:trHeight w:hRule="exact" w:val="24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306,161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261,790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237,265 </w:t>
            </w:r>
          </w:p>
        </w:tc>
      </w:tr>
      <w:tr>
        <w:trPr>
          <w:trHeight w:hRule="exact" w:val="248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equity . . . . . . . .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72,012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63,484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60,382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20"/>
        <w:ind w:left="120" w:right="662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Non-GAAP Measures: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Allocable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(Section III) </w:t>
      </w:r>
      <w:r>
        <w:rPr>
          <w:rFonts w:ascii="Times" w:hAnsi="Times" w:eastAsia="Times"/>
          <w:b w:val="0"/>
          <w:i w:val="0"/>
          <w:color w:val="231F20"/>
          <w:sz w:val="13"/>
        </w:rPr>
        <w:t>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24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Allocable income . . . . . . . . . . .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2,384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1,849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1,312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Allocated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232"/>
        </w:trPr>
        <w:tc>
          <w:tcPr>
            <w:tcW w:type="dxa" w:w="6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General Reserve . . . . . . 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1,182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921 </w:t>
            </w:r>
          </w:p>
        </w:tc>
      </w:tr>
      <w:tr>
        <w:trPr>
          <w:trHeight w:hRule="exact" w:val="240"/>
        </w:trPr>
        <w:tc>
          <w:tcPr>
            <w:tcW w:type="dxa" w:w="6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International Development Association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782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291 </w:t>
            </w:r>
          </w:p>
        </w:tc>
      </w:tr>
      <w:tr>
        <w:trPr>
          <w:trHeight w:hRule="exact" w:val="240"/>
        </w:trPr>
        <w:tc>
          <w:tcPr>
            <w:tcW w:type="dxa" w:w="6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Surplus . . . . . . . . . . . . . . 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</w:tr>
      <w:tr>
        <w:trPr>
          <w:trHeight w:hRule="exact" w:val="240"/>
        </w:trPr>
        <w:tc>
          <w:tcPr>
            <w:tcW w:type="dxa" w:w="6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Usable Equity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(Section VIII) . . 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57,878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54,655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53,105 </w:t>
            </w:r>
          </w:p>
        </w:tc>
      </w:tr>
      <w:tr>
        <w:trPr>
          <w:trHeight w:hRule="exact" w:val="344"/>
        </w:trPr>
        <w:tc>
          <w:tcPr>
            <w:tcW w:type="dxa" w:w="62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Equity-to-Loans ratio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(Section IX) . . . . . . . . . . . . . . . . . . . . . . . . . . . . . . .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21.6% 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21.5% 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22.0% </w:t>
            </w:r>
          </w:p>
        </w:tc>
      </w:tr>
      <w:tr>
        <w:trPr>
          <w:trHeight w:hRule="exact" w:val="312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902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Commitments that have been approved by the Executive Directors (referred to as “the Board” in this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5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document), and are net of full terminations and cancellations relating to commitments approved in the same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fiscal year.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See Notes to the Financial Statements: Note C—Investments, Note E—Borrowings.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Refer to Table 9: Allocable Income and Recommended Allocations for a reconciliation to net income as per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reported basis.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Excludes amounts associated with unrealized mark-to-market gains/losses on non-trading portfolios, net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and related cumulative translation adjustments.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Usable Equity includes the impact of the transfer to the General Reserve from FY25 net income, which was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approved by the Board on August 7, 2025. See Usable Equity components in Table 33: Equity-to-Loans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Ratio and reconciliation of IBRD’s Total equity to Usable equity in Table 34: Usable Equity.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f.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See components in Table 33: Equity-to-Loans Ratio </w:t>
      </w:r>
    </w:p>
    <w:p>
      <w:pPr>
        <w:autoSpaceDN w:val="0"/>
        <w:autoSpaceDE w:val="0"/>
        <w:widowControl/>
        <w:spacing w:line="200" w:lineRule="exact" w:before="71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 </w:t>
      </w:r>
    </w:p>
    <w:p>
      <w:pPr>
        <w:sectPr>
          <w:pgSz w:w="12240" w:h="15840"/>
          <w:pgMar w:top="766" w:right="1348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Summary Financial Results </w:t>
      </w:r>
    </w:p>
    <w:p>
      <w:pPr>
        <w:autoSpaceDN w:val="0"/>
        <w:autoSpaceDE w:val="0"/>
        <w:widowControl/>
        <w:spacing w:line="200" w:lineRule="exact" w:before="14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Net Income </w:t>
      </w:r>
    </w:p>
    <w:p>
      <w:pPr>
        <w:autoSpaceDN w:val="0"/>
        <w:autoSpaceDE w:val="0"/>
        <w:widowControl/>
        <w:spacing w:line="210" w:lineRule="exact" w:before="1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recorded net income of $2,100 million for the fiscal year ended June 30, 2025, a decrease of $42 million,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compared with net income of $2,142 million for the fiscal year ended June 30, 2024. The decrease in FY25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due to higher Board of Governors-approved transfers by $444 million. This was partially offset by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in interest revenue net of borrowing expenses and lower provision expense for losses on loans and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exposures. </w:t>
      </w:r>
    </w:p>
    <w:p>
      <w:pPr>
        <w:autoSpaceDN w:val="0"/>
        <w:autoSpaceDE w:val="0"/>
        <w:widowControl/>
        <w:spacing w:line="200" w:lineRule="exact" w:before="3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Allocable Income </w:t>
      </w:r>
    </w:p>
    <w:p>
      <w:pPr>
        <w:autoSpaceDN w:val="0"/>
        <w:autoSpaceDE w:val="0"/>
        <w:widowControl/>
        <w:spacing w:line="230" w:lineRule="exact" w:before="1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Allocable income is a non-GAAP measure IBRD uses for making net income allocation decisions. Given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intention to maintain its non-trading portfolio positions to maturity, unrealized mark-to-market gains and losses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these portfolios are not included in IBRD’s allocable income. In addition, Board of Governors-approved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transfers are also excluded from IBRD’s allocable income since these amounts relate to allocations out of prior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allocable income, surplus, or restricted retained earnings. </w:t>
      </w:r>
    </w:p>
    <w:p>
      <w:pPr>
        <w:autoSpaceDN w:val="0"/>
        <w:autoSpaceDE w:val="0"/>
        <w:widowControl/>
        <w:spacing w:line="230" w:lineRule="exact" w:before="21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fiscal year ended June 30, 2025, allocable income was $2,384 million, compared with $1,849 million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fiscal year ended June 30, 2024. The increase was primarily due to the increase in net revenue on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earning assets in FY25, compared to FY24 (Section III). </w:t>
      </w:r>
    </w:p>
    <w:p>
      <w:pPr>
        <w:autoSpaceDN w:val="0"/>
        <w:autoSpaceDE w:val="0"/>
        <w:widowControl/>
        <w:spacing w:line="200" w:lineRule="exact" w:before="25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 millions of U.S. dollars </w:t>
      </w:r>
    </w:p>
    <w:p>
      <w:pPr>
        <w:autoSpaceDN w:val="0"/>
        <w:autoSpaceDE w:val="0"/>
        <w:widowControl/>
        <w:spacing w:line="240" w:lineRule="exact" w:before="144" w:after="28"/>
        <w:ind w:left="2722" w:right="2304" w:firstLine="0"/>
        <w:jc w:val="left"/>
      </w:pPr>
      <w:r>
        <w:rPr>
          <w:rFonts w:ascii="ArialMT" w:hAnsi="ArialMT" w:eastAsia="ArialMT"/>
          <w:b w:val="0"/>
          <w:i w:val="0"/>
          <w:color w:val="6A6B6E"/>
          <w:sz w:val="20"/>
        </w:rPr>
        <w:t xml:space="preserve">Allocable income </w:t>
      </w:r>
      <w:r>
        <w:br/>
      </w:r>
      <w:r>
        <w:rPr>
          <w:rFonts w:ascii="ArialMT" w:hAnsi="ArialMT" w:eastAsia="ArialMT"/>
          <w:b w:val="0"/>
          <w:i w:val="0"/>
          <w:color w:val="6A6B6E"/>
          <w:sz w:val="20"/>
        </w:rPr>
        <w:t xml:space="preserve">Net Income/Loss </w:t>
      </w:r>
      <w:r>
        <w:br/>
      </w:r>
      <w:r>
        <w:rPr>
          <w:rFonts w:ascii="ArialMT" w:hAnsi="ArialMT" w:eastAsia="ArialMT"/>
          <w:b w:val="0"/>
          <w:i w:val="0"/>
          <w:color w:val="6A6B6E"/>
          <w:sz w:val="20"/>
        </w:rPr>
        <w:t>Unrealized gains/losses on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680"/>
        <w:gridCol w:w="4680"/>
      </w:tblGrid>
      <w:tr>
        <w:trPr>
          <w:trHeight w:hRule="exact" w:val="111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 xml:space="preserve">4,000 </w:t>
            </w: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 xml:space="preserve">2,000 </w:t>
            </w: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>0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81600" cy="584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0" w:lineRule="exact" w:before="162" w:after="16"/>
        <w:ind w:left="120" w:right="0" w:firstLine="0"/>
        <w:jc w:val="left"/>
      </w:pPr>
      <w:r>
        <w:rPr>
          <w:rFonts w:ascii="ArialMT" w:hAnsi="ArialMT" w:eastAsia="ArialMT"/>
          <w:b w:val="0"/>
          <w:i w:val="0"/>
          <w:color w:val="6A6B6E"/>
          <w:sz w:val="20"/>
        </w:rPr>
        <w:t>-2,000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7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 xml:space="preserve">FY21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 xml:space="preserve">FY22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 xml:space="preserve">FY23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 xml:space="preserve">FY24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6A6B6E"/>
                <w:sz w:val="20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00" w:lineRule="exact" w:before="36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Lending Operations </w:t>
      </w:r>
    </w:p>
    <w:p>
      <w:pPr>
        <w:autoSpaceDN w:val="0"/>
        <w:autoSpaceDE w:val="0"/>
        <w:widowControl/>
        <w:spacing w:line="230" w:lineRule="exact" w:before="1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lending operations during the fiscal year ended June 30, 2025 provided $40.9 billion of net commitments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(Table 12) and $30.8 billion of gross loan disbursements (Table 13). Net disbursements of $14.8 billion were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key driver of the increase in net loans outstanding from $260.2 billion as of June 30, 2024 to $280.0 billion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2025. </w:t>
      </w:r>
    </w:p>
    <w:p>
      <w:pPr>
        <w:autoSpaceDN w:val="0"/>
        <w:autoSpaceDE w:val="0"/>
        <w:widowControl/>
        <w:spacing w:line="200" w:lineRule="exact" w:before="252" w:after="12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 billions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480"/>
        </w:trPr>
        <w:tc>
          <w:tcPr>
            <w:tcW w:type="dxa" w:w="440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6777A"/>
                <w:sz w:val="16"/>
              </w:rPr>
              <w:t>Net Commitments</w:t>
            </w:r>
          </w:p>
        </w:tc>
        <w:tc>
          <w:tcPr>
            <w:tcW w:type="dxa" w:w="540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gridSpan w:val="6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6777A"/>
                <w:sz w:val="16"/>
              </w:rPr>
              <w:t>Disbursements</w:t>
            </w:r>
          </w:p>
        </w:tc>
        <w:tc>
          <w:tcPr>
            <w:tcW w:type="dxa" w:w="480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300</w:t>
            </w:r>
          </w:p>
        </w:tc>
        <w:tc>
          <w:tcPr>
            <w:tcW w:type="dxa" w:w="2500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6777A"/>
                <w:sz w:val="16"/>
              </w:rPr>
              <w:t>Net Loans outstanding</w:t>
            </w:r>
          </w:p>
        </w:tc>
      </w:tr>
      <w:tr>
        <w:trPr>
          <w:trHeight w:hRule="exact" w:val="92"/>
        </w:trPr>
        <w:tc>
          <w:tcPr>
            <w:tcW w:type="dxa" w:w="440"/>
            <w:vMerge w:val="restart"/>
            <w:tcBorders>
              <w:top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45</w:t>
            </w:r>
          </w:p>
        </w:tc>
        <w:tc>
          <w:tcPr>
            <w:tcW w:type="dxa" w:w="2520"/>
            <w:vMerge w:val="restart"/>
            <w:tcBorders>
              <w:top w:sz="5.600000000000364" w:val="single" w:color="#E6E7E8"/>
              <w:bottom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84300" cy="241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"/>
            <w:tcBorders>
              <w:top w:sz="6.399999999999636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45</w:t>
            </w:r>
          </w:p>
        </w:tc>
        <w:tc>
          <w:tcPr>
            <w:tcW w:type="dxa" w:w="2600"/>
            <w:gridSpan w:val="6"/>
            <w:vMerge w:val="restart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1300" cy="2413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sz="6.399999999999636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vMerge w:val="restart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2400" cy="2413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6"/>
        </w:trPr>
        <w:tc>
          <w:tcPr>
            <w:tcW w:type="dxa" w:w="851"/>
            <w:vMerge/>
            <w:tcBorders>
              <w:top w:sz="6.399999999999636" w:val="single" w:color="#E6E7E8"/>
            </w:tcBorders>
          </w:tcPr>
          <w:p/>
        </w:tc>
        <w:tc>
          <w:tcPr>
            <w:tcW w:type="dxa" w:w="851"/>
            <w:vMerge/>
            <w:tcBorders>
              <w:top w:sz="5.600000000000364" w:val="single" w:color="#E6E7E8"/>
              <w:bottom w:sz="6.399999999999636" w:val="single" w:color="#E6E7E8"/>
            </w:tcBorders>
          </w:tcPr>
          <w:p/>
        </w:tc>
        <w:tc>
          <w:tcPr>
            <w:tcW w:type="dxa" w:w="540"/>
            <w:vMerge w:val="restart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36</w:t>
            </w:r>
          </w:p>
        </w:tc>
        <w:tc>
          <w:tcPr>
            <w:tcW w:type="dxa" w:w="5106"/>
            <w:gridSpan w:val="6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250</w:t>
            </w:r>
          </w:p>
        </w:tc>
        <w:tc>
          <w:tcPr>
            <w:tcW w:type="dxa" w:w="851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</w:tr>
      <w:tr>
        <w:trPr>
          <w:trHeight w:hRule="exact" w:val="184"/>
        </w:trPr>
        <w:tc>
          <w:tcPr>
            <w:tcW w:type="dxa" w:w="440"/>
            <w:vMerge w:val="restart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36</w:t>
            </w:r>
          </w:p>
        </w:tc>
        <w:tc>
          <w:tcPr>
            <w:tcW w:type="dxa" w:w="851"/>
            <w:vMerge/>
            <w:tcBorders>
              <w:top w:sz="5.600000000000364" w:val="single" w:color="#E6E7E8"/>
              <w:bottom w:sz="6.399999999999636" w:val="single" w:color="#E6E7E8"/>
            </w:tcBorders>
          </w:tcPr>
          <w:p/>
        </w:tc>
        <w:tc>
          <w:tcPr>
            <w:tcW w:type="dxa" w:w="851"/>
            <w:vMerge/>
            <w:tcBorders>
              <w:bottom w:sz="6.399999999999636" w:val="single" w:color="#E6E7E8"/>
            </w:tcBorders>
          </w:tcPr>
          <w:p/>
        </w:tc>
        <w:tc>
          <w:tcPr>
            <w:tcW w:type="dxa" w:w="5106"/>
            <w:gridSpan w:val="6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</w:tr>
      <w:tr>
        <w:trPr>
          <w:trHeight w:hRule="exact" w:val="110"/>
        </w:trPr>
        <w:tc>
          <w:tcPr>
            <w:tcW w:type="dxa" w:w="851"/>
            <w:vMerge/>
            <w:tcBorders>
              <w:bottom w:sz="6.399999999999636" w:val="single" w:color="#E6E7E8"/>
            </w:tcBorders>
          </w:tcPr>
          <w:p/>
        </w:tc>
        <w:tc>
          <w:tcPr>
            <w:tcW w:type="dxa" w:w="851"/>
            <w:vMerge/>
            <w:tcBorders>
              <w:top w:sz="5.600000000000364" w:val="single" w:color="#E6E7E8"/>
              <w:bottom w:sz="6.399999999999636" w:val="single" w:color="#E6E7E8"/>
            </w:tcBorders>
          </w:tcPr>
          <w:p/>
        </w:tc>
        <w:tc>
          <w:tcPr>
            <w:tcW w:type="dxa" w:w="851"/>
            <w:vMerge/>
            <w:tcBorders>
              <w:bottom w:sz="6.399999999999636" w:val="single" w:color="#E6E7E8"/>
            </w:tcBorders>
          </w:tcPr>
          <w:p/>
        </w:tc>
        <w:tc>
          <w:tcPr>
            <w:tcW w:type="dxa" w:w="5106"/>
            <w:gridSpan w:val="6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  <w:tc>
          <w:tcPr>
            <w:tcW w:type="dxa" w:w="480"/>
            <w:tcBorders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1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</w:tr>
      <w:tr>
        <w:trPr>
          <w:trHeight w:hRule="exact" w:val="134"/>
        </w:trPr>
        <w:tc>
          <w:tcPr>
            <w:tcW w:type="dxa" w:w="440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vMerge w:val="restart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6"/>
            <w:gridSpan w:val="6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  <w:tc>
          <w:tcPr>
            <w:tcW w:type="dxa" w:w="480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200</w:t>
            </w:r>
          </w:p>
        </w:tc>
        <w:tc>
          <w:tcPr>
            <w:tcW w:type="dxa" w:w="851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</w:tr>
      <w:tr>
        <w:trPr>
          <w:trHeight w:hRule="exact" w:val="124"/>
        </w:trPr>
        <w:tc>
          <w:tcPr>
            <w:tcW w:type="dxa" w:w="440"/>
            <w:tcBorders>
              <w:top w:sz="5.600000000000364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27</w:t>
            </w:r>
          </w:p>
        </w:tc>
        <w:tc>
          <w:tcPr>
            <w:tcW w:type="dxa" w:w="851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  <w:tc>
          <w:tcPr>
            <w:tcW w:type="dxa" w:w="540"/>
            <w:tcBorders>
              <w:top w:sz="5.600000000000364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27</w:t>
            </w:r>
          </w:p>
        </w:tc>
        <w:tc>
          <w:tcPr>
            <w:tcW w:type="dxa" w:w="5106"/>
            <w:gridSpan w:val="6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  <w:tc>
          <w:tcPr>
            <w:tcW w:type="dxa" w:w="480"/>
            <w:tcBorders>
              <w:top w:sz="5.600000000000364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vMerge w:val="restart"/>
            <w:tcBorders>
              <w:top w:sz="5.600000000000364" w:val="single" w:color="#E6E7E8"/>
              <w:bottom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0"/>
        </w:trPr>
        <w:tc>
          <w:tcPr>
            <w:tcW w:type="dxa" w:w="440"/>
            <w:tcBorders>
              <w:top w:sz="5.600000000000364" w:val="single" w:color="#E6E7E8"/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vMerge w:val="restart"/>
            <w:tcBorders>
              <w:top w:sz="5.600000000000364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5.600000000000364" w:val="single" w:color="#E6E7E8"/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gridSpan w:val="6"/>
            <w:vMerge w:val="restart"/>
            <w:tcBorders>
              <w:top w:sz="5.600000000000364" w:val="single" w:color="#E6E7E8"/>
              <w:bottom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1300" cy="177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"/>
            <w:tcBorders>
              <w:top w:sz="5.600000000000364" w:val="single" w:color="#E6E7E8"/>
              <w:bottom w:sz="6.399999999999636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150</w:t>
            </w:r>
          </w:p>
        </w:tc>
        <w:tc>
          <w:tcPr>
            <w:tcW w:type="dxa" w:w="851"/>
            <w:vMerge/>
            <w:tcBorders>
              <w:top w:sz="5.600000000000364" w:val="single" w:color="#E6E7E8"/>
              <w:bottom w:sz="6.399999999999636" w:val="single" w:color="#E6E7E8"/>
            </w:tcBorders>
          </w:tcPr>
          <w:p/>
        </w:tc>
      </w:tr>
      <w:tr>
        <w:trPr>
          <w:trHeight w:hRule="exact" w:val="74"/>
        </w:trPr>
        <w:tc>
          <w:tcPr>
            <w:tcW w:type="dxa" w:w="440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1"/>
            <w:vMerge/>
            <w:tcBorders>
              <w:top w:sz="5.600000000000364" w:val="single" w:color="#E6E7E8"/>
              <w:bottom w:sz="5.600000000000364" w:val="single" w:color="#E6E7E8"/>
            </w:tcBorders>
          </w:tcPr>
          <w:p/>
        </w:tc>
        <w:tc>
          <w:tcPr>
            <w:tcW w:type="dxa" w:w="540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6"/>
            <w:gridSpan w:val="6"/>
            <w:vMerge/>
            <w:tcBorders>
              <w:top w:sz="5.600000000000364" w:val="single" w:color="#E6E7E8"/>
              <w:bottom w:sz="6.399999999999636" w:val="single" w:color="#E6E7E8"/>
            </w:tcBorders>
          </w:tcPr>
          <w:p/>
        </w:tc>
        <w:tc>
          <w:tcPr>
            <w:tcW w:type="dxa" w:w="480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vMerge w:val="restart"/>
            <w:tcBorders>
              <w:top w:sz="6.399999999999636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"/>
        </w:trPr>
        <w:tc>
          <w:tcPr>
            <w:tcW w:type="dxa" w:w="440"/>
            <w:tcBorders>
              <w:top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vMerge w:val="restart"/>
            <w:tcBorders>
              <w:top w:sz="5.600000000000364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vMerge w:val="restart"/>
            <w:tcBorders>
              <w:top w:sz="5.600000000000364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06"/>
            <w:gridSpan w:val="6"/>
            <w:vMerge/>
            <w:tcBorders>
              <w:top w:sz="5.600000000000364" w:val="single" w:color="#E6E7E8"/>
              <w:bottom w:sz="6.399999999999636" w:val="single" w:color="#E6E7E8"/>
            </w:tcBorders>
          </w:tcPr>
          <w:p/>
        </w:tc>
        <w:tc>
          <w:tcPr>
            <w:tcW w:type="dxa" w:w="480"/>
            <w:vMerge w:val="restart"/>
            <w:tcBorders>
              <w:top w:sz="5.600000000000364" w:val="single" w:color="#E6E7E8"/>
              <w:bottom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100</w:t>
            </w:r>
          </w:p>
        </w:tc>
        <w:tc>
          <w:tcPr>
            <w:tcW w:type="dxa" w:w="851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</w:tr>
      <w:tr>
        <w:trPr>
          <w:trHeight w:hRule="exact" w:val="148"/>
        </w:trPr>
        <w:tc>
          <w:tcPr>
            <w:tcW w:type="dxa" w:w="440"/>
            <w:tcBorders>
              <w:bottom w:sz="5.60000000000036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1"/>
            <w:vMerge/>
            <w:tcBorders>
              <w:top w:sz="5.600000000000364" w:val="single" w:color="#E6E7E8"/>
              <w:bottom w:sz="5.600000000000364" w:val="single" w:color="#E6E7E8"/>
            </w:tcBorders>
          </w:tcPr>
          <w:p/>
        </w:tc>
        <w:tc>
          <w:tcPr>
            <w:tcW w:type="dxa" w:w="851"/>
            <w:vMerge/>
            <w:tcBorders>
              <w:top w:sz="5.600000000000364" w:val="single" w:color="#E6E7E8"/>
              <w:bottom w:sz="5.600000000000364" w:val="single" w:color="#E6E7E8"/>
            </w:tcBorders>
          </w:tcPr>
          <w:p/>
        </w:tc>
        <w:tc>
          <w:tcPr>
            <w:tcW w:type="dxa" w:w="5106"/>
            <w:gridSpan w:val="6"/>
            <w:vMerge/>
            <w:tcBorders>
              <w:top w:sz="5.600000000000364" w:val="single" w:color="#E6E7E8"/>
              <w:bottom w:sz="6.399999999999636" w:val="single" w:color="#E6E7E8"/>
            </w:tcBorders>
          </w:tcPr>
          <w:p/>
        </w:tc>
        <w:tc>
          <w:tcPr>
            <w:tcW w:type="dxa" w:w="851"/>
            <w:vMerge/>
            <w:tcBorders>
              <w:top w:sz="5.600000000000364" w:val="single" w:color="#E6E7E8"/>
              <w:bottom w:sz="5.600000000000364" w:val="single" w:color="#E6E7E8"/>
            </w:tcBorders>
          </w:tcPr>
          <w:p/>
        </w:tc>
        <w:tc>
          <w:tcPr>
            <w:tcW w:type="dxa" w:w="851"/>
            <w:vMerge/>
            <w:tcBorders>
              <w:top w:sz="6.399999999999636" w:val="single" w:color="#E6E7E8"/>
              <w:bottom w:sz="5.600000000000364" w:val="single" w:color="#E6E7E8"/>
            </w:tcBorders>
          </w:tcPr>
          <w:p/>
        </w:tc>
      </w:tr>
      <w:tr>
        <w:trPr>
          <w:trHeight w:hRule="exact" w:val="112"/>
        </w:trPr>
        <w:tc>
          <w:tcPr>
            <w:tcW w:type="dxa" w:w="440"/>
            <w:tcBorders>
              <w:top w:sz="5.60000000000036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9</w:t>
            </w:r>
          </w:p>
        </w:tc>
        <w:tc>
          <w:tcPr>
            <w:tcW w:type="dxa" w:w="2520"/>
            <w:vMerge w:val="restart"/>
            <w:tcBorders>
              <w:top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6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FY21 FY22 FY23 FY24 FY25 </w:t>
            </w:r>
          </w:p>
        </w:tc>
        <w:tc>
          <w:tcPr>
            <w:tcW w:type="dxa" w:w="540"/>
            <w:tcBorders>
              <w:top w:sz="5.60000000000036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9</w:t>
            </w:r>
          </w:p>
        </w:tc>
        <w:tc>
          <w:tcPr>
            <w:tcW w:type="dxa" w:w="560"/>
            <w:vMerge w:val="restart"/>
            <w:tcBorders>
              <w:top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FY21</w:t>
            </w:r>
          </w:p>
        </w:tc>
        <w:tc>
          <w:tcPr>
            <w:tcW w:type="dxa" w:w="900"/>
            <w:gridSpan w:val="3"/>
            <w:vMerge w:val="restart"/>
            <w:tcBorders>
              <w:top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FY22  FY23</w:t>
            </w:r>
          </w:p>
        </w:tc>
        <w:tc>
          <w:tcPr>
            <w:tcW w:type="dxa" w:w="500"/>
            <w:vMerge w:val="restart"/>
            <w:tcBorders>
              <w:top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FY24</w:t>
            </w:r>
          </w:p>
        </w:tc>
        <w:tc>
          <w:tcPr>
            <w:tcW w:type="dxa" w:w="640"/>
            <w:vMerge w:val="restart"/>
            <w:tcBorders>
              <w:top w:sz="6.39999999999963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FY25 </w:t>
            </w:r>
          </w:p>
        </w:tc>
        <w:tc>
          <w:tcPr>
            <w:tcW w:type="dxa" w:w="480"/>
            <w:tcBorders>
              <w:top w:sz="5.60000000000036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50</w:t>
            </w:r>
          </w:p>
        </w:tc>
        <w:tc>
          <w:tcPr>
            <w:tcW w:type="dxa" w:w="2500"/>
            <w:vMerge w:val="restart"/>
            <w:tcBorders>
              <w:top w:sz="5.60000000000036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Jun 21 Jun 22 Jun 23 Jun 24 Jun 25 </w:t>
            </w:r>
          </w:p>
        </w:tc>
      </w:tr>
      <w:tr>
        <w:trPr>
          <w:trHeight w:hRule="exact" w:val="560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851"/>
            <w:vMerge/>
            <w:tcBorders>
              <w:top w:sz="5.600000000000364" w:val="single" w:color="#E6E7E8"/>
            </w:tcBorders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851"/>
            <w:vMerge/>
            <w:tcBorders>
              <w:top w:sz="6.399999999999636" w:val="single" w:color="#E6E7E8"/>
            </w:tcBorders>
          </w:tcPr>
          <w:p/>
        </w:tc>
        <w:tc>
          <w:tcPr>
            <w:tcW w:type="dxa" w:w="2553"/>
            <w:gridSpan w:val="3"/>
            <w:vMerge/>
            <w:tcBorders>
              <w:top w:sz="6.399999999999636" w:val="single" w:color="#E6E7E8"/>
            </w:tcBorders>
          </w:tcPr>
          <w:p/>
        </w:tc>
        <w:tc>
          <w:tcPr>
            <w:tcW w:type="dxa" w:w="851"/>
            <w:vMerge/>
            <w:tcBorders>
              <w:top w:sz="6.399999999999636" w:val="single" w:color="#E6E7E8"/>
            </w:tcBorders>
          </w:tcPr>
          <w:p/>
        </w:tc>
        <w:tc>
          <w:tcPr>
            <w:tcW w:type="dxa" w:w="851"/>
            <w:vMerge/>
            <w:tcBorders>
              <w:top w:sz="6.399999999999636" w:val="single" w:color="#E6E7E8"/>
            </w:tcBorders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851"/>
            <w:vMerge/>
            <w:tcBorders>
              <w:top w:sz="5.600000000000364" w:val="single" w:color="#E6E7E8"/>
            </w:tcBorders>
          </w:tcPr>
          <w:p/>
        </w:tc>
      </w:tr>
      <w:tr>
        <w:trPr>
          <w:trHeight w:hRule="exact" w:val="348"/>
        </w:trPr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>
              <w:top w:sz="5.600000000000364" w:val="single" w:color="#E6E7E8"/>
            </w:tcBorders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0" w:right="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8270" cy="241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" cy="24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76777A"/>
                <w:sz w:val="16"/>
              </w:rPr>
              <w:t xml:space="preserve">Gross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241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24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6777A"/>
                <w:sz w:val="16"/>
              </w:rPr>
              <w:t>Net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>
              <w:top w:sz="5.600000000000364" w:val="single" w:color="#E6E7E8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3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24" w:lineRule="exact" w:before="0" w:after="278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Net commitments were $3.3 billion higher compared with FY24 (Table 12). The regions with the largest share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commitments during FY25 were Latin America and the Caribbean with 30%, and Europe and Central Asia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26%. Gross disbursements were $2.7 billion lower compared to FY24 (Table 13). The regions with the largest share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gross disbursements were Europe and Central Asia with 26%, and Latin America and the Caribbean with 26%. 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9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Investments—Trading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IBRD’s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Investments—Trading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increased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by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$20.0 billion, from $82.7 billion as of June 30, 2024 </w:t>
      </w:r>
    </w:p>
    <w:p>
      <w:pPr>
        <w:sectPr>
          <w:type w:val="continuous"/>
          <w:pgSz w:w="12240" w:h="15840"/>
          <w:pgMar w:top="760" w:right="1440" w:bottom="696" w:left="1440" w:header="720" w:footer="720" w:gutter="0"/>
          <w:cols w:num="2" w:equalWidth="0">
            <w:col w:w="4704" w:space="0"/>
            <w:col w:w="4656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234"/>
        <w:ind w:left="216" w:right="2304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 billions of U.S. dollars </w:t>
      </w:r>
      <w:r>
        <w:br/>
      </w:r>
      <w:r>
        <w:rPr>
          <w:rFonts w:ascii="Arial" w:hAnsi="Arial" w:eastAsia="Arial"/>
          <w:b/>
          <w:i w:val="0"/>
          <w:color w:val="6F7073"/>
          <w:sz w:val="18"/>
        </w:rPr>
        <w:t xml:space="preserve">Investments - Trading </w:t>
      </w:r>
    </w:p>
    <w:p>
      <w:pPr>
        <w:sectPr>
          <w:type w:val="nextColumn"/>
          <w:pgSz w:w="12240" w:h="15840"/>
          <w:pgMar w:top="760" w:right="1440" w:bottom="696" w:left="1440" w:header="720" w:footer="720" w:gutter="0"/>
          <w:cols w:num="2" w:equalWidth="0">
            <w:col w:w="4704" w:space="0"/>
            <w:col w:w="46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00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 $102.7 billion as of June 30, 2025. The increase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" w:after="0"/>
              <w:ind w:left="0" w:right="98" w:firstLine="0"/>
              <w:jc w:val="right"/>
            </w:pPr>
            <w:r>
              <w:rPr>
                <w:w w:val="101.47000040326799"/>
                <w:rFonts w:ascii="ArialMT" w:hAnsi="ArialMT" w:eastAsia="ArialMT"/>
                <w:b w:val="0"/>
                <w:i w:val="0"/>
                <w:color w:val="76777A"/>
                <w:sz w:val="14"/>
              </w:rPr>
              <w:t>120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01800" cy="215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was primarily due to net new debt issuances that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04" w:after="0"/>
              <w:ind w:left="0" w:right="100" w:firstLine="0"/>
              <w:jc w:val="right"/>
            </w:pPr>
            <w:r>
              <w:rPr>
                <w:w w:val="101.47000040326799"/>
                <w:rFonts w:ascii="ArialMT" w:hAnsi="ArialMT" w:eastAsia="ArialMT"/>
                <w:b w:val="0"/>
                <w:i w:val="0"/>
                <w:color w:val="76777A"/>
                <w:sz w:val="14"/>
              </w:rPr>
              <w:t>90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were higher than net loan disbursements during the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year, and is consistent with the higher target liquidity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8" w:after="0"/>
              <w:ind w:left="0" w:right="100" w:firstLine="0"/>
              <w:jc w:val="right"/>
            </w:pPr>
            <w:r>
              <w:rPr>
                <w:w w:val="101.47000040326799"/>
                <w:rFonts w:ascii="ArialMT" w:hAnsi="ArialMT" w:eastAsia="ArialMT"/>
                <w:b w:val="0"/>
                <w:i w:val="0"/>
                <w:color w:val="76777A"/>
                <w:sz w:val="14"/>
              </w:rPr>
              <w:t>60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" w:after="12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level in FY25 compared to FY24 (Section III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548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0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Section VI). As of June 30, 2025, 77% of 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investments are rated AA or above (Table 35).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" w:after="0"/>
              <w:ind w:left="368" w:right="0" w:firstLine="0"/>
              <w:jc w:val="left"/>
            </w:pPr>
            <w:r>
              <w:rPr>
                <w:w w:val="101.47000040326799"/>
                <w:rFonts w:ascii="ArialMT" w:hAnsi="ArialMT" w:eastAsia="ArialMT"/>
                <w:b w:val="0"/>
                <w:i w:val="0"/>
                <w:color w:val="76777A"/>
                <w:sz w:val="14"/>
              </w:rPr>
              <w:t>30</w:t>
            </w:r>
          </w:p>
          <w:p>
            <w:pPr>
              <w:autoSpaceDN w:val="0"/>
              <w:autoSpaceDE w:val="0"/>
              <w:widowControl/>
              <w:spacing w:line="142" w:lineRule="exact" w:before="232" w:after="0"/>
              <w:ind w:left="446" w:right="0" w:firstLine="0"/>
              <w:jc w:val="left"/>
            </w:pPr>
            <w:r>
              <w:rPr>
                <w:w w:val="101.47000040326799"/>
                <w:rFonts w:ascii="ArialMT" w:hAnsi="ArialMT" w:eastAsia="ArialMT"/>
                <w:b w:val="0"/>
                <w:i w:val="0"/>
                <w:color w:val="76777A"/>
                <w:sz w:val="1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26" w:lineRule="exact" w:before="22" w:after="0"/>
        <w:ind w:left="0" w:right="1258" w:firstLine="0"/>
        <w:jc w:val="right"/>
      </w:pPr>
      <w:r>
        <w:rPr>
          <w:w w:val="104.14083003997803"/>
          <w:rFonts w:ascii="ArialMT" w:hAnsi="ArialMT" w:eastAsia="ArialMT"/>
          <w:b w:val="0"/>
          <w:i w:val="0"/>
          <w:color w:val="76777A"/>
          <w:sz w:val="12"/>
        </w:rPr>
        <w:t>Jun 21  Jun 22  Jun 23  Jun 24  Jun 25</w:t>
      </w:r>
    </w:p>
    <w:p>
      <w:pPr>
        <w:autoSpaceDN w:val="0"/>
        <w:tabs>
          <w:tab w:pos="4920" w:val="left"/>
        </w:tabs>
        <w:autoSpaceDE w:val="0"/>
        <w:widowControl/>
        <w:spacing w:line="200" w:lineRule="exact" w:before="4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Borrowings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 billions of U.S. dollars </w:t>
      </w:r>
    </w:p>
    <w:p>
      <w:pPr>
        <w:autoSpaceDN w:val="0"/>
        <w:tabs>
          <w:tab w:pos="4920" w:val="left"/>
        </w:tabs>
        <w:autoSpaceDE w:val="0"/>
        <w:widowControl/>
        <w:spacing w:line="236" w:lineRule="exact" w:before="122" w:after="18"/>
        <w:ind w:left="120" w:right="3312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Borrowings reported at fair value: As of June 30, </w:t>
      </w:r>
      <w:r>
        <w:tab/>
      </w:r>
      <w:r>
        <w:rPr>
          <w:rFonts w:ascii="Arial" w:hAnsi="Arial" w:eastAsia="Arial"/>
          <w:b/>
          <w:i w:val="0"/>
          <w:color w:val="6F7073"/>
          <w:sz w:val="18"/>
        </w:rPr>
        <w:t xml:space="preserve">Borrowings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2025, the borrowings reported at fair value were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36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$305.7 billion, $43.9 billion higher than June 30,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0" w:after="0"/>
              <w:ind w:left="0" w:right="92" w:firstLine="0"/>
              <w:jc w:val="right"/>
            </w:pPr>
            <w:r>
              <w:rPr>
                <w:w w:val="102.08713667733329"/>
                <w:rFonts w:ascii="ArialMT" w:hAnsi="ArialMT" w:eastAsia="ArialMT"/>
                <w:b w:val="0"/>
                <w:i w:val="0"/>
                <w:color w:val="76777A"/>
                <w:sz w:val="14"/>
              </w:rPr>
              <w:t>320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4500" cy="2413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2024. The increase was mainly due to net new debt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4" w:after="0"/>
              <w:ind w:left="0" w:right="92" w:firstLine="0"/>
              <w:jc w:val="right"/>
            </w:pPr>
            <w:r>
              <w:rPr>
                <w:w w:val="102.08713667733329"/>
                <w:rFonts w:ascii="ArialMT" w:hAnsi="ArialMT" w:eastAsia="ArialMT"/>
                <w:b w:val="0"/>
                <w:i w:val="0"/>
                <w:color w:val="76777A"/>
                <w:sz w:val="14"/>
              </w:rPr>
              <w:t>240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issuances that financed the growing development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and lending operations and satisfied liquidity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2" w:after="0"/>
              <w:ind w:left="0" w:right="92" w:firstLine="0"/>
              <w:jc w:val="right"/>
            </w:pPr>
            <w:r>
              <w:rPr>
                <w:w w:val="102.08713667733329"/>
                <w:rFonts w:ascii="ArialMT" w:hAnsi="ArialMT" w:eastAsia="ArialMT"/>
                <w:b w:val="0"/>
                <w:i w:val="0"/>
                <w:color w:val="76777A"/>
                <w:sz w:val="14"/>
              </w:rPr>
              <w:t>160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tabs>
          <w:tab w:pos="5176" w:val="left"/>
        </w:tabs>
        <w:autoSpaceDE w:val="0"/>
        <w:widowControl/>
        <w:spacing w:line="168" w:lineRule="exact" w:before="42" w:after="54"/>
        <w:ind w:left="120" w:right="38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requirements. </w:t>
      </w:r>
      <w:r>
        <w:br/>
      </w:r>
      <w:r>
        <w:tab/>
      </w:r>
      <w:r>
        <w:rPr>
          <w:w w:val="102.08713667733329"/>
          <w:rFonts w:ascii="ArialMT" w:hAnsi="ArialMT" w:eastAsia="ArialMT"/>
          <w:b w:val="0"/>
          <w:i w:val="0"/>
          <w:color w:val="76777A"/>
          <w:sz w:val="14"/>
        </w:rPr>
        <w:t>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7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Borrowings reported at amortized cost: As of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0" w:after="0"/>
              <w:ind w:left="0" w:right="144" w:firstLine="0"/>
              <w:jc w:val="right"/>
            </w:pPr>
            <w:r>
              <w:rPr>
                <w:w w:val="102.08713667733329"/>
                <w:rFonts w:ascii="ArialMT" w:hAnsi="ArialMT" w:eastAsia="ArialMT"/>
                <w:b w:val="0"/>
                <w:i w:val="0"/>
                <w:color w:val="76777A"/>
                <w:sz w:val="14"/>
              </w:rPr>
              <w:t>0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66" w:after="0"/>
              <w:ind w:left="146" w:right="0" w:firstLine="0"/>
              <w:jc w:val="left"/>
            </w:pPr>
            <w:r>
              <w:rPr>
                <w:w w:val="96.71384371243991"/>
                <w:rFonts w:ascii="ArialMT" w:hAnsi="ArialMT" w:eastAsia="ArialMT"/>
                <w:b w:val="0"/>
                <w:i w:val="0"/>
                <w:color w:val="76777A"/>
                <w:sz w:val="13"/>
              </w:rPr>
              <w:t>Jun 21  Jun 22  Jun 23  Jun 24  Jun 25</w:t>
            </w:r>
          </w:p>
        </w:tc>
      </w:tr>
      <w:tr>
        <w:trPr>
          <w:trHeight w:hRule="exact" w:val="238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June 30, 2025, the borrowings reported at amortized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0" w:after="0"/>
        <w:ind w:left="120" w:right="48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cost were $482 million, all related to IBRD’s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issuances of hybrid capital (Section III and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Section IX). </w:t>
      </w:r>
    </w:p>
    <w:p>
      <w:pPr>
        <w:autoSpaceDN w:val="0"/>
        <w:tabs>
          <w:tab w:pos="4920" w:val="left"/>
        </w:tabs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Equity-to-Loans Ratio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Ratio in percentages </w:t>
      </w:r>
    </w:p>
    <w:p>
      <w:pPr>
        <w:autoSpaceDN w:val="0"/>
        <w:tabs>
          <w:tab w:pos="4920" w:val="left"/>
        </w:tabs>
        <w:autoSpaceDE w:val="0"/>
        <w:widowControl/>
        <w:spacing w:line="236" w:lineRule="exact" w:before="122" w:after="18"/>
        <w:ind w:left="120" w:right="244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Equity-to-Loans ratio marginally increased from </w:t>
      </w:r>
      <w:r>
        <w:tab/>
      </w:r>
      <w:r>
        <w:rPr>
          <w:rFonts w:ascii="Arial" w:hAnsi="Arial" w:eastAsia="Arial"/>
          <w:b/>
          <w:i w:val="0"/>
          <w:color w:val="6F7073"/>
          <w:sz w:val="18"/>
        </w:rPr>
        <w:t xml:space="preserve">Equity-to-Loans Ratio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21.5% as of June 30, 2024 to 21.6% as of June 30,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236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2025, primarily due to the increase in usable equity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" w:after="0"/>
              <w:ind w:left="326" w:right="0" w:firstLine="0"/>
              <w:jc w:val="left"/>
            </w:pPr>
            <w:r>
              <w:rPr>
                <w:w w:val="103.33142280578613"/>
                <w:rFonts w:ascii="ArialMT" w:hAnsi="ArialMT" w:eastAsia="ArialMT"/>
                <w:b w:val="0"/>
                <w:i w:val="0"/>
                <w:color w:val="76777A"/>
                <w:sz w:val="14"/>
              </w:rPr>
              <w:t>30%</w:t>
            </w:r>
          </w:p>
        </w:tc>
      </w:tr>
    </w:tbl>
    <w:p>
      <w:pPr>
        <w:autoSpaceDN w:val="0"/>
        <w:autoSpaceDE w:val="0"/>
        <w:widowControl/>
        <w:spacing w:line="226" w:lineRule="exact" w:before="0" w:after="16"/>
        <w:ind w:left="120" w:right="4752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outpacing the increase in loan exposures, and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remained above the policy minimum of 18%. In line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16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with IBRD’s currency management approach,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02" w:after="0"/>
              <w:ind w:left="0" w:right="92" w:firstLine="0"/>
              <w:jc w:val="right"/>
            </w:pPr>
            <w:r>
              <w:rPr>
                <w:w w:val="103.33142280578613"/>
                <w:rFonts w:ascii="ArialMT" w:hAnsi="ArialMT" w:eastAsia="ArialMT"/>
                <w:b w:val="0"/>
                <w:i w:val="0"/>
                <w:color w:val="76777A"/>
                <w:sz w:val="14"/>
              </w:rPr>
              <w:t>20%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58900" cy="889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8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exchange rate movements during the year did not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01800" cy="1397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8" w:lineRule="exact" w:before="0" w:after="88"/>
        <w:ind w:left="120" w:right="4752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have an impact on IBRD’s Equity-to-Loans ratio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(Section VIII and Section IX).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80"/>
        </w:trPr>
        <w:tc>
          <w:tcPr>
            <w:tcW w:type="dxa" w:w="4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 FY25, IBRD received $0.5 billion of paid-in capital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" w:after="0"/>
              <w:ind w:left="0" w:right="132" w:firstLine="0"/>
              <w:jc w:val="right"/>
            </w:pPr>
            <w:r>
              <w:rPr>
                <w:w w:val="103.33142280578613"/>
                <w:rFonts w:ascii="ArialMT" w:hAnsi="ArialMT" w:eastAsia="ArialMT"/>
                <w:b w:val="0"/>
                <w:i w:val="0"/>
                <w:color w:val="76777A"/>
                <w:sz w:val="14"/>
              </w:rPr>
              <w:t>10%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52" w:after="0"/>
              <w:ind w:left="154" w:right="0" w:firstLine="0"/>
              <w:jc w:val="left"/>
            </w:pPr>
            <w:r>
              <w:rPr>
                <w:w w:val="97.89307667658879"/>
                <w:rFonts w:ascii="ArialMT" w:hAnsi="ArialMT" w:eastAsia="ArialMT"/>
                <w:b w:val="0"/>
                <w:i w:val="0"/>
                <w:color w:val="76777A"/>
                <w:sz w:val="13"/>
              </w:rPr>
              <w:t>Jun 21  Jun 22  Jun 23  Jun 24  Jun 25</w:t>
            </w:r>
          </w:p>
        </w:tc>
      </w:tr>
      <w:tr>
        <w:trPr>
          <w:trHeight w:hRule="exact" w:val="260"/>
        </w:trPr>
        <w:tc>
          <w:tcPr>
            <w:tcW w:type="dxa" w:w="4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subscribed under the 2018 General and Selective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72" w:after="0"/>
              <w:ind w:left="0" w:right="0" w:firstLine="0"/>
              <w:jc w:val="center"/>
            </w:pPr>
            <w:r>
              <w:rPr>
                <w:w w:val="98.88181686401367"/>
                <w:rFonts w:ascii="Arial" w:hAnsi="Arial" w:eastAsia="Arial"/>
                <w:b/>
                <w:i w:val="0"/>
                <w:color w:val="6F7073"/>
                <w:sz w:val="11"/>
              </w:rPr>
              <w:t xml:space="preserve">Equity-to-Loans Ratio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172" w:after="0"/>
              <w:ind w:left="198" w:right="0" w:firstLine="0"/>
              <w:jc w:val="left"/>
            </w:pPr>
            <w:r>
              <w:rPr>
                <w:w w:val="98.88181686401367"/>
                <w:rFonts w:ascii="Arial" w:hAnsi="Arial" w:eastAsia="Arial"/>
                <w:b/>
                <w:i w:val="0"/>
                <w:color w:val="6F7073"/>
                <w:sz w:val="11"/>
              </w:rPr>
              <w:t>Policy Minimum</w:t>
            </w:r>
          </w:p>
        </w:tc>
      </w:tr>
      <w:tr>
        <w:trPr>
          <w:trHeight w:hRule="exact" w:val="220"/>
        </w:trPr>
        <w:tc>
          <w:tcPr>
            <w:tcW w:type="dxa" w:w="4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Capital Increases (GCI and SCI), bringing the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cumulative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amounts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received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$6.5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billion,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0" w:after="0"/>
        <w:ind w:left="120" w:right="4874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representing 86% of the total amount available for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subscription. The subscription period for the GCI and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SCI ends on October 1, 2025.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 </w:t>
      </w:r>
    </w:p>
    <w:p>
      <w:pPr>
        <w:sectPr>
          <w:type w:val="continuous"/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III: FINANCIAL RESULTS </w:t>
      </w:r>
    </w:p>
    <w:p>
      <w:pPr>
        <w:autoSpaceDN w:val="0"/>
        <w:autoSpaceDE w:val="0"/>
        <w:widowControl/>
        <w:spacing w:line="220" w:lineRule="exact" w:before="1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Portfolio Performance and Financial Results </w:t>
      </w:r>
    </w:p>
    <w:p>
      <w:pPr>
        <w:autoSpaceDN w:val="0"/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shows IBRD’s Condensed Balance Sheets for FY25 and FY24 and the key factors driving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financial results.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2: Condensed Balance Sheets </w:t>
      </w:r>
    </w:p>
    <w:p>
      <w:pPr>
        <w:autoSpaceDN w:val="0"/>
        <w:autoSpaceDE w:val="0"/>
        <w:widowControl/>
        <w:spacing w:line="160" w:lineRule="exact" w:before="150" w:after="34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54"/>
        </w:trPr>
        <w:tc>
          <w:tcPr>
            <w:tcW w:type="dxa" w:w="379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9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11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5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1458"/>
            <w:tcBorders>
              <w:end w:sz="36.0" w:val="single" w:color="#4C819D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Decrease</w:t>
            </w:r>
          </w:p>
        </w:tc>
        <w:tc>
          <w:tcPr>
            <w:tcW w:type="dxa" w:w="1942"/>
            <w:gridSpan w:val="2"/>
            <w:tcBorders>
              <w:start w:sz="36.0" w:val="single" w:color="#4C819D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8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Increase</w:t>
            </w:r>
          </w:p>
        </w:tc>
      </w:tr>
      <w:tr>
        <w:trPr>
          <w:trHeight w:hRule="exact" w:val="276"/>
        </w:trPr>
        <w:tc>
          <w:tcPr>
            <w:tcW w:type="dxa" w:w="379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 and due from banks . . . . . . . . . . . . . .</w:t>
            </w:r>
          </w:p>
        </w:tc>
        <w:tc>
          <w:tcPr>
            <w:tcW w:type="dxa" w:w="9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$103,173 </w:t>
            </w:r>
          </w:p>
        </w:tc>
        <w:tc>
          <w:tcPr>
            <w:tcW w:type="dxa" w:w="2578"/>
            <w:gridSpan w:val="2"/>
            <w:tcBorders>
              <w:top w:sz="8.0" w:val="single" w:color="#221F1F"/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83,297 </w:t>
            </w:r>
          </w:p>
        </w:tc>
        <w:tc>
          <w:tcPr>
            <w:tcW w:type="dxa" w:w="1942"/>
            <w:gridSpan w:val="2"/>
            <w:tcBorders>
              <w:start w:sz="36.0" w:val="single" w:color="#4C819D"/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2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19,876</w:t>
            </w:r>
          </w:p>
        </w:tc>
      </w:tr>
      <w:tr>
        <w:trPr>
          <w:trHeight w:hRule="exact" w:val="174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Net loans outstanding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280,043 </w:t>
            </w:r>
          </w:p>
        </w:tc>
        <w:tc>
          <w:tcPr>
            <w:tcW w:type="dxa" w:w="2578"/>
            <w:gridSpan w:val="2"/>
            <w:tcBorders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260,236 </w:t>
            </w:r>
          </w:p>
        </w:tc>
        <w:tc>
          <w:tcPr>
            <w:tcW w:type="dxa" w:w="552"/>
            <w:vMerge w:val="restart"/>
            <w:tcBorders>
              <w:start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2" w:after="0"/>
              <w:ind w:left="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210</w:t>
            </w:r>
          </w:p>
        </w:tc>
        <w:tc>
          <w:tcPr>
            <w:tcW w:type="dxa" w:w="1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19,807</w:t>
            </w:r>
          </w:p>
        </w:tc>
      </w:tr>
      <w:tr>
        <w:trPr>
          <w:trHeight w:hRule="exact" w:val="200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Derivative assets, net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666 </w:t>
            </w:r>
          </w:p>
        </w:tc>
        <w:tc>
          <w:tcPr>
            <w:tcW w:type="dxa" w:w="2578"/>
            <w:gridSpan w:val="2"/>
            <w:tcBorders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456 </w:t>
            </w:r>
          </w:p>
        </w:tc>
        <w:tc>
          <w:tcPr>
            <w:tcW w:type="dxa" w:w="1337"/>
            <w:vMerge/>
            <w:tcBorders>
              <w:start w:sz="36.0" w:val="single" w:color="#4C819D"/>
            </w:tcBorders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7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assets . . . . . . . . . . . . . . . . . . . . . . . . . . . . . . .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15,629 </w:t>
            </w:r>
          </w:p>
        </w:tc>
        <w:tc>
          <w:tcPr>
            <w:tcW w:type="dxa" w:w="2578"/>
            <w:gridSpan w:val="2"/>
            <w:vMerge w:val="restart"/>
            <w:tcBorders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12,623 </w:t>
            </w:r>
          </w:p>
        </w:tc>
        <w:tc>
          <w:tcPr>
            <w:tcW w:type="dxa" w:w="1337"/>
            <w:vMerge/>
            <w:tcBorders>
              <w:start w:sz="36.0" w:val="single" w:color="#4C819D"/>
            </w:tcBorders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674"/>
            <w:gridSpan w:val="2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2674"/>
            <w:gridSpan w:val="2"/>
            <w:vMerge/>
            <w:tcBorders>
              <w:end w:sz="36.0" w:val="single" w:color="#4C819D"/>
            </w:tcBorders>
          </w:tcPr>
          <w:p/>
        </w:tc>
        <w:tc>
          <w:tcPr>
            <w:tcW w:type="dxa" w:w="552"/>
            <w:tcBorders>
              <w:start w:sz="36.0" w:val="single" w:color="#4C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3,006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Total Assets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$399,511 </w:t>
            </w:r>
          </w:p>
        </w:tc>
        <w:tc>
          <w:tcPr>
            <w:tcW w:type="dxa" w:w="2578"/>
            <w:gridSpan w:val="2"/>
            <w:tcBorders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$356,612 </w:t>
            </w:r>
          </w:p>
        </w:tc>
        <w:tc>
          <w:tcPr>
            <w:tcW w:type="dxa" w:w="1942"/>
            <w:gridSpan w:val="2"/>
            <w:tcBorders>
              <w:start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7.99999999999955" w:type="dxa"/>
            </w:tblPr>
            <w:tblGrid>
              <w:gridCol w:w="1942"/>
            </w:tblGrid>
            <w:tr>
              <w:trPr>
                <w:trHeight w:hRule="exact" w:val="174"/>
              </w:trPr>
              <w:tc>
                <w:tcPr>
                  <w:tcW w:type="dxa" w:w="858"/>
                  <w:tcBorders/>
                  <w:shd w:fill="4c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0" w:after="0"/>
                    <w:ind w:left="0" w:right="3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42,899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306,161 </w:t>
            </w:r>
          </w:p>
        </w:tc>
        <w:tc>
          <w:tcPr>
            <w:tcW w:type="dxa" w:w="2578"/>
            <w:gridSpan w:val="2"/>
            <w:tcBorders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261,790 </w:t>
            </w:r>
          </w:p>
        </w:tc>
        <w:tc>
          <w:tcPr>
            <w:tcW w:type="dxa" w:w="1942"/>
            <w:gridSpan w:val="2"/>
            <w:tcBorders>
              <w:start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7.99999999999955" w:type="dxa"/>
            </w:tblPr>
            <w:tblGrid>
              <w:gridCol w:w="1942"/>
            </w:tblGrid>
            <w:tr>
              <w:trPr>
                <w:trHeight w:hRule="exact" w:val="174"/>
              </w:trPr>
              <w:tc>
                <w:tcPr>
                  <w:tcW w:type="dxa" w:w="900"/>
                  <w:tcBorders/>
                  <w:shd w:fill="4c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0" w:after="0"/>
                    <w:ind w:left="0" w:right="6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44,371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6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Derivative liabilities, net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12,454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22,728 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(10,274)</w:t>
            </w:r>
          </w:p>
        </w:tc>
      </w:tr>
      <w:tr>
        <w:trPr>
          <w:trHeight w:hRule="exact" w:val="196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liabilities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8,884 </w:t>
            </w:r>
          </w:p>
        </w:tc>
        <w:tc>
          <w:tcPr>
            <w:tcW w:type="dxa" w:w="2578"/>
            <w:gridSpan w:val="2"/>
            <w:tcBorders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8,610 </w:t>
            </w:r>
          </w:p>
        </w:tc>
        <w:tc>
          <w:tcPr>
            <w:tcW w:type="dxa" w:w="1942"/>
            <w:gridSpan w:val="2"/>
            <w:tcBorders>
              <w:start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274</w:t>
            </w:r>
          </w:p>
        </w:tc>
      </w:tr>
      <w:tr>
        <w:trPr>
          <w:trHeight w:hRule="exact" w:val="222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Equity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72,012 </w:t>
            </w:r>
          </w:p>
        </w:tc>
        <w:tc>
          <w:tcPr>
            <w:tcW w:type="dxa" w:w="2578"/>
            <w:gridSpan w:val="2"/>
            <w:tcBorders>
              <w:end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63,484 </w:t>
            </w:r>
          </w:p>
        </w:tc>
        <w:tc>
          <w:tcPr>
            <w:tcW w:type="dxa" w:w="1942"/>
            <w:gridSpan w:val="2"/>
            <w:tcBorders>
              <w:start w:sz="36.0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8,528</w:t>
            </w:r>
          </w:p>
        </w:tc>
      </w:tr>
      <w:tr>
        <w:trPr>
          <w:trHeight w:hRule="exact" w:val="302"/>
        </w:trPr>
        <w:tc>
          <w:tcPr>
            <w:tcW w:type="dxa" w:w="3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Total Liabilities and Equity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9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$399,511 </w:t>
            </w:r>
          </w:p>
        </w:tc>
        <w:tc>
          <w:tcPr>
            <w:tcW w:type="dxa" w:w="2578"/>
            <w:gridSpan w:val="2"/>
            <w:vMerge w:val="restart"/>
            <w:tcBorders>
              <w:end w:sz="36.0" w:val="single" w:color="#4C819D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$356,612 </w:t>
            </w:r>
          </w:p>
        </w:tc>
        <w:tc>
          <w:tcPr>
            <w:tcW w:type="dxa" w:w="1942"/>
            <w:gridSpan w:val="2"/>
            <w:vMerge w:val="restart"/>
            <w:tcBorders>
              <w:start w:sz="36.0" w:val="single" w:color="#4C819D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7.99999999999955" w:type="dxa"/>
            </w:tblPr>
            <w:tblGrid>
              <w:gridCol w:w="1942"/>
            </w:tblGrid>
            <w:tr>
              <w:trPr>
                <w:trHeight w:hRule="exact" w:val="174"/>
              </w:trPr>
              <w:tc>
                <w:tcPr>
                  <w:tcW w:type="dxa" w:w="878"/>
                  <w:tcBorders/>
                  <w:shd w:fill="4c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0" w:after="0"/>
                    <w:ind w:left="0" w:right="4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42,899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"/>
        </w:trPr>
        <w:tc>
          <w:tcPr>
            <w:tcW w:type="dxa" w:w="379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end w:sz="36.0" w:val="single" w:color="#4C819D"/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start w:sz="36.0" w:val="single" w:color="#4C819D"/>
              <w:bottom w:sz="4.0" w:val="single" w:color="#221F1F"/>
            </w:tcBorders>
          </w:tcPr>
          <w:p/>
        </w:tc>
      </w:tr>
      <w:tr>
        <w:trPr>
          <w:trHeight w:hRule="exact" w:val="312"/>
        </w:trPr>
        <w:tc>
          <w:tcPr>
            <w:tcW w:type="dxa" w:w="3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 fair value of IBRD’s loans was $278,883 million as of June 30, 2025 ($257,415 million – June 30,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2024). </w:t>
      </w:r>
    </w:p>
    <w:p>
      <w:pPr>
        <w:autoSpaceDN w:val="0"/>
        <w:autoSpaceDE w:val="0"/>
        <w:widowControl/>
        <w:spacing w:line="200" w:lineRule="exact" w:before="28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main drivers of the change in the Balance Sheet items are below: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in investments and due from banks primarily due to net new debt issuances exceeding net loan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disbursements;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in net loans outstanding primarily from net loan disbursements of $14.8 billion;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in other assets mainly from the increase in the overfunded status of the Staff Retirement Plan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(SRP) and Retired Staff Benefits Plan (RSBP);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in borrowings primarily due to net new issuances;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Decrease in derivative liabilities, net due to the gains on borrowing-related derivatives as a result of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decrease in relevant interest rates; and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in total equity, primarily due to the increase in accumulated other comprehensive income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(AOCI) due to the net actuarial gains on benefit plans and the net income during the year.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2"/>
        </w:rPr>
        <w:t xml:space="preserve">Net Income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net income was $2,100 million in FY25, compared with net income of $2,142 million in FY24.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decrease was primarily due to higher Board of Governors-approved transfers of $444 million. This was partially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offset by an increase in interest revenue net of borrowing expenses, and lower provision expense for losses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and other exposures. The $815 million of Board of Governors-approved transfers were expensed as grants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upon approval by the Board of Governors in FY25, and were funded from IBRD’s prior years’ allocable income. </w:t>
      </w:r>
    </w:p>
    <w:p>
      <w:pPr>
        <w:autoSpaceDN w:val="0"/>
        <w:autoSpaceDE w:val="0"/>
        <w:widowControl/>
        <w:spacing w:line="200" w:lineRule="exact" w:before="135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3: Condensed Statements of Income </w:t>
      </w:r>
    </w:p>
    <w:p>
      <w:pPr>
        <w:autoSpaceDN w:val="0"/>
        <w:autoSpaceDE w:val="0"/>
        <w:widowControl/>
        <w:spacing w:line="160" w:lineRule="exact" w:before="82" w:after="0"/>
        <w:ind w:left="172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>In millions of U.S. dollars</w:t>
      </w:r>
    </w:p>
    <w:p>
      <w:pPr>
        <w:autoSpaceDN w:val="0"/>
        <w:autoSpaceDE w:val="0"/>
        <w:widowControl/>
        <w:spacing w:line="160" w:lineRule="exact" w:before="164" w:after="36"/>
        <w:ind w:left="0" w:right="776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>Impact on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28"/>
        </w:trPr>
        <w:tc>
          <w:tcPr>
            <w:tcW w:type="dxa" w:w="22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36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32" w:val="left"/>
              </w:tabs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,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1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  <w:tc>
          <w:tcPr>
            <w:tcW w:type="dxa" w:w="8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Decrease</w:t>
            </w:r>
          </w:p>
        </w:tc>
        <w:tc>
          <w:tcPr>
            <w:tcW w:type="dxa" w:w="12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70" w:lineRule="exact" w:before="30" w:after="48"/>
        <w:ind w:left="172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7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rPr>
          <w:trHeight w:hRule="exact" w:val="190"/>
        </w:trPr>
        <w:tc>
          <w:tcPr>
            <w:tcW w:type="dxa" w:w="516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Loans, net (Table 43)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$ 15,301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$ 15,831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0"/>
            </w:tblGrid>
            <w:tr>
              <w:trPr>
                <w:trHeight w:hRule="exact" w:val="170"/>
              </w:trPr>
              <w:tc>
                <w:tcPr>
                  <w:tcW w:type="dxa" w:w="1056"/>
                  <w:tcBorders/>
                  <w:shd w:fill="9a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40" w:after="0"/>
                    <w:ind w:left="104" w:right="0" w:firstLine="0"/>
                    <w:jc w:val="left"/>
                  </w:pPr>
                  <w:r>
                    <w:rPr>
                      <w:w w:val="98.56571469988141"/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>(530)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8"/>
        </w:trPr>
        <w:tc>
          <w:tcPr>
            <w:tcW w:type="dxa" w:w="516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Other asset / liability management derivatives, net</w:t>
            </w:r>
          </w:p>
        </w:tc>
        <w:tc>
          <w:tcPr>
            <w:tcW w:type="dxa" w:w="8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(1,293)</w:t>
            </w:r>
          </w:p>
        </w:tc>
        <w:tc>
          <w:tcPr>
            <w:tcW w:type="dxa" w:w="1966"/>
            <w:gridSpan w:val="3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(1,726)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1218"/>
            </w:tblGrid>
            <w:tr>
              <w:trPr>
                <w:trHeight w:hRule="exact" w:val="170"/>
              </w:trPr>
              <w:tc>
                <w:tcPr>
                  <w:tcW w:type="dxa" w:w="852"/>
                  <w:tcBorders/>
                  <w:shd w:fill="4b80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8" w:after="0"/>
                    <w:ind w:left="0" w:right="106" w:firstLine="0"/>
                    <w:jc w:val="right"/>
                  </w:pPr>
                  <w:r>
                    <w:rPr>
                      <w:w w:val="98.56571469988141"/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>433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2"/>
        </w:trPr>
        <w:tc>
          <w:tcPr>
            <w:tcW w:type="dxa" w:w="2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Investments-Trading, net (Table 43)</w:t>
            </w:r>
          </w:p>
        </w:tc>
        <w:tc>
          <w:tcPr>
            <w:tcW w:type="dxa" w:w="249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8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4,444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8" w:after="0"/>
              <w:ind w:left="3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4,337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72" w:right="0" w:firstLine="0"/>
              <w:jc w:val="lef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107</w:t>
            </w:r>
          </w:p>
        </w:tc>
      </w:tr>
      <w:tr>
        <w:trPr>
          <w:trHeight w:hRule="exact" w:val="276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Other, net</w:t>
            </w:r>
          </w:p>
        </w:tc>
        <w:tc>
          <w:tcPr>
            <w:tcW w:type="dxa" w:w="420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2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4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2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6" w:after="0"/>
              <w:ind w:left="64" w:right="0" w:firstLine="0"/>
              <w:jc w:val="lef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—</w:t>
            </w:r>
          </w:p>
        </w:tc>
      </w:tr>
      <w:tr>
        <w:trPr>
          <w:trHeight w:hRule="exact" w:val="190"/>
        </w:trPr>
        <w:tc>
          <w:tcPr>
            <w:tcW w:type="dxa" w:w="2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Borrowing expenses, net (Table 43)</w:t>
            </w:r>
          </w:p>
        </w:tc>
        <w:tc>
          <w:tcPr>
            <w:tcW w:type="dxa" w:w="249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(14,920)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(15,215)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0" w:right="344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295</w:t>
            </w:r>
          </w:p>
        </w:tc>
      </w:tr>
      <w:tr>
        <w:trPr>
          <w:trHeight w:hRule="exact" w:val="232"/>
        </w:trPr>
        <w:tc>
          <w:tcPr>
            <w:tcW w:type="dxa" w:w="411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7"/>
              </w:rPr>
              <w:t>Interest revenue, net of borrowing expenses (Table 44)</w:t>
            </w:r>
          </w:p>
        </w:tc>
        <w:tc>
          <w:tcPr>
            <w:tcW w:type="dxa" w:w="10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7"/>
              </w:rPr>
              <w:t>$  3,534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2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7"/>
              </w:rPr>
              <w:t>$  3,229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314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305</w:t>
            </w:r>
          </w:p>
        </w:tc>
      </w:tr>
      <w:tr>
        <w:trPr>
          <w:trHeight w:hRule="exact" w:val="474"/>
        </w:trPr>
        <w:tc>
          <w:tcPr>
            <w:tcW w:type="dxa" w:w="491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7"/>
              </w:rPr>
              <w:t>Provision for losses on loans and other exposures, release (charge)</w:t>
            </w:r>
          </w:p>
        </w:tc>
        <w:tc>
          <w:tcPr>
            <w:tcW w:type="dxa" w:w="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12" w:after="0"/>
              <w:ind w:left="0" w:right="0" w:firstLine="0"/>
              <w:jc w:val="center"/>
            </w:pPr>
            <w:r>
              <w:rPr>
                <w:w w:val="101.05445861816406"/>
                <w:rFonts w:ascii="Times" w:hAnsi="Times" w:eastAsia="Times"/>
                <w:b w:val="0"/>
                <w:i w:val="0"/>
                <w:color w:val="231F20"/>
                <w:sz w:val="15"/>
              </w:rPr>
              <w:t>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75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(94)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4" w:after="0"/>
              <w:ind w:left="0" w:right="592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169</w:t>
            </w:r>
          </w:p>
        </w:tc>
      </w:tr>
      <w:tr>
        <w:trPr>
          <w:trHeight w:hRule="exact" w:val="244"/>
        </w:trPr>
        <w:tc>
          <w:tcPr>
            <w:tcW w:type="dxa" w:w="15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7"/>
              </w:rPr>
              <w:t>Non-interest revenue</w:t>
            </w:r>
          </w:p>
        </w:tc>
        <w:tc>
          <w:tcPr>
            <w:tcW w:type="dxa" w:w="764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 . . . . . . . .</w:t>
            </w:r>
          </w:p>
        </w:tc>
      </w:tr>
      <w:tr>
        <w:trPr>
          <w:trHeight w:hRule="exact" w:val="268"/>
        </w:trPr>
        <w:tc>
          <w:tcPr>
            <w:tcW w:type="dxa" w:w="379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Revenue from externally funded activities (Table 6)</w:t>
            </w:r>
          </w:p>
        </w:tc>
        <w:tc>
          <w:tcPr>
            <w:tcW w:type="dxa" w:w="13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947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960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320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(13)</w:t>
            </w:r>
          </w:p>
        </w:tc>
      </w:tr>
      <w:tr>
        <w:trPr>
          <w:trHeight w:hRule="exact" w:val="190"/>
        </w:trPr>
        <w:tc>
          <w:tcPr>
            <w:tcW w:type="dxa" w:w="236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Commitment charges (Table 5)</w:t>
            </w:r>
          </w:p>
        </w:tc>
        <w:tc>
          <w:tcPr>
            <w:tcW w:type="dxa" w:w="279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152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" w:after="0"/>
              <w:ind w:left="4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149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70" w:right="0" w:firstLine="0"/>
              <w:jc w:val="lef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3</w:t>
            </w:r>
          </w:p>
        </w:tc>
      </w:tr>
      <w:tr>
        <w:trPr>
          <w:trHeight w:hRule="exact" w:val="228"/>
        </w:trPr>
        <w:tc>
          <w:tcPr>
            <w:tcW w:type="dxa" w:w="15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6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 xml:space="preserve">Other, net (Table 5) </w:t>
            </w:r>
          </w:p>
        </w:tc>
        <w:tc>
          <w:tcPr>
            <w:tcW w:type="dxa" w:w="36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170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4" w:after="0"/>
              <w:ind w:left="5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42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8" w:after="0"/>
              <w:ind w:left="0" w:right="680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128</w:t>
            </w:r>
          </w:p>
        </w:tc>
      </w:tr>
      <w:tr>
        <w:trPr>
          <w:trHeight w:hRule="exact" w:val="494"/>
        </w:trPr>
        <w:tc>
          <w:tcPr>
            <w:tcW w:type="dxa" w:w="16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7"/>
              </w:rPr>
              <w:t>Non-interest expenses</w:t>
            </w:r>
          </w:p>
        </w:tc>
        <w:tc>
          <w:tcPr>
            <w:tcW w:type="dxa" w:w="7516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98" w:after="0"/>
              <w:ind w:left="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 . . . . . . . .</w:t>
            </w:r>
          </w:p>
        </w:tc>
      </w:tr>
      <w:tr>
        <w:trPr>
          <w:trHeight w:hRule="exact" w:val="240"/>
        </w:trPr>
        <w:tc>
          <w:tcPr>
            <w:tcW w:type="dxa" w:w="19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6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 xml:space="preserve">Administrative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0"/>
              </w:rPr>
              <w:t xml:space="preserve">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(Table 6)</w:t>
            </w:r>
          </w:p>
        </w:tc>
        <w:tc>
          <w:tcPr>
            <w:tcW w:type="dxa" w:w="320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(2,522)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" w:after="0"/>
              <w:ind w:left="2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(2,379)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374" w:right="0" w:firstLine="0"/>
              <w:jc w:val="lef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(143)</w:t>
            </w:r>
          </w:p>
        </w:tc>
      </w:tr>
      <w:tr>
        <w:trPr>
          <w:trHeight w:hRule="exact" w:val="220"/>
        </w:trPr>
        <w:tc>
          <w:tcPr>
            <w:tcW w:type="dxa" w:w="31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Contributions to special programs (Table 6)</w:t>
            </w:r>
          </w:p>
        </w:tc>
        <w:tc>
          <w:tcPr>
            <w:tcW w:type="dxa" w:w="19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</w:t>
            </w:r>
          </w:p>
        </w:tc>
        <w:tc>
          <w:tcPr>
            <w:tcW w:type="dxa" w:w="9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(17)</w:t>
            </w:r>
          </w:p>
        </w:tc>
        <w:tc>
          <w:tcPr>
            <w:tcW w:type="dxa" w:w="1878"/>
            <w:gridSpan w:val="2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2" w:after="0"/>
              <w:ind w:left="2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(17)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68" w:right="0" w:firstLine="0"/>
              <w:jc w:val="lef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—</w:t>
            </w:r>
          </w:p>
        </w:tc>
      </w:tr>
      <w:tr>
        <w:trPr>
          <w:trHeight w:hRule="exact" w:val="494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6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 xml:space="preserve">Other,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</w:p>
        </w:tc>
        <w:tc>
          <w:tcPr>
            <w:tcW w:type="dxa" w:w="420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6" w:after="0"/>
              <w:ind w:left="1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150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170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1332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(20)</w:t>
            </w:r>
          </w:p>
        </w:tc>
      </w:tr>
      <w:tr>
        <w:trPr>
          <w:trHeight w:hRule="exact" w:val="190"/>
        </w:trPr>
        <w:tc>
          <w:tcPr>
            <w:tcW w:type="dxa" w:w="28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Board of Governors-approved transfers</w:t>
            </w:r>
          </w:p>
        </w:tc>
        <w:tc>
          <w:tcPr>
            <w:tcW w:type="dxa" w:w="22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</w:t>
            </w:r>
          </w:p>
        </w:tc>
        <w:tc>
          <w:tcPr>
            <w:tcW w:type="dxa" w:w="9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(815)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" w:after="0"/>
              <w:ind w:left="1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(371)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2260"/>
            </w:tblGrid>
            <w:tr>
              <w:trPr>
                <w:trHeight w:hRule="exact" w:val="170"/>
              </w:trPr>
              <w:tc>
                <w:tcPr>
                  <w:tcW w:type="dxa" w:w="878"/>
                  <w:tcBorders/>
                  <w:shd w:fill="9a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40" w:after="0"/>
                    <w:ind w:left="100" w:right="0" w:firstLine="0"/>
                    <w:jc w:val="left"/>
                  </w:pPr>
                  <w:r>
                    <w:rPr>
                      <w:w w:val="98.56571469988141"/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>(444)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8"/>
        </w:trPr>
        <w:tc>
          <w:tcPr>
            <w:tcW w:type="dxa" w:w="30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Currency remeasurement (losses) gains, net</w:t>
            </w:r>
          </w:p>
        </w:tc>
        <w:tc>
          <w:tcPr>
            <w:tcW w:type="dxa" w:w="20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(44)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6" w:after="0"/>
              <w:ind w:left="0" w:right="3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73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426" w:right="0" w:firstLine="0"/>
              <w:jc w:val="lef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(117)</w:t>
            </w:r>
          </w:p>
        </w:tc>
      </w:tr>
      <w:tr>
        <w:trPr>
          <w:trHeight w:hRule="exact" w:val="190"/>
        </w:trPr>
        <w:tc>
          <w:tcPr>
            <w:tcW w:type="dxa" w:w="491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Unrealized mark-to-market gains on Investments-Trading portfolio, net</w:t>
            </w:r>
          </w:p>
        </w:tc>
        <w:tc>
          <w:tcPr>
            <w:tcW w:type="dxa" w:w="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5445861816406"/>
                <w:rFonts w:ascii="Times" w:hAnsi="Times" w:eastAsia="Times"/>
                <w:b w:val="0"/>
                <w:i w:val="0"/>
                <w:color w:val="231F20"/>
                <w:sz w:val="15"/>
              </w:rPr>
              <w:t>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214</w:t>
            </w:r>
          </w:p>
        </w:tc>
        <w:tc>
          <w:tcPr>
            <w:tcW w:type="dxa" w:w="2102"/>
            <w:gridSpan w:val="4"/>
            <w:tcBorders>
              <w:end w:sz="12.0" w:val="single" w:color="#4B80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" w:after="0"/>
              <w:ind w:left="0" w:right="14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91</w:t>
            </w:r>
          </w:p>
        </w:tc>
        <w:tc>
          <w:tcPr>
            <w:tcW w:type="dxa" w:w="1218"/>
            <w:tcBorders>
              <w:start w:sz="12.0" w:val="single" w:color="#4B80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290" w:right="0" w:firstLine="0"/>
              <w:jc w:val="left"/>
            </w:pPr>
            <w:r>
              <w:rPr>
                <w:w w:val="98.56571469988141"/>
                <w:rFonts w:ascii="Times" w:hAnsi="Times" w:eastAsia="Times"/>
                <w:b w:val="0"/>
                <w:i w:val="0"/>
                <w:color w:val="76777A"/>
                <w:sz w:val="14"/>
              </w:rPr>
              <w:t>123</w:t>
            </w:r>
          </w:p>
        </w:tc>
      </w:tr>
      <w:tr>
        <w:trPr>
          <w:trHeight w:hRule="exact" w:val="258"/>
        </w:trPr>
        <w:tc>
          <w:tcPr>
            <w:tcW w:type="dxa" w:w="437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Unrealized mark-to-market gains on non-trading portfolios, net</w:t>
            </w:r>
          </w:p>
        </w:tc>
        <w:tc>
          <w:tcPr>
            <w:tcW w:type="dxa" w:w="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256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289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0" w:right="1362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(33)</w:t>
            </w:r>
          </w:p>
        </w:tc>
      </w:tr>
      <w:tr>
        <w:trPr>
          <w:trHeight w:hRule="exact" w:val="258"/>
        </w:trPr>
        <w:tc>
          <w:tcPr>
            <w:tcW w:type="dxa" w:w="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7"/>
              </w:rPr>
              <w:t>Net Income</w:t>
            </w:r>
          </w:p>
        </w:tc>
        <w:tc>
          <w:tcPr>
            <w:tcW w:type="dxa" w:w="4200"/>
            <w:gridSpan w:val="1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7"/>
              </w:rPr>
              <w:t>. . . . . . . . . . . . . . . . . . . . . . . . . . . . . . . . . . . . . . . . . . . . . . . .</w:t>
            </w:r>
          </w:p>
        </w:tc>
        <w:tc>
          <w:tcPr>
            <w:tcW w:type="dxa" w:w="7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126" w:right="0" w:firstLine="0"/>
              <w:jc w:val="left"/>
            </w:pPr>
            <w:r>
              <w:rPr>
                <w:u w:val="single" w:color="221f1f"/>
                <w:rFonts w:ascii="Times" w:hAnsi="Times" w:eastAsia="Times"/>
                <w:b/>
                <w:i w:val="0"/>
                <w:color w:val="231F20"/>
                <w:sz w:val="17"/>
              </w:rPr>
              <w:t>$  2,100</w:t>
            </w:r>
          </w:p>
        </w:tc>
        <w:tc>
          <w:tcPr>
            <w:tcW w:type="dxa" w:w="1060"/>
            <w:gridSpan w:val="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114" w:right="0" w:firstLine="0"/>
              <w:jc w:val="left"/>
            </w:pPr>
            <w:r>
              <w:rPr>
                <w:u w:val="single" w:color="221f1f"/>
                <w:rFonts w:ascii="Times" w:hAnsi="Times" w:eastAsia="Times"/>
                <w:b/>
                <w:i w:val="0"/>
                <w:color w:val="231F20"/>
                <w:sz w:val="17"/>
              </w:rPr>
              <w:t>$  2,142</w:t>
            </w:r>
          </w:p>
        </w:tc>
        <w:tc>
          <w:tcPr>
            <w:tcW w:type="dxa" w:w="226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376" w:firstLine="0"/>
              <w:jc w:val="right"/>
            </w:pPr>
            <w:r>
              <w:rPr>
                <w:w w:val="98.56571469988141"/>
                <w:rFonts w:ascii="ArialMT" w:hAnsi="ArialMT" w:eastAsia="ArialMT"/>
                <w:b w:val="0"/>
                <w:i w:val="0"/>
                <w:color w:val="76777A"/>
                <w:sz w:val="14"/>
              </w:rPr>
              <w:t>(42)</w:t>
            </w:r>
          </w:p>
        </w:tc>
      </w:tr>
      <w:tr>
        <w:trPr>
          <w:trHeight w:hRule="exact" w:val="140"/>
        </w:trPr>
        <w:tc>
          <w:tcPr>
            <w:tcW w:type="dxa" w:w="96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98"/>
            <w:gridSpan w:val="13"/>
            <w:vMerge/>
            <w:tcBorders>
              <w:bottom w:sz="4.0" w:val="single" w:color="#221F1F"/>
            </w:tcBorders>
          </w:tcPr>
          <w:p/>
        </w:tc>
        <w:tc>
          <w:tcPr>
            <w:tcW w:type="dxa" w:w="446"/>
            <w:vMerge/>
            <w:tcBorders>
              <w:bottom w:sz="4.0" w:val="single" w:color="#221F1F"/>
            </w:tcBorders>
          </w:tcPr>
          <w:p/>
        </w:tc>
        <w:tc>
          <w:tcPr>
            <w:tcW w:type="dxa" w:w="1338"/>
            <w:gridSpan w:val="3"/>
            <w:vMerge/>
            <w:tcBorders>
              <w:bottom w:sz="4.0" w:val="single" w:color="#221F1F"/>
            </w:tcBorders>
          </w:tcPr>
          <w:p/>
        </w:tc>
        <w:tc>
          <w:tcPr>
            <w:tcW w:type="dxa" w:w="892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20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pension service cost of $287 million for the year ended June 30, 2025 ($284 million – June 30,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2024). See Table 6.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income from net pension cost, other than service cost of $175 million for the year ended June 30,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2025 ($194 million – June 30, 2024) (Table 6). </w:t>
      </w:r>
    </w:p>
    <w:p>
      <w:pPr>
        <w:autoSpaceDN w:val="0"/>
        <w:autoSpaceDE w:val="0"/>
        <w:widowControl/>
        <w:spacing w:line="240" w:lineRule="exact" w:before="24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4 below provides an interest rate and volume analysis of IBRD’s interest revenue and borrowing expenses.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variance reflects the year-over-year change in interest income on loans, investments-trading, and borrowing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expenses between FY24 and FY25.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4: Rate and Volume Analysis of Changes in Interest Revenue and Borrowing Expenses </w:t>
      </w:r>
    </w:p>
    <w:p>
      <w:pPr>
        <w:autoSpaceDN w:val="0"/>
        <w:autoSpaceDE w:val="0"/>
        <w:widowControl/>
        <w:spacing w:line="16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120" w:after="0"/>
        <w:ind w:left="0" w:right="88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>FY 2025 versus FY 2024</w:t>
      </w:r>
    </w:p>
    <w:p>
      <w:pPr>
        <w:autoSpaceDN w:val="0"/>
        <w:autoSpaceDE w:val="0"/>
        <w:widowControl/>
        <w:spacing w:line="160" w:lineRule="exact" w:before="80" w:after="24"/>
        <w:ind w:left="0" w:right="216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>Variance due to changes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4.0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116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Total Variance</w:t>
            </w:r>
          </w:p>
        </w:tc>
        <w:tc>
          <w:tcPr>
            <w:tcW w:type="dxa" w:w="11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5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Volume</w:t>
            </w:r>
          </w:p>
        </w:tc>
        <w:tc>
          <w:tcPr>
            <w:tcW w:type="dxa" w:w="79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Rate</w:t>
            </w:r>
          </w:p>
        </w:tc>
      </w:tr>
    </w:tbl>
    <w:p>
      <w:pPr>
        <w:autoSpaceDN w:val="0"/>
        <w:autoSpaceDE w:val="0"/>
        <w:widowControl/>
        <w:spacing w:line="200" w:lineRule="exact" w:before="86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Increase (decrease) in Interest revenue related 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3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$(530)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1,150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$(1,680) </w:t>
            </w:r>
          </w:p>
        </w:tc>
      </w:tr>
      <w:tr>
        <w:trPr>
          <w:trHeight w:hRule="exact" w:val="29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Investments-Trading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3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107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(493) </w:t>
            </w:r>
          </w:p>
        </w:tc>
      </w:tr>
    </w:tbl>
    <w:p>
      <w:pPr>
        <w:autoSpaceDN w:val="0"/>
        <w:autoSpaceDE w:val="0"/>
        <w:widowControl/>
        <w:spacing w:line="200" w:lineRule="exact" w:before="9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(Increase) decrease in Interest expense related 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 . . . . . . . . . . . . . . . . . . . . . . . . . . . . . . . . . . . . . . . . . . . . . . .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$(1,688)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1,983 </w:t>
            </w:r>
          </w:p>
        </w:tc>
      </w:tr>
    </w:tbl>
    <w:p>
      <w:pPr>
        <w:autoSpaceDN w:val="0"/>
        <w:autoSpaceDE w:val="0"/>
        <w:widowControl/>
        <w:spacing w:line="200" w:lineRule="exact" w:before="79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illustrated in Figure 1, investments are funded by borrowings, and loans are funded by borrowings and equity.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pricing policy, the lending rates for IBRD’s loans are based on the underlying cost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borrowings funding these loans, therefore, interest revenue, net of funding costs provides an overall view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net income generation. Table 5 below shows revenue on interest earning assets net of interest expenses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borrowings funding these assets and the other components of allocable income.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5: Statement of Allocable Income (non-GAAP Measures)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20"/>
        </w:trPr>
        <w:tc>
          <w:tcPr>
            <w:tcW w:type="dxa" w:w="220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For the fiscal year ended June 30,</w:t>
            </w:r>
          </w:p>
        </w:tc>
        <w:tc>
          <w:tcPr>
            <w:tcW w:type="dxa" w:w="3742"/>
            <w:gridSpan w:val="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27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59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6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  <w:tc>
          <w:tcPr>
            <w:tcW w:type="dxa" w:w="2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Impact on income</w:t>
            </w:r>
          </w:p>
        </w:tc>
      </w:tr>
      <w:tr>
        <w:trPr>
          <w:trHeight w:hRule="exact" w:val="194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3120"/>
            <w:gridSpan w:val="2"/>
            <w:vMerge/>
            <w:tcBorders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240"/>
            <w:tcBorders>
              <w:end w:sz="40.0" w:val="single" w:color="#9AB6C7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Decrease</w:t>
            </w:r>
          </w:p>
        </w:tc>
        <w:tc>
          <w:tcPr>
            <w:tcW w:type="dxa" w:w="1358"/>
            <w:tcBorders>
              <w:start w:sz="40.0" w:val="single" w:color="#9AB6C7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7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Increase</w:t>
            </w:r>
          </w:p>
        </w:tc>
      </w:tr>
      <w:tr>
        <w:trPr>
          <w:trHeight w:hRule="exact" w:val="324"/>
        </w:trPr>
        <w:tc>
          <w:tcPr>
            <w:tcW w:type="dxa" w:w="6542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Revenue on interest earning assets </w:t>
            </w:r>
          </w:p>
        </w:tc>
        <w:tc>
          <w:tcPr>
            <w:tcW w:type="dxa" w:w="2598"/>
            <w:gridSpan w:val="2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6" w:val="left"/>
                <w:tab w:pos="1738" w:val="left"/>
              </w:tabs>
              <w:autoSpaceDE w:val="0"/>
              <w:widowControl/>
              <w:spacing w:line="236" w:lineRule="exact" w:before="50" w:after="0"/>
              <w:ind w:left="410" w:right="57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208 </w:t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(261)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(53)</w:t>
            </w:r>
          </w:p>
          <w:p>
            <w:pPr>
              <w:autoSpaceDN w:val="0"/>
              <w:tabs>
                <w:tab w:pos="2162" w:val="left"/>
              </w:tabs>
              <w:autoSpaceDE w:val="0"/>
              <w:widowControl/>
              <w:spacing w:line="216" w:lineRule="exact" w:before="54" w:after="0"/>
              <w:ind w:left="1358" w:right="144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433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4</w:t>
            </w:r>
          </w:p>
          <w:p>
            <w:pPr>
              <w:autoSpaceDN w:val="0"/>
              <w:autoSpaceDE w:val="0"/>
              <w:widowControl/>
              <w:spacing w:line="140" w:lineRule="exact" w:before="1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384</w:t>
            </w:r>
          </w:p>
        </w:tc>
      </w:tr>
      <w:tr>
        <w:trPr>
          <w:trHeight w:hRule="exact" w:val="366"/>
        </w:trPr>
        <w:tc>
          <w:tcPr>
            <w:tcW w:type="dxa" w:w="65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Loan interest margin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2,327 $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2,119 </w:t>
            </w:r>
          </w:p>
        </w:tc>
        <w:tc>
          <w:tcPr>
            <w:tcW w:type="dxa" w:w="3120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 interest revenue from loans funded by equity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2,494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2,755 </w:t>
            </w:r>
          </w:p>
        </w:tc>
        <w:tc>
          <w:tcPr>
            <w:tcW w:type="dxa" w:w="3120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</w:tr>
      <w:tr>
        <w:trPr>
          <w:trHeight w:hRule="exact" w:val="336"/>
        </w:trPr>
        <w:tc>
          <w:tcPr>
            <w:tcW w:type="dxa" w:w="65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Loan interest revenue, net of funding costs (Table 43)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4,821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4,874</w:t>
            </w:r>
          </w:p>
        </w:tc>
        <w:tc>
          <w:tcPr>
            <w:tcW w:type="dxa" w:w="3120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asset / liability management (ALM) derivatives, net (Table 3) . .</w:t>
            </w:r>
          </w:p>
        </w:tc>
        <w:tc>
          <w:tcPr>
            <w:tcW w:type="dxa" w:w="1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(1,293) (1,726) </w:t>
            </w:r>
          </w:p>
        </w:tc>
        <w:tc>
          <w:tcPr>
            <w:tcW w:type="dxa" w:w="3120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</w:tr>
      <w:tr>
        <w:trPr>
          <w:trHeight w:hRule="exact" w:val="238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 revenue, net of funding costs (Table 43)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65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61 </w:t>
            </w:r>
          </w:p>
        </w:tc>
        <w:tc>
          <w:tcPr>
            <w:tcW w:type="dxa" w:w="3120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</w:tr>
      <w:tr>
        <w:trPr>
          <w:trHeight w:hRule="exact" w:val="298"/>
        </w:trPr>
        <w:tc>
          <w:tcPr>
            <w:tcW w:type="dxa" w:w="65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revenue on interest earning assets, net (Table 44)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3,593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3,209</w:t>
            </w:r>
          </w:p>
        </w:tc>
        <w:tc>
          <w:tcPr>
            <w:tcW w:type="dxa" w:w="259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6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169</w:t>
            </w:r>
          </w:p>
        </w:tc>
      </w:tr>
      <w:tr>
        <w:trPr>
          <w:trHeight w:hRule="exact" w:val="262"/>
        </w:trPr>
        <w:tc>
          <w:tcPr>
            <w:tcW w:type="dxa" w:w="65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Provision for losses on loans and other exposures, release </w:t>
            </w:r>
          </w:p>
        </w:tc>
        <w:tc>
          <w:tcPr>
            <w:tcW w:type="dxa" w:w="2598"/>
            <w:gridSpan w:val="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0" w:val="left"/>
                <w:tab w:pos="1356" w:val="left"/>
                <w:tab w:pos="1588" w:val="left"/>
                <w:tab w:pos="2354" w:val="left"/>
              </w:tabs>
              <w:autoSpaceDE w:val="0"/>
              <w:widowControl/>
              <w:spacing w:line="238" w:lineRule="exact" w:before="0" w:after="0"/>
              <w:ind w:left="6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(148)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3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128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(1)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535</w:t>
            </w:r>
          </w:p>
        </w:tc>
      </w:tr>
      <w:tr>
        <w:trPr>
          <w:trHeight w:hRule="exact" w:val="162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(charge) (Table 3)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75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(94) </w:t>
            </w:r>
          </w:p>
        </w:tc>
        <w:tc>
          <w:tcPr>
            <w:tcW w:type="dxa" w:w="3120"/>
            <w:gridSpan w:val="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00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non-interest expenses (Table 6) . . . . . . . . . . . . . . . . . . . . . . . . . . . .</w:t>
            </w:r>
          </w:p>
        </w:tc>
        <w:tc>
          <w:tcPr>
            <w:tcW w:type="dxa" w:w="1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(1,582) (1,434) </w:t>
            </w:r>
          </w:p>
        </w:tc>
        <w:tc>
          <w:tcPr>
            <w:tcW w:type="dxa" w:w="3120"/>
            <w:gridSpan w:val="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00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Commitment charges (Table 3)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152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149 </w:t>
            </w:r>
          </w:p>
        </w:tc>
        <w:tc>
          <w:tcPr>
            <w:tcW w:type="dxa" w:w="3120"/>
            <w:gridSpan w:val="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04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Non-interest revenue—Other, net (Table 3)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170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42 </w:t>
            </w:r>
          </w:p>
        </w:tc>
        <w:tc>
          <w:tcPr>
            <w:tcW w:type="dxa" w:w="3120"/>
            <w:gridSpan w:val="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48"/>
        </w:trPr>
        <w:tc>
          <w:tcPr>
            <w:tcW w:type="dxa" w:w="5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Non-interest expenses—Other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(24)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(23) </w:t>
            </w:r>
          </w:p>
        </w:tc>
        <w:tc>
          <w:tcPr>
            <w:tcW w:type="dxa" w:w="3120"/>
            <w:gridSpan w:val="2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82" w:lineRule="exact" w:before="48" w:after="2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Allocable Income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 . . . . . . . . . . . . . . . . . . . . . . . . . . . . . . . . . . . . . . . . . .</w:t>
      </w:r>
      <w:r>
        <w:rPr>
          <w:rFonts w:ascii="Times" w:hAnsi="Times" w:eastAsia="Times"/>
          <w:b/>
          <w:i w:val="0"/>
          <w:color w:val="231F20"/>
          <w:sz w:val="18"/>
        </w:rPr>
        <w:t>$</w:t>
      </w:r>
      <w:r>
        <w:rPr>
          <w:rFonts w:ascii="Times" w:hAnsi="Times" w:eastAsia="Times"/>
          <w:b/>
          <w:i w:val="0"/>
          <w:color w:val="231F20"/>
          <w:sz w:val="18"/>
        </w:rPr>
        <w:t>2,384</w:t>
      </w:r>
      <w:r>
        <w:rPr>
          <w:rFonts w:ascii="Times" w:hAnsi="Times" w:eastAsia="Times"/>
          <w:b/>
          <w:i w:val="0"/>
          <w:color w:val="231F20"/>
          <w:sz w:val="18"/>
        </w:rPr>
        <w:t>$</w:t>
      </w:r>
      <w:r>
        <w:rPr>
          <w:rFonts w:ascii="Times" w:hAnsi="Times" w:eastAsia="Times"/>
          <w:b/>
          <w:i w:val="0"/>
          <w:color w:val="231F20"/>
          <w:sz w:val="18"/>
        </w:rPr>
        <w:t>1,849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53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61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Represents the margin between loan returns and associated debt cost. </w:t>
            </w:r>
          </w:p>
        </w:tc>
      </w:tr>
    </w:tbl>
    <w:p>
      <w:pPr>
        <w:autoSpaceDN w:val="0"/>
        <w:autoSpaceDE w:val="0"/>
        <w:widowControl/>
        <w:spacing w:line="240" w:lineRule="exact" w:before="17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See Section XIV: Reconciliations of Components of Allocable Income and Table 9 for a reconciliation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components of Table 3 and Table 5. </w:t>
      </w:r>
    </w:p>
    <w:p>
      <w:pPr>
        <w:autoSpaceDN w:val="0"/>
        <w:autoSpaceDE w:val="0"/>
        <w:widowControl/>
        <w:spacing w:line="200" w:lineRule="exact" w:before="53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Results from Lending Activities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Loan Interest Revenue </w:t>
      </w:r>
    </w:p>
    <w:p>
      <w:pPr>
        <w:autoSpaceDN w:val="0"/>
        <w:autoSpaceDE w:val="0"/>
        <w:widowControl/>
        <w:spacing w:line="240" w:lineRule="exact" w:before="240" w:after="218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pricing policy, the lending rates for all loans are based on the underlying cost of the borrowings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funding these loans. After the effect of related derivatives, the loan and borrowing portfolios are based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variable interest rates (Figure 2). The portion of loans funded by equity is sensitive to changes in short-term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1522"/>
        </w:trPr>
        <w:tc>
          <w:tcPr>
            <w:tcW w:type="dxa" w:w="4640"/>
            <w:gridSpan w:val="6"/>
            <w:vMerge w:val="restart"/>
            <w:tcBorders>
              <w:bottom w:sz="6.0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44" w:right="144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Figure 2: Loan interest revenue and funding cost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(including related derivatives) </w:t>
            </w:r>
          </w:p>
          <w:p>
            <w:pPr>
              <w:autoSpaceDN w:val="0"/>
              <w:autoSpaceDE w:val="0"/>
              <w:widowControl/>
              <w:spacing w:line="200" w:lineRule="exact" w:before="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 millions of U.S. dollars</w:t>
            </w:r>
          </w:p>
          <w:p>
            <w:pPr>
              <w:autoSpaceDN w:val="0"/>
              <w:autoSpaceDE w:val="0"/>
              <w:widowControl/>
              <w:spacing w:line="162" w:lineRule="exact" w:before="184" w:after="0"/>
              <w:ind w:left="60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Loan interest revenue (including related derivatives) </w:t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Loan funding cost (including related derivatives)</w:t>
            </w:r>
          </w:p>
          <w:p>
            <w:pPr>
              <w:autoSpaceDN w:val="0"/>
              <w:autoSpaceDE w:val="0"/>
              <w:widowControl/>
              <w:spacing w:line="162" w:lineRule="exact" w:before="10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20,000</w:t>
            </w:r>
          </w:p>
        </w:tc>
        <w:tc>
          <w:tcPr>
            <w:tcW w:type="dxa" w:w="4520"/>
            <w:gridSpan w:val="6"/>
            <w:tcBorders>
              <w:bottom w:sz="6.0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88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Figure 3: Loan interest revenue, net of funding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costs </w:t>
            </w:r>
            <w:r>
              <w:rPr>
                <w:rFonts w:ascii="Times" w:hAnsi="Times" w:eastAsia="Times"/>
                <w:b/>
                <w:i w:val="0"/>
                <w:color w:val="231F20"/>
                <w:sz w:val="13"/>
              </w:rPr>
              <w:t>a</w:t>
            </w:r>
          </w:p>
          <w:p>
            <w:pPr>
              <w:autoSpaceDN w:val="0"/>
              <w:autoSpaceDE w:val="0"/>
              <w:widowControl/>
              <w:spacing w:line="200" w:lineRule="exact" w:before="160" w:after="0"/>
              <w:ind w:left="0" w:right="107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 millions of U.S. dollars </w:t>
            </w:r>
          </w:p>
          <w:p>
            <w:pPr>
              <w:autoSpaceDN w:val="0"/>
              <w:autoSpaceDE w:val="0"/>
              <w:widowControl/>
              <w:spacing w:line="166" w:lineRule="exact" w:before="156" w:after="0"/>
              <w:ind w:left="88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Loan interest revenue, net of funding costs ª</w:t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 xml:space="preserve">Loan interest revenue, net of funding costs ª and </w:t>
            </w:r>
            <w:r>
              <w:rPr>
                <w:rFonts w:ascii="ArialMT" w:hAnsi="ArialMT" w:eastAsia="ArialMT"/>
                <w:b w:val="0"/>
                <w:i w:val="0"/>
                <w:color w:val="76777A"/>
                <w:sz w:val="14"/>
              </w:rPr>
              <w:t>Other ALM derivatives, net combined</w:t>
            </w:r>
          </w:p>
        </w:tc>
      </w:tr>
      <w:tr>
        <w:trPr>
          <w:trHeight w:hRule="exact" w:val="148"/>
        </w:trPr>
        <w:tc>
          <w:tcPr>
            <w:tcW w:type="dxa" w:w="4680"/>
            <w:gridSpan w:val="6"/>
            <w:vMerge/>
            <w:tcBorders>
              <w:bottom w:sz="6.0" w:val="single" w:color="#E6E7E8"/>
            </w:tcBorders>
          </w:tcPr>
          <w:p/>
        </w:tc>
        <w:tc>
          <w:tcPr>
            <w:tcW w:type="dxa" w:w="4520"/>
            <w:gridSpan w:val="6"/>
            <w:vMerge w:val="restart"/>
            <w:tcBorders>
              <w:top w:sz="6.0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6,000</w:t>
            </w:r>
          </w:p>
        </w:tc>
      </w:tr>
      <w:tr>
        <w:trPr>
          <w:trHeight w:hRule="exact" w:val="204"/>
        </w:trPr>
        <w:tc>
          <w:tcPr>
            <w:tcW w:type="dxa" w:w="660"/>
            <w:vMerge w:val="restart"/>
            <w:tcBorders>
              <w:top w:sz="6.0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15,000</w:t>
            </w:r>
          </w:p>
          <w:p>
            <w:pPr>
              <w:autoSpaceDN w:val="0"/>
              <w:autoSpaceDE w:val="0"/>
              <w:widowControl/>
              <w:spacing w:line="162" w:lineRule="exact" w:before="3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10,000</w:t>
            </w:r>
          </w:p>
          <w:p>
            <w:pPr>
              <w:autoSpaceDN w:val="0"/>
              <w:autoSpaceDE w:val="0"/>
              <w:widowControl/>
              <w:spacing w:line="162" w:lineRule="exact" w:before="3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5,000</w:t>
            </w:r>
          </w:p>
          <w:p>
            <w:pPr>
              <w:autoSpaceDN w:val="0"/>
              <w:autoSpaceDE w:val="0"/>
              <w:widowControl/>
              <w:spacing w:line="162" w:lineRule="exact" w:before="316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3980"/>
            <w:gridSpan w:val="5"/>
            <w:vMerge w:val="restart"/>
            <w:tcBorders>
              <w:top w:sz="6.0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46300" cy="101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gridSpan w:val="6"/>
            <w:vMerge/>
            <w:tcBorders>
              <w:top w:sz="6.0" w:val="single" w:color="#E6E7E8"/>
            </w:tcBorders>
          </w:tcPr>
          <w:p/>
        </w:tc>
      </w:tr>
      <w:tr>
        <w:trPr>
          <w:trHeight w:hRule="exact" w:val="1320"/>
        </w:trPr>
        <w:tc>
          <w:tcPr>
            <w:tcW w:type="dxa" w:w="780"/>
            <w:vMerge/>
            <w:tcBorders>
              <w:top w:sz="6.0" w:val="single" w:color="#E6E7E8"/>
            </w:tcBorders>
          </w:tcPr>
          <w:p/>
        </w:tc>
        <w:tc>
          <w:tcPr>
            <w:tcW w:type="dxa" w:w="3900"/>
            <w:gridSpan w:val="5"/>
            <w:vMerge/>
            <w:tcBorders>
              <w:top w:sz="6.0" w:val="single" w:color="#E6E7E8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4,000</w:t>
            </w:r>
          </w:p>
          <w:p>
            <w:pPr>
              <w:autoSpaceDN w:val="0"/>
              <w:autoSpaceDE w:val="0"/>
              <w:widowControl/>
              <w:spacing w:line="162" w:lineRule="exact" w:before="4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2,000</w:t>
            </w:r>
          </w:p>
        </w:tc>
        <w:tc>
          <w:tcPr>
            <w:tcW w:type="dxa" w:w="3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7100" cy="647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64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780"/>
            <w:vMerge/>
            <w:tcBorders>
              <w:top w:sz="6.0" w:val="single" w:color="#E6E7E8"/>
            </w:tcBorders>
          </w:tcPr>
          <w:p/>
        </w:tc>
        <w:tc>
          <w:tcPr>
            <w:tcW w:type="dxa" w:w="3900"/>
            <w:gridSpan w:val="5"/>
            <w:vMerge/>
            <w:tcBorders>
              <w:top w:sz="6.0" w:val="single" w:color="#E6E7E8"/>
            </w:tcBorders>
          </w:tcPr>
          <w:p/>
        </w:tc>
        <w:tc>
          <w:tcPr>
            <w:tcW w:type="dxa" w:w="4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1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FY21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FY22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FY23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FY24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FY25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FY23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FY25</w:t>
            </w:r>
          </w:p>
        </w:tc>
      </w:tr>
      <w:tr>
        <w:trPr>
          <w:trHeight w:hRule="exact" w:val="388"/>
        </w:trPr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3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Includes related derivatives.</w:t>
            </w:r>
          </w:p>
        </w:tc>
      </w:tr>
    </w:tbl>
    <w:p>
      <w:pPr>
        <w:autoSpaceDN w:val="0"/>
        <w:autoSpaceDE w:val="0"/>
        <w:widowControl/>
        <w:spacing w:line="240" w:lineRule="exact" w:before="18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FY25 loan interest revenue, net of funding costs was $4,821 million, a decrease of $53 million compared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$4,874 million in FY24 (Figure 3), primarily driven by the decrease in average interest rates on the portion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loan portfolio which is sensitive to interest rate movements (Table 5). This was partially offset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higher lending volume during the year. Other ALM derivatives moderate the impact of interest rate changes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portion of loans that is sensitive to interest rate movements, thereby partially stabilizing the net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earned from these loans (as illustrated in Figure 3). Other ALM derivatives comprise interest rate swaps,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are used to convert the variable rate cash flows from these loans to fixed rate cash flows. The combined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effect of the decrease in loan interest revenue, net of funding costs of $53 million and the decrease in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 from Other ALM derivatives, net of $433 million from FY24 to FY25, resulted in a total increase in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interest revenue of $380 million.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October 2024, as a part of the package of measures to deliver on WBG’s new vision and mission, the Board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approved adjustments to IBRD’s loan pricing, which include: 1) establishing a grace period, during which no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commitment fees are charged for the first four years for Investment Project Financing (IPF) and Program-for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Results Financing (PforRs); 2) removal of the prepayment premium; 3) introduction of a 7 year Short Maturity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(SML) with a maturity discount applied to the contractual spread; and 4) expansion of the lowest pricing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group to include all Climate Resilient Debt Clause (CRDC)-eligible IBRD borrowers under current eligibility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requirements. See Section IV: Lending Activities for additional details on CRDC. </w:t>
      </w:r>
    </w:p>
    <w:p>
      <w:pPr>
        <w:autoSpaceDN w:val="0"/>
        <w:autoSpaceDE w:val="0"/>
        <w:widowControl/>
        <w:spacing w:line="200" w:lineRule="exact" w:before="19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Provision for losses on loans and other exposures </w:t>
      </w:r>
    </w:p>
    <w:p>
      <w:pPr>
        <w:autoSpaceDN w:val="0"/>
        <w:autoSpaceDE w:val="0"/>
        <w:widowControl/>
        <w:spacing w:line="240" w:lineRule="exact" w:before="240" w:after="278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IBRD recorded income from the release of provision for losses on loans and other exposures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$75 million compared to a $94 million expense in FY24. As the majority of IBRD’s loans carry variable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rates, changes in forward interest rates impact the expected losses that are recorded through the provision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on loans and other exposures in the Statements of income. Accordingly, the provision release in FY25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driven by the decrease in the loss given default (severity) due to the decrease in the relevant implied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forward interest rates in FY25. The severity reflects the expected losses from delays in receiving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payments since IBRD does not charge interest on the portion related to overdue interest.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864" w:right="576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4: Change in Net Loans Outstanding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 billions of U.S. dollars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5452" w:space="0"/>
            <w:col w:w="3907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328"/>
        <w:ind w:left="576" w:right="288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5: Net Loans Outstanding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 billions of U.S. dollars </w:t>
      </w: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5452" w:space="0"/>
            <w:col w:w="390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hRule="exact" w:val="88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*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300</w:t>
            </w:r>
          </w:p>
          <w:p>
            <w:pPr>
              <w:autoSpaceDN w:val="0"/>
              <w:autoSpaceDE w:val="0"/>
              <w:widowControl/>
              <w:spacing w:line="160" w:lineRule="exact" w:before="6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280</w:t>
            </w:r>
          </w:p>
          <w:p>
            <w:pPr>
              <w:autoSpaceDN w:val="0"/>
              <w:autoSpaceDE w:val="0"/>
              <w:widowControl/>
              <w:spacing w:line="160" w:lineRule="exact" w:before="6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260</w:t>
            </w:r>
          </w:p>
          <w:p>
            <w:pPr>
              <w:autoSpaceDN w:val="0"/>
              <w:autoSpaceDE w:val="0"/>
              <w:widowControl/>
              <w:spacing w:line="158" w:lineRule="exact" w:before="5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240</w:t>
            </w:r>
          </w:p>
        </w:tc>
        <w:tc>
          <w:tcPr>
            <w:tcW w:type="dxa" w:w="49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8.00000000000011" w:type="dxa"/>
            </w:tblPr>
            <w:tblGrid>
              <w:gridCol w:w="4900"/>
            </w:tblGrid>
            <w:tr>
              <w:trPr>
                <w:trHeight w:hRule="exact" w:val="760"/>
              </w:trPr>
              <w:tc>
                <w:tcPr>
                  <w:tcW w:type="dxa" w:w="4590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38" w:after="54"/>
                    <w:ind w:left="101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31F20"/>
                      <w:sz w:val="16"/>
                    </w:rPr>
                    <w:t>30.8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90.0000000000002" w:type="dxa"/>
                  </w:tblPr>
                  <w:tblGrid>
                    <w:gridCol w:w="2295"/>
                    <w:gridCol w:w="2295"/>
                  </w:tblGrid>
                  <w:tr>
                    <w:trPr>
                      <w:trHeight w:hRule="exact" w:val="386"/>
                    </w:trPr>
                    <w:tc>
                      <w:tcPr>
                        <w:tcW w:type="dxa" w:w="28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214" w:after="0"/>
                          <w:ind w:left="0" w:right="21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5.0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214" w:after="0"/>
                          <w:ind w:left="0" w:right="10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280.0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60" w:lineRule="exact" w:before="12" w:after="0"/>
                    <w:ind w:left="0" w:right="188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31F20"/>
                      <w:sz w:val="16"/>
                    </w:rPr>
                    <w:t>*</w:t>
                  </w:r>
                </w:p>
                <w:p>
                  <w:pPr>
                    <w:autoSpaceDN w:val="0"/>
                    <w:autoSpaceDE w:val="0"/>
                    <w:widowControl/>
                    <w:spacing w:line="160" w:lineRule="exact" w:before="156" w:after="0"/>
                    <w:ind w:left="0" w:right="247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31F20"/>
                      <w:sz w:val="16"/>
                    </w:rPr>
                    <w:t>(16.0)</w:t>
                  </w:r>
                </w:p>
                <w:p>
                  <w:pPr>
                    <w:autoSpaceDN w:val="0"/>
                    <w:autoSpaceDE w:val="0"/>
                    <w:widowControl/>
                    <w:spacing w:line="158" w:lineRule="exact" w:before="114" w:after="0"/>
                    <w:ind w:left="22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31F20"/>
                      <w:sz w:val="16"/>
                    </w:rPr>
                    <w:t>260.2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58" w:after="0"/>
              <w:ind w:left="0" w:right="10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300</w:t>
            </w:r>
          </w:p>
        </w:tc>
        <w:tc>
          <w:tcPr>
            <w:tcW w:type="dxa" w:w="31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24" w:after="0"/>
              <w:ind w:left="0" w:right="16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280.0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7.99999999999955" w:type="dxa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</w:tblGrid>
            <w:tr>
              <w:trPr>
                <w:trHeight w:hRule="exact" w:val="312"/>
              </w:trPr>
              <w:tc>
                <w:tcPr>
                  <w:tcW w:type="dxa" w:w="2970"/>
                  <w:tcBorders>
                    <w:start w:sz="5.679999828338623" w:val="single" w:color="#9B9D9F"/>
                    <w:bottom w:sz="5.679999828338623" w:val="single" w:color="#75777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1.99999999999932" w:type="dxa"/>
                  </w:tblPr>
                  <w:tblGrid>
                    <w:gridCol w:w="742"/>
                    <w:gridCol w:w="742"/>
                    <w:gridCol w:w="742"/>
                    <w:gridCol w:w="742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3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2" w:lineRule="exact" w:before="306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51133219401041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5"/>
                          </w:rPr>
                          <w:t>218.8</w:t>
                        </w:r>
                      </w:p>
                    </w:tc>
                    <w:tc>
                      <w:tcPr>
                        <w:tcW w:type="dxa" w:w="598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2" w:lineRule="exact" w:before="25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51133219401041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5"/>
                          </w:rPr>
                          <w:t>227.1</w:t>
                        </w:r>
                      </w:p>
                    </w:tc>
                    <w:tc>
                      <w:tcPr>
                        <w:tcW w:type="dxa" w:w="598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2" w:lineRule="exact" w:before="158" w:after="0"/>
                          <w:ind w:left="0" w:right="0" w:firstLine="0"/>
                          <w:jc w:val="right"/>
                        </w:pPr>
                        <w:r>
                          <w:rPr>
                            <w:w w:val="101.51133219401041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5"/>
                          </w:rPr>
                          <w:t>241.0</w:t>
                        </w:r>
                      </w:p>
                    </w:tc>
                    <w:tc>
                      <w:tcPr>
                        <w:tcW w:type="dxa" w:w="6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4" w:lineRule="exact" w:before="28" w:after="0"/>
                          <w:ind w:left="0" w:right="0" w:firstLine="0"/>
                          <w:jc w:val="right"/>
                        </w:pPr>
                        <w:r>
                          <w:rPr>
                            <w:w w:val="101.51133219401041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5"/>
                          </w:rPr>
                          <w:t>260.2</w:t>
                        </w:r>
                      </w:p>
                    </w:tc>
                  </w:tr>
                  <w:tr>
                    <w:trPr>
                      <w:trHeight w:hRule="exact" w:val="58"/>
                    </w:trPr>
                    <w:tc>
                      <w:tcPr>
                        <w:tcW w:type="dxa" w:w="328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42"/>
                        <w:vMerge/>
                        <w:tcBorders/>
                      </w:tcPr>
                      <w:p/>
                    </w:tc>
                    <w:tc>
                      <w:tcPr>
                        <w:tcW w:type="dxa" w:w="742"/>
                        <w:vMerge/>
                        <w:tcBorders/>
                      </w:tcPr>
                      <w:p/>
                    </w:tc>
                    <w:tc>
                      <w:tcPr>
                        <w:tcW w:type="dxa" w:w="742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438"/>
                    </w:trPr>
                    <w:tc>
                      <w:tcPr>
                        <w:tcW w:type="dxa" w:w="742"/>
                        <w:vMerge/>
                        <w:tcBorders/>
                      </w:tcPr>
                      <w:p/>
                    </w:tc>
                    <w:tc>
                      <w:tcPr>
                        <w:tcW w:type="dxa" w:w="5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9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23"/>
                  <w:tcBorders>
                    <w:start w:sz="5.679999828338623" w:val="single" w:color="#9B9D9F"/>
                    <w:bottom w:sz="5.679999828338623" w:val="single" w:color="#75777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3"/>
                  <w:tcBorders>
                    <w:start w:sz="5.679999828338623" w:val="single" w:color="#9B9D9F"/>
                    <w:bottom w:sz="5.679999828338623" w:val="single" w:color="#75777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3"/>
                  <w:tcBorders>
                    <w:start w:sz="5.679999828338623" w:val="single" w:color="#9B9D9F"/>
                    <w:bottom w:sz="5.679999828338623" w:val="single" w:color="#75777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3"/>
                  <w:tcBorders>
                    <w:start w:sz="5.679999828338623" w:val="single" w:color="#9B9D9F"/>
                    <w:bottom w:sz="5.679999828338623" w:val="single" w:color="#75777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3"/>
                  <w:tcBorders>
                    <w:start w:sz="5.679999828338623" w:val="single" w:color="#9B9D9F"/>
                    <w:bottom w:sz="5.679999828338623" w:val="single" w:color="#75777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0"/>
        </w:trPr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4959"/>
            <w:gridSpan w:val="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4" w:after="0"/>
              <w:ind w:left="0" w:right="10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250</w:t>
            </w:r>
          </w:p>
        </w:tc>
        <w:tc>
          <w:tcPr>
            <w:tcW w:type="dxa" w:w="2755"/>
            <w:gridSpan w:val="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4959"/>
            <w:gridSpan w:val="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4" w:after="0"/>
              <w:ind w:left="0" w:right="10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200</w:t>
            </w:r>
          </w:p>
        </w:tc>
        <w:tc>
          <w:tcPr>
            <w:tcW w:type="dxa" w:w="2755"/>
            <w:gridSpan w:val="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4959"/>
            <w:gridSpan w:val="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4" w:after="0"/>
              <w:ind w:left="0" w:right="10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150</w:t>
            </w:r>
          </w:p>
        </w:tc>
        <w:tc>
          <w:tcPr>
            <w:tcW w:type="dxa" w:w="2755"/>
            <w:gridSpan w:val="5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4959"/>
            <w:gridSpan w:val="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6" w:after="0"/>
              <w:ind w:left="0" w:right="10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100</w:t>
            </w:r>
          </w:p>
        </w:tc>
        <w:tc>
          <w:tcPr>
            <w:tcW w:type="dxa" w:w="2755"/>
            <w:gridSpan w:val="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4959"/>
            <w:gridSpan w:val="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10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50</w:t>
            </w:r>
          </w:p>
        </w:tc>
        <w:tc>
          <w:tcPr>
            <w:tcW w:type="dxa" w:w="2755"/>
            <w:gridSpan w:val="5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551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Net Loans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Gross loan</w:t>
            </w:r>
          </w:p>
        </w:tc>
        <w:tc>
          <w:tcPr>
            <w:tcW w:type="dxa" w:w="7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Repayments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Accumulated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Translation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Net Loans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98" w:after="0"/>
              <w:ind w:left="0" w:right="100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0</w:t>
            </w:r>
          </w:p>
        </w:tc>
        <w:tc>
          <w:tcPr>
            <w:tcW w:type="dxa" w:w="2755"/>
            <w:gridSpan w:val="5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551"/>
            <w:vMerge/>
            <w:tcBorders/>
          </w:tcPr>
          <w:p/>
        </w:tc>
        <w:tc>
          <w:tcPr>
            <w:tcW w:type="dxa" w:w="12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outstanding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disbursements</w:t>
            </w:r>
          </w:p>
        </w:tc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and</w:t>
            </w:r>
          </w:p>
        </w:tc>
        <w:tc>
          <w:tcPr>
            <w:tcW w:type="dxa" w:w="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provision for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adjustments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30" w:after="0"/>
              <w:ind w:left="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outstanding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4" w:after="0"/>
              <w:ind w:left="0" w:right="74" w:firstLine="0"/>
              <w:jc w:val="right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Jun 21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4" w:after="0"/>
              <w:ind w:left="0" w:right="0" w:firstLine="0"/>
              <w:jc w:val="center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Jun 22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4" w:after="0"/>
              <w:ind w:left="0" w:right="0" w:firstLine="0"/>
              <w:jc w:val="center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Jun 23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4" w:after="0"/>
              <w:ind w:left="0" w:right="0" w:firstLine="0"/>
              <w:jc w:val="center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Jun 24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4" w:after="0"/>
              <w:ind w:left="0" w:right="0" w:firstLine="0"/>
              <w:jc w:val="center"/>
            </w:pPr>
            <w:r>
              <w:rPr>
                <w:w w:val="101.51133219401041"/>
                <w:rFonts w:ascii="ArialMT" w:hAnsi="ArialMT" w:eastAsia="ArialMT"/>
                <w:b w:val="0"/>
                <w:i w:val="0"/>
                <w:color w:val="231F20"/>
                <w:sz w:val="15"/>
              </w:rPr>
              <w:t>Jun 25</w:t>
            </w:r>
          </w:p>
        </w:tc>
      </w:tr>
      <w:tr>
        <w:trPr>
          <w:trHeight w:hRule="exact" w:val="138"/>
        </w:trPr>
        <w:tc>
          <w:tcPr>
            <w:tcW w:type="dxa" w:w="551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as of June</w:t>
            </w:r>
          </w:p>
        </w:tc>
        <w:tc>
          <w:tcPr>
            <w:tcW w:type="dxa" w:w="16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prepayments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loan losses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and others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as of June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51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30, 2024</w:t>
            </w:r>
          </w:p>
        </w:tc>
        <w:tc>
          <w:tcPr>
            <w:tcW w:type="dxa" w:w="40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8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2"/>
              </w:rPr>
              <w:t>30, 2025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551"/>
            <w:vMerge/>
            <w:tcBorders/>
          </w:tcPr>
          <w:p/>
        </w:tc>
        <w:tc>
          <w:tcPr>
            <w:tcW w:type="dxa" w:w="53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Indicates amount less than $0.1 billion. 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8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IBRD’s net loans outstanding totaled $280.0 billion, $19.8 billion or 8% higher than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2024 (Figure 5). The increase was mainly attributable to $14.8 billion of net loan disbursements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FY25.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Gross disbursements were $30.8 billion, a decrease of $2.7 billion compared to FY24 (Table 13). </w:t>
      </w:r>
    </w:p>
    <w:p>
      <w:pPr>
        <w:autoSpaceDN w:val="0"/>
        <w:autoSpaceDE w:val="0"/>
        <w:widowControl/>
        <w:spacing w:line="200" w:lineRule="exact" w:before="415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Results from Investing activities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Net Investment Revenue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IBRD’s net investment revenue increased by $4 million, compared to FY24 (Table 5).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was primarily driven by higher unrealized mark-to-market gains on the investments-trading portfolio,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in FY25, compared to FY24. This was largely offset by the higher funding costs that exceeded the increase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interest revenue in FY25. See Table 43.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Investments—Trading </w:t>
      </w:r>
    </w:p>
    <w:p>
      <w:pPr>
        <w:autoSpaceDN w:val="0"/>
        <w:autoSpaceDE w:val="0"/>
        <w:widowControl/>
        <w:spacing w:line="240" w:lineRule="exact" w:before="120" w:after="278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Investments—Trading was $102.7 billion as of June 30, 2025 ($82.7 billion as of June 30, 2024). See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Figure 6 below and Note C: Investments in the Notes to the Financial Statements. The increase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Investments—Trading was primarily due to the net new debt issuances that were higher than net loan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disbursements during the year, and consistent with the higher target liquidity level in FY25 (see Section VI: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Activities).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1008" w:right="864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6: Investments—Trading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 billions of U.S. dollars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4720" w:space="0"/>
            <w:col w:w="464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194"/>
        <w:ind w:left="864" w:right="72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7: Investment Revenue, net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 millions of U.S. dollars </w:t>
      </w: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4720" w:space="0"/>
            <w:col w:w="46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164"/>
        </w:trPr>
        <w:tc>
          <w:tcPr>
            <w:tcW w:type="dxa" w:w="4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Government, agency and corporate obligations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250</w:t>
            </w:r>
          </w:p>
        </w:tc>
        <w:tc>
          <w:tcPr>
            <w:tcW w:type="dxa" w:w="3480"/>
            <w:gridSpan w:val="5"/>
            <w:vMerge w:val="restart"/>
            <w:tcBorders>
              <w:bottom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9800" cy="965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96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22"/>
        </w:trPr>
        <w:tc>
          <w:tcPr>
            <w:tcW w:type="dxa" w:w="4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Time deposits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222"/>
        </w:trPr>
        <w:tc>
          <w:tcPr>
            <w:tcW w:type="dxa" w:w="4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Other investments</w:t>
            </w:r>
          </w:p>
        </w:tc>
        <w:tc>
          <w:tcPr>
            <w:tcW w:type="dxa" w:w="2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8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6.2</w:t>
            </w:r>
          </w:p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200</w:t>
            </w:r>
          </w:p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126"/>
        </w:trPr>
        <w:tc>
          <w:tcPr>
            <w:tcW w:type="dxa" w:w="4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100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2340"/>
            <w:gridSpan w:val="3"/>
            <w:vMerge/>
            <w:tcBorders/>
          </w:tcPr>
          <w:p/>
        </w:tc>
        <w:tc>
          <w:tcPr>
            <w:tcW w:type="dxa" w:w="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8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150</w:t>
            </w:r>
          </w:p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246"/>
        </w:trPr>
        <w:tc>
          <w:tcPr>
            <w:tcW w:type="dxa" w:w="780"/>
            <w:vMerge/>
            <w:tcBorders/>
          </w:tcPr>
          <w:p/>
        </w:tc>
        <w:tc>
          <w:tcPr>
            <w:tcW w:type="dxa" w:w="431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.00000000000006" w:type="dxa"/>
            </w:tblPr>
            <w:tblGrid>
              <w:gridCol w:w="718"/>
              <w:gridCol w:w="718"/>
              <w:gridCol w:w="718"/>
              <w:gridCol w:w="718"/>
              <w:gridCol w:w="718"/>
              <w:gridCol w:w="718"/>
            </w:tblGrid>
            <w:tr>
              <w:trPr>
                <w:trHeight w:hRule="exact" w:val="1962"/>
              </w:trPr>
              <w:tc>
                <w:tcPr>
                  <w:tcW w:type="dxa" w:w="3960"/>
                  <w:gridSpan w:val="6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2.00000000000017" w:type="dxa"/>
                  </w:tblPr>
                  <w:tblGrid>
                    <w:gridCol w:w="792"/>
                    <w:gridCol w:w="792"/>
                    <w:gridCol w:w="792"/>
                    <w:gridCol w:w="792"/>
                    <w:gridCol w:w="792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394"/>
                        <w:tcBorders>
                          <w:top w:sz="27.199999999999818" w:val="single" w:color="#4D819D"/>
                          <w:bottom w:sz="26.40000000000009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3.5</w:t>
                        </w:r>
                      </w:p>
                    </w:tc>
                    <w:tc>
                      <w:tcPr>
                        <w:tcW w:type="dxa" w:w="792"/>
                        <w:tcBorders>
                          <w:top w:sz="27.199999999999818" w:val="single" w:color="#4D819D"/>
                          <w:bottom w:sz="26.40000000000009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2"/>
                        <w:tcBorders>
                          <w:top w:sz="27.199999999999818" w:val="single" w:color="#4D819D"/>
                          <w:bottom w:sz="26.40000000000009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2"/>
                        <w:tcBorders>
                          <w:top w:sz="27.199999999999818" w:val="single" w:color="#4D819D"/>
                          <w:bottom w:sz="26.40000000000009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2" w:lineRule="exact" w:before="16" w:after="0"/>
                          <w:ind w:left="0" w:right="8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4.4</w:t>
                        </w:r>
                      </w:p>
                    </w:tc>
                    <w:tc>
                      <w:tcPr>
                        <w:tcW w:type="dxa" w:w="792"/>
                        <w:tcBorders>
                          <w:top w:sz="27.199999999999818" w:val="single" w:color="#4D819D"/>
                          <w:bottom w:sz="26.40000000000009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14"/>
                    </w:trPr>
                    <w:tc>
                      <w:tcPr>
                        <w:tcW w:type="dxa" w:w="394"/>
                        <w:tcBorders>
                          <w:top w:sz="26.40000000000009" w:val="single" w:color="#4D819D"/>
                          <w:bottom w:sz="28.800000000000182" w:val="single" w:color="#4D819D"/>
                        </w:tcBorders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2"/>
                        <w:tcBorders>
                          <w:top w:sz="26.40000000000009" w:val="single" w:color="#4D819D"/>
                          <w:bottom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8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3.6</w:t>
                        </w:r>
                      </w:p>
                    </w:tc>
                    <w:tc>
                      <w:tcPr>
                        <w:tcW w:type="dxa" w:w="792"/>
                        <w:tcBorders>
                          <w:top w:sz="26.40000000000009" w:val="single" w:color="#4D819D"/>
                          <w:bottom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8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3.3</w:t>
                        </w:r>
                      </w:p>
                    </w:tc>
                    <w:tc>
                      <w:tcPr>
                        <w:tcW w:type="dxa" w:w="792"/>
                        <w:tcBorders>
                          <w:top w:sz="26.40000000000009" w:val="single" w:color="#4D819D"/>
                          <w:bottom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2"/>
                        <w:tcBorders>
                          <w:top w:sz="26.40000000000009" w:val="single" w:color="#4D819D"/>
                          <w:bottom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620"/>
                    </w:trPr>
                    <w:tc>
                      <w:tcPr>
                        <w:tcW w:type="dxa" w:w="394"/>
                        <w:tcBorders>
                          <w:top w:sz="28.800000000000182" w:val="single" w:color="#4D819D"/>
                        </w:tcBorders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35.5</w:t>
                        </w:r>
                      </w:p>
                    </w:tc>
                    <w:tc>
                      <w:tcPr>
                        <w:tcW w:type="dxa" w:w="792"/>
                        <w:tcBorders>
                          <w:top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510"/>
                          </w:trPr>
                          <w:tc>
                            <w:tcPr>
                              <w:tcW w:type="dxa" w:w="394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31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39.5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2"/>
                        <w:tcBorders>
                          <w:top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502"/>
                          </w:trPr>
                          <w:tc>
                            <w:tcPr>
                              <w:tcW w:type="dxa" w:w="394"/>
                              <w:tcBorders>
                                <w:top w:sz="24.799999999999727" w:val="single" w:color="#4D819D"/>
                              </w:tcBorders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2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36.8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2"/>
                        <w:tcBorders>
                          <w:top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546"/>
                          </w:trPr>
                          <w:tc>
                            <w:tcPr>
                              <w:tcW w:type="dxa" w:w="394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38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46.0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2"/>
                        <w:tcBorders>
                          <w:top w:sz="28.800000000000182" w:val="single" w:color="#4D819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7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260"/>
                          </w:trPr>
                          <w:tc>
                            <w:tcPr>
                              <w:tcW w:type="dxa" w:w="394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52.3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940"/>
                    </w:trPr>
                    <w:tc>
                      <w:tcPr>
                        <w:tcW w:type="dxa" w:w="394"/>
                        <w:tcBorders/>
                        <w:shd w:fill="9ab6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40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48.6</w:t>
                        </w:r>
                      </w:p>
                    </w:tc>
                    <w:tc>
                      <w:tcPr>
                        <w:tcW w:type="dxa" w:w="7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394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30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38.7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752"/>
                          </w:trPr>
                          <w:tc>
                            <w:tcPr>
                              <w:tcW w:type="dxa" w:w="394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3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39.0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622"/>
                          </w:trPr>
                          <w:tc>
                            <w:tcPr>
                              <w:tcW w:type="dxa" w:w="394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24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32.4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7" w:type="dxa"/>
                        </w:tblPr>
                        <w:tblGrid>
                          <w:gridCol w:w="792"/>
                        </w:tblGrid>
                        <w:tr>
                          <w:trPr>
                            <w:trHeight w:hRule="exact" w:val="852"/>
                          </w:trPr>
                          <w:tc>
                            <w:tcPr>
                              <w:tcW w:type="dxa" w:w="394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36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44.2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vMerge/>
            <w:tcBorders/>
          </w:tcPr>
          <w:p/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260"/>
        </w:trPr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80</w:t>
            </w:r>
          </w:p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100</w:t>
            </w:r>
          </w:p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132"/>
        </w:trPr>
        <w:tc>
          <w:tcPr>
            <w:tcW w:type="dxa" w:w="4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60</w:t>
            </w:r>
          </w:p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248"/>
        </w:trPr>
        <w:tc>
          <w:tcPr>
            <w:tcW w:type="dxa" w:w="780"/>
            <w:vMerge/>
            <w:tcBorders/>
          </w:tcPr>
          <w:p/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2" w:after="0"/>
              <w:ind w:left="0" w:right="216" w:firstLine="0"/>
              <w:jc w:val="right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50</w:t>
            </w:r>
          </w:p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480"/>
        </w:trPr>
        <w:tc>
          <w:tcPr>
            <w:tcW w:type="dxa" w:w="470"/>
            <w:vMerge w:val="restart"/>
            <w:tcBorders>
              <w:bottom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40</w:t>
            </w:r>
          </w:p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2" w:after="0"/>
              <w:ind w:left="0" w:right="212" w:firstLine="0"/>
              <w:jc w:val="right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0</w:t>
            </w:r>
          </w:p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164"/>
        </w:trPr>
        <w:tc>
          <w:tcPr>
            <w:tcW w:type="dxa" w:w="780"/>
            <w:vMerge/>
            <w:tcBorders>
              <w:bottom w:sz="6.0" w:val="single" w:color="#DBDCDE"/>
            </w:tcBorders>
          </w:tcPr>
          <w:p/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726"/>
            <w:tcBorders>
              <w:bottom w:sz="6.0" w:val="single" w:color="#DBDCD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0"/>
            <w:gridSpan w:val="5"/>
            <w:vMerge/>
            <w:tcBorders>
              <w:bottom w:sz="6.0" w:val="single" w:color="#DBDCDE"/>
            </w:tcBorders>
          </w:tcPr>
          <w:p/>
        </w:tc>
      </w:tr>
      <w:tr>
        <w:trPr>
          <w:trHeight w:hRule="exact" w:val="256"/>
        </w:trPr>
        <w:tc>
          <w:tcPr>
            <w:tcW w:type="dxa" w:w="470"/>
            <w:tcBorders>
              <w:top w:sz="6.0" w:val="single" w:color="#DBDC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20</w:t>
            </w:r>
          </w:p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726"/>
            <w:vMerge w:val="restart"/>
            <w:tcBorders>
              <w:top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(50)</w:t>
            </w:r>
          </w:p>
        </w:tc>
        <w:tc>
          <w:tcPr>
            <w:tcW w:type="dxa" w:w="674"/>
            <w:vMerge w:val="restart"/>
            <w:tcBorders>
              <w:top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FY21</w:t>
            </w:r>
          </w:p>
        </w:tc>
        <w:tc>
          <w:tcPr>
            <w:tcW w:type="dxa" w:w="680"/>
            <w:vMerge w:val="restart"/>
            <w:tcBorders>
              <w:top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FY22</w:t>
            </w:r>
          </w:p>
        </w:tc>
        <w:tc>
          <w:tcPr>
            <w:tcW w:type="dxa" w:w="700"/>
            <w:vMerge w:val="restart"/>
            <w:tcBorders>
              <w:top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FY23</w:t>
            </w:r>
          </w:p>
        </w:tc>
        <w:tc>
          <w:tcPr>
            <w:tcW w:type="dxa" w:w="680"/>
            <w:vMerge w:val="restart"/>
            <w:tcBorders>
              <w:top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FY24</w:t>
            </w:r>
          </w:p>
        </w:tc>
        <w:tc>
          <w:tcPr>
            <w:tcW w:type="dxa" w:w="746"/>
            <w:vMerge w:val="restart"/>
            <w:tcBorders>
              <w:top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" w:after="0"/>
              <w:ind w:left="0" w:right="0" w:firstLine="0"/>
              <w:jc w:val="center"/>
            </w:pPr>
            <w:r>
              <w:rPr>
                <w:w w:val="97.98436760902405"/>
                <w:rFonts w:ascii="ArialMT" w:hAnsi="ArialMT" w:eastAsia="ArialMT"/>
                <w:b w:val="0"/>
                <w:i w:val="0"/>
                <w:color w:val="231F20"/>
                <w:sz w:val="16"/>
              </w:rPr>
              <w:t>FY25</w:t>
            </w:r>
          </w:p>
        </w:tc>
      </w:tr>
      <w:tr>
        <w:trPr>
          <w:trHeight w:hRule="exact" w:val="380"/>
        </w:trPr>
        <w:tc>
          <w:tcPr>
            <w:tcW w:type="dxa" w:w="4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</w:t>
            </w:r>
          </w:p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</w:tr>
      <w:tr>
        <w:trPr>
          <w:trHeight w:hRule="exact" w:val="422"/>
        </w:trPr>
        <w:tc>
          <w:tcPr>
            <w:tcW w:type="dxa" w:w="780"/>
            <w:vMerge/>
            <w:tcBorders/>
          </w:tcPr>
          <w:p/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21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22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23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24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25</w:t>
            </w:r>
          </w:p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  <w:tc>
          <w:tcPr>
            <w:tcW w:type="dxa" w:w="780"/>
            <w:vMerge/>
            <w:tcBorders>
              <w:top w:sz="6.0" w:val="single" w:color="#DBDCDE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26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Results from Borrowing activities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the borrowings were $306.2 billion, $44.4 billion higher than June 30, 2024 (Note E: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Borrowings in the Notes to the Financial Statements). The increase was primarily due to net new debt issuances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$31.0 billion during the year. The $64.5 billion of medium-and long-term debt raised during the year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(Table 28) was diversified by investor profile and location, with an average maturity of 5.5 years. The funds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raised financed development lending operations and satisfied the liquidity requirements. </w:t>
      </w:r>
    </w:p>
    <w:p>
      <w:pPr>
        <w:autoSpaceDN w:val="0"/>
        <w:autoSpaceDE w:val="0"/>
        <w:widowControl/>
        <w:spacing w:line="200" w:lineRule="exact" w:before="30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8: Borrowings (Original Maturities) </w:t>
      </w:r>
    </w:p>
    <w:p>
      <w:pPr>
        <w:autoSpaceDN w:val="0"/>
        <w:autoSpaceDE w:val="0"/>
        <w:widowControl/>
        <w:spacing w:line="200" w:lineRule="exact" w:before="160" w:after="194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 billions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6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Short-term</w:t>
            </w:r>
          </w:p>
        </w:tc>
        <w:tc>
          <w:tcPr>
            <w:tcW w:type="dxa" w:w="3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Medium-and long-term</w:t>
            </w:r>
          </w:p>
        </w:tc>
      </w:tr>
      <w:tr>
        <w:trPr>
          <w:trHeight w:hRule="exact" w:val="2056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1152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300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250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200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150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100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</w:t>
            </w:r>
          </w:p>
        </w:tc>
        <w:tc>
          <w:tcPr>
            <w:tcW w:type="dxa" w:w="5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10"/>
              <w:ind w:left="0" w:right="1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13.0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.99999999999977" w:type="dxa"/>
            </w:tblPr>
            <w:tblGrid>
              <w:gridCol w:w="883"/>
              <w:gridCol w:w="883"/>
              <w:gridCol w:w="883"/>
              <w:gridCol w:w="883"/>
              <w:gridCol w:w="883"/>
              <w:gridCol w:w="883"/>
            </w:tblGrid>
            <w:tr>
              <w:trPr>
                <w:trHeight w:hRule="exact" w:val="1718"/>
              </w:trPr>
              <w:tc>
                <w:tcPr>
                  <w:tcW w:type="dxa" w:w="3960"/>
                  <w:gridSpan w:val="6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6.00000000000023" w:type="dxa"/>
                  </w:tblPr>
                  <w:tblGrid>
                    <w:gridCol w:w="792"/>
                    <w:gridCol w:w="792"/>
                    <w:gridCol w:w="792"/>
                    <w:gridCol w:w="792"/>
                    <w:gridCol w:w="792"/>
                  </w:tblGrid>
                  <w:tr>
                    <w:trPr>
                      <w:trHeight w:hRule="exact" w:val="240"/>
                    </w:trPr>
                    <w:tc>
                      <w:tcPr>
                        <w:tcW w:type="dxa" w:w="390"/>
                        <w:tcBorders>
                          <w:top w:sz="24.0" w:val="single" w:color="#044972"/>
                          <w:bottom w:sz="24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2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10.2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24.0" w:val="single" w:color="#044972"/>
                          <w:bottom w:sz="24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top w:sz="24.0" w:val="single" w:color="#044972"/>
                          <w:bottom w:sz="24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2" w:lineRule="exact" w:before="18" w:after="0"/>
                          <w:ind w:left="0" w:right="4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10.1</w:t>
                        </w:r>
                      </w:p>
                    </w:tc>
                    <w:tc>
                      <w:tcPr>
                        <w:tcW w:type="dxa" w:w="788"/>
                        <w:tcBorders>
                          <w:top w:sz="24.0" w:val="single" w:color="#044972"/>
                          <w:bottom w:sz="24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8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9.0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24.0" w:val="single" w:color="#044972"/>
                          <w:bottom w:sz="24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66"/>
                    </w:trPr>
                    <w:tc>
                      <w:tcPr>
                        <w:tcW w:type="dxa" w:w="390"/>
                        <w:tcBorders>
                          <w:top w:sz="24.0" w:val="single" w:color="#044972"/>
                          <w:bottom w:sz="36.0" w:val="single" w:color="#044972"/>
                        </w:tcBorders>
                        <w:shd w:fill="99b6c7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top w:sz="24.0" w:val="single" w:color="#044972"/>
                          <w:bottom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2" w:lineRule="exact" w:before="0" w:after="0"/>
                          <w:ind w:left="0" w:right="4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76777A"/>
                            <w:sz w:val="16"/>
                          </w:rPr>
                          <w:t>15.1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24.0" w:val="single" w:color="#044972"/>
                          <w:bottom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88"/>
                        <w:tcBorders>
                          <w:top w:sz="24.0" w:val="single" w:color="#044972"/>
                          <w:bottom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90"/>
                        <w:tcBorders>
                          <w:top w:sz="24.0" w:val="single" w:color="#044972"/>
                          <w:bottom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268"/>
                    </w:trPr>
                    <w:tc>
                      <w:tcPr>
                        <w:tcW w:type="dxa" w:w="390"/>
                        <w:tcBorders>
                          <w:top w:sz="36.0" w:val="single" w:color="#044972"/>
                        </w:tcBorders>
                        <w:shd w:fill="99b6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4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249.9</w:t>
                        </w:r>
                      </w:p>
                    </w:tc>
                    <w:tc>
                      <w:tcPr>
                        <w:tcW w:type="dxa" w:w="790"/>
                        <w:tcBorders>
                          <w:top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8.0000000000001" w:type="dxa"/>
                        </w:tblPr>
                        <w:tblGrid>
                          <w:gridCol w:w="790"/>
                        </w:tblGrid>
                        <w:tr>
                          <w:trPr>
                            <w:trHeight w:hRule="exact" w:val="1224"/>
                          </w:trPr>
                          <w:tc>
                            <w:tcPr>
                              <w:tcW w:type="dxa" w:w="392"/>
                              <w:tcBorders/>
                              <w:shd w:fill="99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5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220.1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0"/>
                        <w:tcBorders>
                          <w:top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6.0000000000002" w:type="dxa"/>
                        </w:tblPr>
                        <w:tblGrid>
                          <w:gridCol w:w="790"/>
                        </w:tblGrid>
                        <w:tr>
                          <w:trPr>
                            <w:trHeight w:hRule="exact" w:val="1268"/>
                          </w:trPr>
                          <w:tc>
                            <w:tcPr>
                              <w:tcW w:type="dxa" w:w="394"/>
                              <w:tcBorders/>
                              <w:shd w:fill="99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56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227.2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88"/>
                        <w:tcBorders>
                          <w:top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4.0000000000009" w:type="dxa"/>
                        </w:tblPr>
                        <w:tblGrid>
                          <w:gridCol w:w="788"/>
                        </w:tblGrid>
                        <w:tr>
                          <w:trPr>
                            <w:trHeight w:hRule="exact" w:val="842"/>
                          </w:trPr>
                          <w:tc>
                            <w:tcPr>
                              <w:tcW w:type="dxa" w:w="394"/>
                              <w:tcBorders/>
                              <w:shd w:fill="99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252.8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790"/>
                        <w:tcBorders>
                          <w:top w:sz="36.0" w:val="single" w:color="#044972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96.0000000000002" w:type="dxa"/>
                        </w:tblPr>
                        <w:tblGrid>
                          <w:gridCol w:w="790"/>
                        </w:tblGrid>
                        <w:tr>
                          <w:trPr>
                            <w:trHeight w:hRule="exact" w:val="954"/>
                          </w:trPr>
                          <w:tc>
                            <w:tcPr>
                              <w:tcW w:type="dxa" w:w="394"/>
                              <w:tcBorders/>
                              <w:shd w:fill="99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293.2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2"/>
        </w:trPr>
        <w:tc>
          <w:tcPr>
            <w:tcW w:type="dxa" w:w="1560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21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22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23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24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00" w:lineRule="exact" w:before="1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Net Non-Interest Expenses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shown in Table 6, IBRD’s net non-interest expenses are primarily comprised of administrative expenses,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revenue from externally funded activities, and include costs related to Bank-executed activities for trust funds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other externally funded activities. IBRD and IDA’s administrative budget is a single resource envelope that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funds the combined work programs of both entities. The allocation of net administrative expenses between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IDA is based on an agreed cost and revenue sharing methodology, approved by their Boards, which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driven by the relative level of lending, knowledge services, and other services between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two entities. 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9: Net Non-Interest Expenses (Reported Basis) </w:t>
      </w:r>
    </w:p>
    <w:p>
      <w:pPr>
        <w:autoSpaceDN w:val="0"/>
        <w:autoSpaceDE w:val="0"/>
        <w:widowControl/>
        <w:spacing w:line="200" w:lineRule="exact" w:before="16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208" w:after="0"/>
        <w:ind w:left="0" w:right="6324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2,400</w:t>
      </w:r>
    </w:p>
    <w:p>
      <w:pPr>
        <w:autoSpaceDN w:val="0"/>
        <w:autoSpaceDE w:val="0"/>
        <w:widowControl/>
        <w:spacing w:line="160" w:lineRule="exact" w:before="234" w:after="0"/>
        <w:ind w:left="0" w:right="6324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1,800</w:t>
      </w:r>
    </w:p>
    <w:p>
      <w:pPr>
        <w:autoSpaceDN w:val="0"/>
        <w:tabs>
          <w:tab w:pos="3280" w:val="left"/>
        </w:tabs>
        <w:autoSpaceDE w:val="0"/>
        <w:widowControl/>
        <w:spacing w:line="240" w:lineRule="auto" w:before="0" w:after="0"/>
        <w:ind w:left="2642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>1,200</w:t>
      </w:r>
      <w:r>
        <w:tab/>
      </w:r>
      <w:r>
        <w:drawing>
          <wp:inline xmlns:a="http://schemas.openxmlformats.org/drawingml/2006/main" xmlns:pic="http://schemas.openxmlformats.org/drawingml/2006/picture">
            <wp:extent cx="2184400" cy="139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234" w:after="0"/>
        <w:ind w:left="0" w:right="6320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600</w:t>
      </w:r>
    </w:p>
    <w:p>
      <w:pPr>
        <w:autoSpaceDN w:val="0"/>
        <w:autoSpaceDE w:val="0"/>
        <w:widowControl/>
        <w:spacing w:line="160" w:lineRule="exact" w:before="234" w:after="26"/>
        <w:ind w:left="0" w:right="6316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FY21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FY22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FY23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FY24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FY25 </w:t>
            </w:r>
          </w:p>
        </w:tc>
      </w:tr>
    </w:tbl>
    <w:p>
      <w:pPr>
        <w:autoSpaceDN w:val="0"/>
        <w:autoSpaceDE w:val="0"/>
        <w:widowControl/>
        <w:spacing w:line="240" w:lineRule="exact" w:before="24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increase in net non-interest expenses from FY24 to FY25, on both a reported basis and allocable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basis, was primarily driven by higher administrative expenses (Table 6). </w:t>
      </w:r>
    </w:p>
    <w:p>
      <w:pPr>
        <w:autoSpaceDN w:val="0"/>
        <w:autoSpaceDE w:val="0"/>
        <w:widowControl/>
        <w:spacing w:line="200" w:lineRule="exact" w:before="34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6: Net Non-Interest Expenses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0"/>
        <w:gridCol w:w="2340"/>
        <w:gridCol w:w="2340"/>
        <w:gridCol w:w="2340"/>
      </w:tblGrid>
      <w:tr>
        <w:trPr>
          <w:trHeight w:hRule="exact" w:val="254"/>
        </w:trPr>
        <w:tc>
          <w:tcPr>
            <w:tcW w:type="dxa" w:w="703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7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85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Variance </w:t>
            </w:r>
          </w:p>
        </w:tc>
      </w:tr>
    </w:tbl>
    <w:p>
      <w:pPr>
        <w:autoSpaceDN w:val="0"/>
        <w:autoSpaceDE w:val="0"/>
        <w:widowControl/>
        <w:spacing w:line="200" w:lineRule="exact" w:before="9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Administrative expenses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32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Staff costs . . . . . . . . . . . . . . . . . . . . . . . . . . . . . . . . . . . . . . . . . . . . . . . . . . . . . . .</w:t>
            </w:r>
          </w:p>
        </w:tc>
        <w:tc>
          <w:tcPr>
            <w:tcW w:type="dxa" w:w="1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$1,261 $1,178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Travel . . . . . . . . . . . . . . . . . . . . . . . . . . . . . . . . . . . . . . . . . . . . . . . . . . . . . . . . . . .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164 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158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Consultant fees and contractual services . . . . . . . . . . . . . . . . . . . . . . . . . . . . . . . .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551 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518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Pension service cost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287 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284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Communications and technology . . . . . . . . . . . . . . . . . . . . . . . . . . . . . . . . . . . . .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105 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Premises and equipment . . . . . . . . . . . . . . . . . . . . . . . . . . . . . . . . . . . . . . . . . . . .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133 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126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</w:tr>
      <w:tr>
        <w:trPr>
          <w:trHeight w:hRule="exact" w:val="256"/>
        </w:trPr>
        <w:tc>
          <w:tcPr>
            <w:tcW w:type="dxa" w:w="70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expenses . . . . . . . . . . . . . . . . . . . . . . . . . . . . . . . . . . . . . . . . . . . . . . . . . . . .</w:t>
            </w:r>
          </w:p>
        </w:tc>
        <w:tc>
          <w:tcPr>
            <w:tcW w:type="dxa" w:w="7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 </w:t>
            </w:r>
          </w:p>
        </w:tc>
        <w:tc>
          <w:tcPr>
            <w:tcW w:type="dxa" w:w="82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5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</w:tr>
      <w:tr>
        <w:trPr>
          <w:trHeight w:hRule="exact" w:val="320"/>
        </w:trPr>
        <w:tc>
          <w:tcPr>
            <w:tcW w:type="dxa" w:w="70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8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administrative expenses </w:t>
            </w:r>
            <w:r>
              <w:rPr>
                <w:rFonts w:ascii="Times" w:hAnsi="Times" w:eastAsia="Times"/>
                <w:b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 (Table 3)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</w:t>
            </w:r>
          </w:p>
        </w:tc>
        <w:tc>
          <w:tcPr>
            <w:tcW w:type="dxa" w:w="159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$2,522 $2,379 </w:t>
            </w:r>
          </w:p>
        </w:tc>
        <w:tc>
          <w:tcPr>
            <w:tcW w:type="dxa" w:w="5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$143 </w:t>
            </w:r>
          </w:p>
        </w:tc>
      </w:tr>
      <w:tr>
        <w:trPr>
          <w:trHeight w:hRule="exact" w:val="312"/>
        </w:trPr>
        <w:tc>
          <w:tcPr>
            <w:tcW w:type="dxa" w:w="70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Contributions to special programs (Section V) (Table 3) . . . . . . . . . . . . . . . . . . . . . . .</w:t>
            </w:r>
          </w:p>
        </w:tc>
        <w:tc>
          <w:tcPr>
            <w:tcW w:type="dxa" w:w="7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 </w:t>
            </w:r>
          </w:p>
        </w:tc>
        <w:tc>
          <w:tcPr>
            <w:tcW w:type="dxa" w:w="82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 </w:t>
            </w:r>
          </w:p>
        </w:tc>
        <w:tc>
          <w:tcPr>
            <w:tcW w:type="dxa" w:w="5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from externally funded activities: (Section V)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32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Reimbursable revenue–Bank-executed activities for trust funds . . . . . . . . . . . . .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(604)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(612)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Reimbursable advisory services . . . . . . . . . . . . . . . . . . . . . . . . . . . . . . . . . . . . . .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(49)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(47)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(2)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Revenue—Trust funds administration . . . . . . . . . . . . . . . . . . . . . . . . . . . . . . . . . .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(91)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(99)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Restricted revenue (primarily externally financed outputs) . . . . . . . . . . . . . . . . .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(5)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(8)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7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Revenue—Asset management services . . . . . . . . . . . . . . . . . . . . . . . . . . . . . . . . .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(18)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(17)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(1) </w:t>
            </w:r>
          </w:p>
        </w:tc>
      </w:tr>
      <w:tr>
        <w:trPr>
          <w:trHeight w:hRule="exact" w:val="256"/>
        </w:trPr>
        <w:tc>
          <w:tcPr>
            <w:tcW w:type="dxa" w:w="70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revenue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(180) </w:t>
            </w:r>
          </w:p>
        </w:tc>
        <w:tc>
          <w:tcPr>
            <w:tcW w:type="dxa" w:w="8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(177) </w:t>
            </w:r>
          </w:p>
        </w:tc>
        <w:tc>
          <w:tcPr>
            <w:tcW w:type="dxa" w:w="5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(3) </w:t>
            </w:r>
          </w:p>
        </w:tc>
      </w:tr>
      <w:tr>
        <w:trPr>
          <w:trHeight w:hRule="exact" w:val="320"/>
        </w:trPr>
        <w:tc>
          <w:tcPr>
            <w:tcW w:type="dxa" w:w="70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8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Revenue from externally funded activities (Table 3)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</w:t>
            </w:r>
          </w:p>
        </w:tc>
        <w:tc>
          <w:tcPr>
            <w:tcW w:type="dxa" w:w="159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(947)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(960) </w:t>
            </w:r>
          </w:p>
        </w:tc>
        <w:tc>
          <w:tcPr>
            <w:tcW w:type="dxa" w:w="5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13 </w:t>
            </w:r>
          </w:p>
        </w:tc>
      </w:tr>
      <w:tr>
        <w:trPr>
          <w:trHeight w:hRule="exact" w:val="284"/>
        </w:trPr>
        <w:tc>
          <w:tcPr>
            <w:tcW w:type="dxa" w:w="70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non-interest expenses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</w:t>
            </w:r>
          </w:p>
        </w:tc>
        <w:tc>
          <w:tcPr>
            <w:tcW w:type="dxa" w:w="7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1,592 </w:t>
            </w:r>
          </w:p>
        </w:tc>
        <w:tc>
          <w:tcPr>
            <w:tcW w:type="dxa" w:w="8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1,436 </w:t>
            </w:r>
          </w:p>
        </w:tc>
        <w:tc>
          <w:tcPr>
            <w:tcW w:type="dxa" w:w="5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156 </w:t>
            </w:r>
          </w:p>
        </w:tc>
      </w:tr>
      <w:tr>
        <w:trPr>
          <w:trHeight w:hRule="exact" w:val="276"/>
        </w:trPr>
        <w:tc>
          <w:tcPr>
            <w:tcW w:type="dxa" w:w="70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Add: Inclusion of Net pension cost, other than service cost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(Table 3) . . . . . . . . . . . .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(175) </w:t>
            </w:r>
          </w:p>
        </w:tc>
        <w:tc>
          <w:tcPr>
            <w:tcW w:type="dxa" w:w="8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(194) </w:t>
            </w:r>
          </w:p>
        </w:tc>
        <w:tc>
          <w:tcPr>
            <w:tcW w:type="dxa" w:w="5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</w:p>
        </w:tc>
      </w:tr>
      <w:tr>
        <w:trPr>
          <w:trHeight w:hRule="exact" w:val="336"/>
        </w:trPr>
        <w:tc>
          <w:tcPr>
            <w:tcW w:type="dxa" w:w="70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non-interest expenses—Reported Basis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</w:t>
            </w:r>
          </w:p>
        </w:tc>
        <w:tc>
          <w:tcPr>
            <w:tcW w:type="dxa" w:w="159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$1,417 $1,242 </w:t>
            </w:r>
          </w:p>
        </w:tc>
        <w:tc>
          <w:tcPr>
            <w:tcW w:type="dxa" w:w="5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$175 </w:t>
            </w:r>
          </w:p>
        </w:tc>
      </w:tr>
    </w:tbl>
    <w:p>
      <w:pPr>
        <w:autoSpaceDN w:val="0"/>
        <w:autoSpaceDE w:val="0"/>
        <w:widowControl/>
        <w:spacing w:line="242" w:lineRule="exact" w:before="72" w:after="20"/>
        <w:ind w:left="0" w:right="288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Adjustments to arrive at net non-interest expenses—non-GAAP measure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Less: Exclusion of Pension, Externally Financed Outputs (EFO) and Reserve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60"/>
        </w:trPr>
        <w:tc>
          <w:tcPr>
            <w:tcW w:type="dxa" w:w="70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Advisory and Management Partnership (RAMP) adjustments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165 </w:t>
            </w:r>
          </w:p>
        </w:tc>
        <w:tc>
          <w:tcPr>
            <w:tcW w:type="dxa" w:w="8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192 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(27) </w:t>
            </w:r>
          </w:p>
        </w:tc>
      </w:tr>
      <w:tr>
        <w:trPr>
          <w:trHeight w:hRule="exact" w:val="308"/>
        </w:trPr>
        <w:tc>
          <w:tcPr>
            <w:tcW w:type="dxa" w:w="6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non-interest expenses—non-GAAP measure (Table 5)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</w:t>
            </w:r>
          </w:p>
        </w:tc>
        <w:tc>
          <w:tcPr>
            <w:tcW w:type="dxa" w:w="1580"/>
            <w:gridSpan w:val="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$1,582 $1,434 </w:t>
            </w:r>
          </w:p>
        </w:tc>
        <w:tc>
          <w:tcPr>
            <w:tcW w:type="dxa" w:w="70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$148 </w:t>
            </w:r>
          </w:p>
        </w:tc>
      </w:tr>
      <w:tr>
        <w:trPr>
          <w:trHeight w:hRule="exact" w:val="180"/>
        </w:trPr>
        <w:tc>
          <w:tcPr>
            <w:tcW w:type="dxa" w:w="69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11"/>
            <w:gridSpan w:val="3"/>
            <w:vMerge/>
            <w:tcBorders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 pension service cost represents the cost of benefits attributable to services performed by employees for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the Bank during the fiscal year. See Notes to Financial Statements, Note K: Pension and Other Post-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Retirement Benefits.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expenses related to Bank-executed activities for trust funds of $604 million for FY25 and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$612 million for FY24.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fee revenue associated with services provided to affiliated organizations of $116 million in FY25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($112 million in FY24). See Notes to Financial Statements, Note H: Transactions with Affiliated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Organizations.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Amount is included in Non-interest expenses - Other in the Statements of Income (Table 3).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Components of this adjustment are included in Table 9. </w:t>
      </w:r>
    </w:p>
    <w:p>
      <w:pPr>
        <w:autoSpaceDN w:val="0"/>
        <w:autoSpaceDE w:val="0"/>
        <w:widowControl/>
        <w:spacing w:line="240" w:lineRule="exact" w:before="24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goal is to have its net administrative expenses covered by its loan interest margin (see components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spread in Box 1) and certain fee revenue, using a measure referred to as the Budget Anchor. In FY25,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Budget Anchor was 63.4%, an increase of 0.7% compared with 62.7% in FY24. The increase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due to the relative increase in net non-interest expenses outpacing the increase in budget anchor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(see Table 7 for details of the Budget Anchor components). </w:t>
      </w:r>
    </w:p>
    <w:p>
      <w:pPr>
        <w:autoSpaceDN w:val="0"/>
        <w:autoSpaceDE w:val="0"/>
        <w:widowControl/>
        <w:spacing w:line="200" w:lineRule="exact" w:before="10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7: Budget Anchor Ratio </w:t>
      </w:r>
    </w:p>
    <w:p>
      <w:pPr>
        <w:autoSpaceDN w:val="0"/>
        <w:autoSpaceDE w:val="0"/>
        <w:widowControl/>
        <w:spacing w:line="160" w:lineRule="exact" w:before="126" w:after="13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4"/>
        </w:trPr>
        <w:tc>
          <w:tcPr>
            <w:tcW w:type="dxa" w:w="693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Variance </w:t>
            </w:r>
          </w:p>
        </w:tc>
      </w:tr>
      <w:tr>
        <w:trPr>
          <w:trHeight w:hRule="exact" w:val="298"/>
        </w:trPr>
        <w:tc>
          <w:tcPr>
            <w:tcW w:type="dxa" w:w="693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non-interest expenses (Table 6) . . . . . . . . . . . . . . . . . . . . . . . . . . . . . . . . . . . . . . .</w:t>
            </w:r>
          </w:p>
        </w:tc>
        <w:tc>
          <w:tcPr>
            <w:tcW w:type="dxa" w:w="152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$1,417 $1,242 </w:t>
            </w:r>
          </w:p>
        </w:tc>
        <w:tc>
          <w:tcPr>
            <w:tcW w:type="dxa" w:w="7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$175 </w:t>
            </w:r>
          </w:p>
        </w:tc>
      </w:tr>
      <w:tr>
        <w:trPr>
          <w:trHeight w:hRule="exact" w:val="280"/>
        </w:trPr>
        <w:tc>
          <w:tcPr>
            <w:tcW w:type="dxa" w:w="6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Pension, RAMP, EFO and other adjustments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192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(25) </w:t>
            </w:r>
          </w:p>
        </w:tc>
      </w:tr>
      <w:tr>
        <w:trPr>
          <w:trHeight w:hRule="exact" w:val="340"/>
        </w:trPr>
        <w:tc>
          <w:tcPr>
            <w:tcW w:type="dxa" w:w="6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expenses for Budget Anchor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$1,584 $1,434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$150 </w:t>
            </w:r>
          </w:p>
        </w:tc>
      </w:tr>
      <w:tr>
        <w:trPr>
          <w:trHeight w:hRule="exact" w:val="280"/>
        </w:trPr>
        <w:tc>
          <w:tcPr>
            <w:tcW w:type="dxa" w:w="6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 interest margin (Table 5)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2,327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2,119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208 </w:t>
            </w:r>
          </w:p>
        </w:tc>
      </w:tr>
      <w:tr>
        <w:trPr>
          <w:trHeight w:hRule="exact" w:val="240"/>
        </w:trPr>
        <w:tc>
          <w:tcPr>
            <w:tcW w:type="dxa" w:w="6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 commitment fees (Table 3)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149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</w:tr>
      <w:tr>
        <w:trPr>
          <w:trHeight w:hRule="exact" w:val="280"/>
        </w:trPr>
        <w:tc>
          <w:tcPr>
            <w:tcW w:type="dxa" w:w="6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Guarantee fees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(1) </w:t>
            </w:r>
          </w:p>
        </w:tc>
      </w:tr>
      <w:tr>
        <w:trPr>
          <w:trHeight w:hRule="exact" w:val="340"/>
        </w:trPr>
        <w:tc>
          <w:tcPr>
            <w:tcW w:type="dxa" w:w="6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revenue for Budget Anchor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$2,497 $2,287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$210 </w:t>
            </w:r>
          </w:p>
        </w:tc>
      </w:tr>
      <w:tr>
        <w:trPr>
          <w:trHeight w:hRule="exact" w:val="366"/>
        </w:trPr>
        <w:tc>
          <w:tcPr>
            <w:tcW w:type="dxa" w:w="69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Budget Anchor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228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1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63.4% 62.7% 0.7% </w:t>
            </w:r>
          </w:p>
        </w:tc>
      </w:tr>
      <w:tr>
        <w:trPr>
          <w:trHeight w:hRule="exact" w:val="352"/>
        </w:trPr>
        <w:tc>
          <w:tcPr>
            <w:tcW w:type="dxa" w:w="3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These adjustments are made to arrive at total expenses for Budget Anchor purpose. </w:t>
            </w:r>
          </w:p>
        </w:tc>
      </w:tr>
    </w:tbl>
    <w:p>
      <w:pPr>
        <w:autoSpaceDN w:val="0"/>
        <w:autoSpaceDE w:val="0"/>
        <w:widowControl/>
        <w:spacing w:line="200" w:lineRule="exact" w:before="2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Unrealized mark-to-market gains (losses) on non-trading portfolios, net </w:t>
      </w:r>
    </w:p>
    <w:p>
      <w:pPr>
        <w:autoSpaceDN w:val="0"/>
        <w:autoSpaceDE w:val="0"/>
        <w:widowControl/>
        <w:spacing w:line="240" w:lineRule="exact" w:before="98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the non-trading portfolios had $256 million of net unrealized mark-to-market gains ($289 million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unrealized mark-to-market gains in FY24). The decrease in gains was mainly driven by the unrealized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market-to-market losses on loan related derivatives and borrowings, primarily due to the decrease in relevant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rates. </w:t>
      </w:r>
    </w:p>
    <w:p>
      <w:pPr>
        <w:autoSpaceDN w:val="0"/>
        <w:autoSpaceDE w:val="0"/>
        <w:widowControl/>
        <w:spacing w:line="200" w:lineRule="exact" w:before="3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8: Unrealized Mark-to-Market Gains (Losses) on Non-trading Portfolios, Net </w:t>
      </w:r>
    </w:p>
    <w:p>
      <w:pPr>
        <w:autoSpaceDN w:val="0"/>
        <w:autoSpaceDE w:val="0"/>
        <w:widowControl/>
        <w:spacing w:line="160" w:lineRule="exact" w:before="128" w:after="134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54"/>
        </w:trPr>
        <w:tc>
          <w:tcPr>
            <w:tcW w:type="dxa" w:w="70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63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62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8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Variance </w:t>
            </w:r>
          </w:p>
        </w:tc>
      </w:tr>
      <w:tr>
        <w:trPr>
          <w:trHeight w:hRule="exact" w:val="306"/>
        </w:trPr>
        <w:tc>
          <w:tcPr>
            <w:tcW w:type="dxa" w:w="705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0" w:after="0"/>
              <w:ind w:left="10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 related derivatives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ALM derivatives, net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Borrowings, including related derivatives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Client operations and other derivatives, net . . . . . . . . . . . . . . . . . . . . . . . . . . . . . . . . .</w:t>
            </w:r>
          </w:p>
        </w:tc>
        <w:tc>
          <w:tcPr>
            <w:tcW w:type="dxa" w:w="2180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$(1,372) $(458)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(914) 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>
              <w:top w:sz="8.0" w:val="single" w:color="#221F1F"/>
            </w:tcBorders>
          </w:tcPr>
          <w:p/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1,839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708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1,131 </w:t>
            </w:r>
          </w:p>
        </w:tc>
      </w:tr>
      <w:tr>
        <w:trPr>
          <w:trHeight w:hRule="exact" w:val="220"/>
        </w:trPr>
        <w:tc>
          <w:tcPr>
            <w:tcW w:type="dxa" w:w="1560"/>
            <w:vMerge/>
            <w:tcBorders>
              <w:top w:sz="8.0" w:val="single" w:color="#221F1F"/>
            </w:tcBorders>
          </w:tcPr>
          <w:p/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(234)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(243) </w:t>
            </w:r>
          </w:p>
        </w:tc>
      </w:tr>
      <w:tr>
        <w:trPr>
          <w:trHeight w:hRule="exact" w:val="274"/>
        </w:trPr>
        <w:tc>
          <w:tcPr>
            <w:tcW w:type="dxa" w:w="1560"/>
            <w:vMerge/>
            <w:tcBorders>
              <w:top w:sz="8.0" w:val="single" w:color="#221F1F"/>
            </w:tcBorders>
          </w:tcPr>
          <w:p/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(7) </w:t>
            </w:r>
          </w:p>
        </w:tc>
      </w:tr>
    </w:tbl>
    <w:p>
      <w:pPr>
        <w:autoSpaceDN w:val="0"/>
        <w:autoSpaceDE w:val="0"/>
        <w:widowControl/>
        <w:spacing w:line="200" w:lineRule="exact" w:before="72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Unrealized mark-to-market gains (losses) on non-trading portfolios—Reported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3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basis (Table 3)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256 $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289 </w:t>
            </w:r>
          </w:p>
        </w:tc>
        <w:tc>
          <w:tcPr>
            <w:tcW w:type="dxa" w:w="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(33) </w:t>
            </w:r>
          </w:p>
        </w:tc>
      </w:tr>
    </w:tbl>
    <w:p>
      <w:pPr>
        <w:autoSpaceDN w:val="0"/>
        <w:autoSpaceDE w:val="0"/>
        <w:widowControl/>
        <w:spacing w:line="200" w:lineRule="exact" w:before="41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Loan Portfolio </w:t>
      </w:r>
    </w:p>
    <w:p>
      <w:pPr>
        <w:autoSpaceDN w:val="0"/>
        <w:autoSpaceDE w:val="0"/>
        <w:widowControl/>
        <w:spacing w:line="240" w:lineRule="exact" w:before="98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outstanding are reported at amortized cost on the Balance Sheets and therefore the mark-to- market effect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is not reflected in reported net income. However, the derivatives used to convert the loans from fixed-rate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variable-rate instruments, for asset / liability management purposes, are reported at fair value. From an economic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perspective, IBRD’s loans, after the effect of derivatives, carry variable interest rates and have a low sensitivity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change in interest rates. The unrealized mark-to- market losses on loan related derivatives were $914 million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higher in FY25 compared to FY24, due to the more prominent decrease in relevant interest rates during the year. 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See Section IX: Risk Management for additional details on how IBRD uses derivatives in the loan portfolio. </w:t>
      </w:r>
    </w:p>
    <w:p>
      <w:pPr>
        <w:autoSpaceDN w:val="0"/>
        <w:autoSpaceDE w:val="0"/>
        <w:widowControl/>
        <w:spacing w:line="200" w:lineRule="exact" w:before="3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Other ALM Portfolio </w:t>
      </w:r>
    </w:p>
    <w:p>
      <w:pPr>
        <w:autoSpaceDN w:val="0"/>
        <w:autoSpaceDE w:val="0"/>
        <w:widowControl/>
        <w:spacing w:line="240" w:lineRule="exact" w:before="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IBRD uses derivatives to stabilize its interest revenue from the portion of loans that is sensitive to changes in short-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 interest rates. The Other ALM portfolio consists of derivatives which convert a portion of variable rate loan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cash flows to fixed rate loan cash flows. In FY25, IBRD recorded unrealized mark-to-market gains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$1,839 million on this portfolio, primarily due to the decrease in relevant interest rates as of June 30, 2025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compared to June 30, 2024. The duration of this portfolio was 4.4 years as of June 30, 2025, within the Board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established limit of 5 years. </w:t>
      </w:r>
    </w:p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Borrowing Portfolio </w:t>
      </w:r>
    </w:p>
    <w:p>
      <w:pPr>
        <w:autoSpaceDN w:val="0"/>
        <w:autoSpaceDE w:val="0"/>
        <w:widowControl/>
        <w:spacing w:line="240" w:lineRule="exact" w:before="98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borrowings and the related derivatives are reported at fair value, except for hybrid capital which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reported at amortized cost on the Balance Sheets. IBRD recorded $234 million of net unrealized mark-to- market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on IBRD’s borrowings at fair value and associated derivatives, due to the decrease in relevant interest rates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 compared to June 30, 2024. The unrealized mark-to-market losses on the borrowings at fair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were mainly driven by the decrease in relevant interest rates and exceeded the gains on the bond-related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derivatives. The net unrealized mark-to-market losses on IBRD’s bonds exclude changes in IBRD’s own credit,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referred to as the Debit Valuation Adjustment (DVA) on Fair Value Option elected liabilities, which is instead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recorded in AOCI. In FY25, the DVA was $991 million of unrealized mark-to-market gains, resulting mainly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the widening of IBRD’s credit spreads relative to the applicable reference rate during the year. This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driven by the widening of spreads across euro sovereign, supranational, and agency markets.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2025, IBRD’s Balance Sheets included a cumulative DVA of $1,664 million of mark-to-market gains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reflected in AOCI (See Notes to the Financial Statements, Note J – Fair Value Disclosures). </w:t>
      </w:r>
    </w:p>
    <w:p>
      <w:pPr>
        <w:autoSpaceDN w:val="0"/>
        <w:autoSpaceDE w:val="0"/>
        <w:widowControl/>
        <w:spacing w:line="200" w:lineRule="exact" w:before="3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Income Allocation 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recommends allocations of income to the Board, at the end of each fiscal year, to augment reserves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support developmental activities. These allocations are based on allocable income. As illustrated in Table 9, </w:t>
      </w:r>
      <w:r>
        <w:rPr>
          <w:rFonts w:ascii="Times" w:hAnsi="Times" w:eastAsia="Times"/>
          <w:b w:val="0"/>
          <w:i w:val="0"/>
          <w:color w:val="231F20"/>
          <w:sz w:val="20"/>
        </w:rPr>
        <w:t>the key differences between allocable income and net income are (i) expenses related to Board of Governors-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approved transfers, (ii) non-functional currency translation adjustment gains and losses and (iii) unrealized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mark-to-market gains and losses on IBRD’s non-trading portfolios, which are all excluded from allocable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income. </w:t>
      </w:r>
    </w:p>
    <w:p>
      <w:pPr>
        <w:autoSpaceDN w:val="0"/>
        <w:autoSpaceDE w:val="0"/>
        <w:widowControl/>
        <w:spacing w:line="200" w:lineRule="exact" w:before="3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9: Allocable Income and Recommended Allocations </w:t>
      </w:r>
    </w:p>
    <w:p>
      <w:pPr>
        <w:autoSpaceDN w:val="0"/>
        <w:autoSpaceDE w:val="0"/>
        <w:widowControl/>
        <w:spacing w:line="160" w:lineRule="exact" w:before="128" w:after="13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25"/>
        <w:gridCol w:w="3125"/>
        <w:gridCol w:w="3125"/>
      </w:tblGrid>
      <w:tr>
        <w:trPr>
          <w:trHeight w:hRule="exact" w:val="254"/>
        </w:trPr>
        <w:tc>
          <w:tcPr>
            <w:tcW w:type="dxa" w:w="7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years ended June 30, </w:t>
            </w:r>
          </w:p>
        </w:tc>
        <w:tc>
          <w:tcPr>
            <w:tcW w:type="dxa" w:w="5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02"/>
        </w:trPr>
        <w:tc>
          <w:tcPr>
            <w:tcW w:type="dxa" w:w="78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Income (Table 3)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39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$2,100 $2,142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Adjustments to Reconcile Net Income to Allocable Income: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20"/>
        </w:trPr>
        <w:tc>
          <w:tcPr>
            <w:tcW w:type="dxa" w:w="78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4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Board of Governors-approved transfers (Table 3)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remeasurement losses (gains),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(Table 3)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Unrealized mark-to-market losses (gains) on non-trading portfolios,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Pension adjustment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Income from PEBP and PCRF investment holdings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EFO, RAMP, LPF1, GFPP and other adjustments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815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371 </w:t>
            </w:r>
          </w:p>
        </w:tc>
      </w:tr>
      <w:tr>
        <w:trPr>
          <w:trHeight w:hRule="exact" w:val="24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(73) </w:t>
            </w:r>
          </w:p>
        </w:tc>
      </w:tr>
      <w:tr>
        <w:trPr>
          <w:trHeight w:hRule="exact" w:val="22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(252)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(287) </w:t>
            </w:r>
          </w:p>
        </w:tc>
      </w:tr>
      <w:tr>
        <w:trPr>
          <w:trHeight w:hRule="exact" w:val="24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(169)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(194) </w:t>
            </w:r>
          </w:p>
        </w:tc>
      </w:tr>
      <w:tr>
        <w:trPr>
          <w:trHeight w:hRule="exact" w:val="22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(134)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(112) </w:t>
            </w:r>
          </w:p>
        </w:tc>
      </w:tr>
      <w:tr>
        <w:trPr>
          <w:trHeight w:hRule="exact" w:val="252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8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(20) </w:t>
            </w:r>
          </w:p>
        </w:tc>
        <w:tc>
          <w:tcPr>
            <w:tcW w:type="dxa" w:w="6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</w:tr>
      <w:tr>
        <w:trPr>
          <w:trHeight w:hRule="exact" w:val="327"/>
        </w:trPr>
        <w:tc>
          <w:tcPr>
            <w:tcW w:type="dxa" w:w="7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Allocable Income (Table 5)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14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$2,384 $1,849 </w:t>
            </w:r>
          </w:p>
        </w:tc>
      </w:tr>
    </w:tbl>
    <w:p>
      <w:pPr>
        <w:autoSpaceDN w:val="0"/>
        <w:autoSpaceDE w:val="0"/>
        <w:widowControl/>
        <w:spacing w:line="200" w:lineRule="exact" w:before="106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Recommended Allocations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4"/>
        <w:gridCol w:w="2344"/>
        <w:gridCol w:w="2344"/>
        <w:gridCol w:w="2344"/>
      </w:tblGrid>
      <w:tr>
        <w:trPr>
          <w:trHeight w:hRule="exact" w:val="220"/>
        </w:trPr>
        <w:tc>
          <w:tcPr>
            <w:tcW w:type="dxa" w:w="7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General Reserve (Table 11)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1,182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834 </w:t>
            </w:r>
          </w:p>
        </w:tc>
      </w:tr>
      <w:tr>
        <w:trPr>
          <w:trHeight w:hRule="exact" w:val="240"/>
        </w:trPr>
        <w:tc>
          <w:tcPr>
            <w:tcW w:type="dxa" w:w="7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Surplus (Table 11) . . . . 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420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500 </w:t>
            </w:r>
          </w:p>
        </w:tc>
      </w:tr>
      <w:tr>
        <w:trPr>
          <w:trHeight w:hRule="exact" w:val="260"/>
        </w:trPr>
        <w:tc>
          <w:tcPr>
            <w:tcW w:type="dxa" w:w="7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Transfer to IDA . . . . . . 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782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515 </w:t>
            </w:r>
          </w:p>
        </w:tc>
      </w:tr>
      <w:tr>
        <w:trPr>
          <w:trHeight w:hRule="exact" w:val="472"/>
        </w:trPr>
        <w:tc>
          <w:tcPr>
            <w:tcW w:type="dxa" w:w="77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4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Allocations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14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$2,384 $1,849 </w:t>
            </w:r>
          </w:p>
        </w:tc>
      </w:tr>
      <w:tr>
        <w:trPr>
          <w:trHeight w:hRule="exact" w:val="308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Currency remeasurements relating to assets and liabilities denominated in non-functional currencies. </w:t>
            </w:r>
          </w:p>
        </w:tc>
      </w:tr>
      <w:tr>
        <w:trPr>
          <w:trHeight w:hRule="exact" w:val="244"/>
        </w:trPr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8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Adjusted to exclude $4 million gains in FY25 ($2 million gains in FY24) reclassified to realized gains/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losses.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EFO income subject to contractual donor restrictions and transferred to Restricted Retained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Earnings; RAMP-related revenue and expenses excluded under a Board-approved framework to ensure use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solely for program delivery; and unrealized mark-to-market gains on IBRD Surplus-Funded Livable Planet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Fund (LPF1) and Grant Facility for Project Preparation (GFPP) investments, representing funds restricted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for the specified uses; and unrealized mark-to-market gains/losses on certain positions in the investments-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trading portfolio, if any.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20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of the adjustments between reported net income and allocable income are recommended by management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approved by the Board.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Adjustments to Net Income to arrive at Allocable Income: 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Board of Governors-approved Transfers and Allocations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Board of Governors-approved transfers refer to the allocations recommended by the Board and approved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Governors, as part of the prior year’s net income allocation process and subsequent decisions on uses of surplus,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well as on payments from restricted retained earnings. Since these amounts primarily relate to allocations out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IBRD’s FY24 allocable income or Surplus, they are excluded from FY25 reported net income in calculating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FY25 allocable income.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the Board of Governors approved the following transfers and allocations as shown in Table 10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below: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10: Board of Governors-approved Transfers and Allocations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0"/>
        <w:gridCol w:w="2340"/>
        <w:gridCol w:w="2340"/>
        <w:gridCol w:w="2340"/>
      </w:tblGrid>
      <w:tr>
        <w:trPr>
          <w:trHeight w:hRule="exact" w:val="254"/>
        </w:trPr>
        <w:tc>
          <w:tcPr>
            <w:tcW w:type="dxa" w:w="335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Date of approval </w:t>
            </w:r>
          </w:p>
        </w:tc>
        <w:tc>
          <w:tcPr>
            <w:tcW w:type="dxa" w:w="69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 </w:t>
            </w:r>
          </w:p>
        </w:tc>
        <w:tc>
          <w:tcPr>
            <w:tcW w:type="dxa" w:w="189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Retained Earnings Source </w:t>
            </w:r>
          </w:p>
        </w:tc>
        <w:tc>
          <w:tcPr>
            <w:tcW w:type="dxa" w:w="319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09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Beneficiary </w:t>
            </w:r>
          </w:p>
        </w:tc>
      </w:tr>
    </w:tbl>
    <w:p>
      <w:pPr>
        <w:autoSpaceDN w:val="0"/>
        <w:tabs>
          <w:tab w:pos="320" w:val="left"/>
        </w:tabs>
        <w:autoSpaceDE w:val="0"/>
        <w:widowControl/>
        <w:spacing w:line="240" w:lineRule="exact" w:before="56" w:after="22"/>
        <w:ind w:left="120" w:right="3312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Board of Governors-approved Transfers Reported in the Statements </w:t>
      </w:r>
      <w:r>
        <w:tab/>
      </w:r>
      <w:r>
        <w:rPr>
          <w:rFonts w:ascii="Times" w:hAnsi="Times" w:eastAsia="Times"/>
          <w:b/>
          <w:i w:val="0"/>
          <w:color w:val="231F20"/>
          <w:sz w:val="20"/>
        </w:rPr>
        <w:t xml:space="preserve">of Income </w:t>
      </w:r>
      <w:r>
        <w:rPr>
          <w:rFonts w:ascii="Times" w:hAnsi="Times" w:eastAsia="Times"/>
          <w:b/>
          <w:i w:val="0"/>
          <w:color w:val="231F20"/>
          <w:sz w:val="13"/>
        </w:rPr>
        <w:t>a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September 9, 2024 . . . . . . . . . .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</w:t>
            </w:r>
          </w:p>
        </w:tc>
        <w:tc>
          <w:tcPr>
            <w:tcW w:type="dxa" w:w="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Surplus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Trust Fund for Gaza and West Bank </w:t>
            </w:r>
          </w:p>
        </w:tc>
      </w:tr>
      <w:tr>
        <w:trPr>
          <w:trHeight w:hRule="exact" w:val="240"/>
        </w:trPr>
        <w:tc>
          <w:tcPr>
            <w:tcW w:type="dxa" w:w="35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September 18, 2024 . . . . . . . . .</w:t>
            </w:r>
          </w:p>
        </w:tc>
        <w:tc>
          <w:tcPr>
            <w:tcW w:type="dxa" w:w="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Surplus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7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Trust Fund for Gaza and West Bank </w:t>
            </w:r>
          </w:p>
        </w:tc>
      </w:tr>
      <w:tr>
        <w:trPr>
          <w:trHeight w:hRule="exact" w:val="256"/>
        </w:trPr>
        <w:tc>
          <w:tcPr>
            <w:tcW w:type="dxa" w:w="351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September 18, 2024 . . . . . . . . .</w:t>
            </w:r>
          </w:p>
        </w:tc>
        <w:tc>
          <w:tcPr>
            <w:tcW w:type="dxa" w:w="4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515 </w:t>
            </w:r>
          </w:p>
        </w:tc>
        <w:tc>
          <w:tcPr>
            <w:tcW w:type="dxa" w:w="5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FY24 allocable income IDA </w:t>
            </w:r>
          </w:p>
        </w:tc>
      </w:tr>
      <w:tr>
        <w:trPr>
          <w:trHeight w:hRule="exact" w:val="336"/>
        </w:trPr>
        <w:tc>
          <w:tcPr>
            <w:tcW w:type="dxa" w:w="351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2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$ </w:t>
            </w:r>
          </w:p>
        </w:tc>
        <w:tc>
          <w:tcPr>
            <w:tcW w:type="dxa" w:w="4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815 </w:t>
            </w:r>
          </w:p>
        </w:tc>
        <w:tc>
          <w:tcPr>
            <w:tcW w:type="dxa" w:w="3744"/>
            <w:gridSpan w:val="2"/>
            <w:vMerge/>
            <w:tcBorders/>
          </w:tcPr>
          <w:p/>
        </w:tc>
      </w:tr>
    </w:tbl>
    <w:p>
      <w:pPr>
        <w:autoSpaceDN w:val="0"/>
        <w:tabs>
          <w:tab w:pos="6244" w:val="left"/>
        </w:tabs>
        <w:autoSpaceDE w:val="0"/>
        <w:widowControl/>
        <w:spacing w:line="242" w:lineRule="exact" w:before="72" w:after="20"/>
        <w:ind w:left="120" w:right="576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Board of Governors-approved Allocations Reported as Reclassifications Within Retained Earnings: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Surplus-Funded Livable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September 18, 2024 . . . . . . . . 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Surplus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Planet Fund (LPF1)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0" w:right="72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Grant Facility for Project Preparation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0"/>
        </w:trPr>
        <w:tc>
          <w:tcPr>
            <w:tcW w:type="dxa" w:w="3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January 17, 2025 . . . . . . . . . . . 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Surplus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(GFPP)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</w:p>
        </w:tc>
      </w:tr>
      <w:tr>
        <w:trPr>
          <w:trHeight w:hRule="exact" w:val="488"/>
        </w:trPr>
        <w:tc>
          <w:tcPr>
            <w:tcW w:type="dxa" w:w="33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$ </w:t>
            </w:r>
          </w:p>
        </w:tc>
        <w:tc>
          <w:tcPr>
            <w:tcW w:type="dxa" w:w="588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300 </w:t>
            </w:r>
          </w:p>
        </w:tc>
      </w:tr>
      <w:tr>
        <w:trPr>
          <w:trHeight w:hRule="exact" w:val="304"/>
        </w:trPr>
        <w:tc>
          <w:tcPr>
            <w:tcW w:type="dxa" w:w="1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902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These transfers are unconditional and expensed upon approval. </w:t>
            </w:r>
          </w:p>
        </w:tc>
      </w:tr>
      <w:tr>
        <w:trPr>
          <w:trHeight w:hRule="exact" w:val="240"/>
        </w:trPr>
        <w:tc>
          <w:tcPr>
            <w:tcW w:type="dxa" w:w="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9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For the fiscal year ended June 30, 2025, less than $0.5 million of grants were expensed by the LPF1. </w:t>
            </w:r>
          </w:p>
        </w:tc>
      </w:tr>
      <w:tr>
        <w:trPr>
          <w:trHeight w:hRule="exact" w:val="246"/>
        </w:trPr>
        <w:tc>
          <w:tcPr>
            <w:tcW w:type="dxa" w:w="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c. </w:t>
            </w:r>
          </w:p>
        </w:tc>
        <w:tc>
          <w:tcPr>
            <w:tcW w:type="dxa" w:w="9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 Grant Facility for Project Preparation (GFPP) provides grants to support preparation of World Bank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financed lending operations. The GFPP is currently financed by IBRD’s surplus and is established for an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initial period of 7 years. For the fiscal year ended June 30, 2025, no grants were expensed by the GFPP. </w:t>
      </w:r>
    </w:p>
    <w:p>
      <w:pPr>
        <w:autoSpaceDN w:val="0"/>
        <w:autoSpaceDE w:val="0"/>
        <w:widowControl/>
        <w:spacing w:line="200" w:lineRule="exact" w:before="326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21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Currency remeasurement gains/losses, net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Remeasurement gains and losses relating to non-functional currencies are reflected in reported net income. Since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are unrealized gains/losses that relate to asset/liability positions still held by IBRD, they are excluded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reported net income to arrive at allocable income and reflected in Other Reserves within Retained Earnings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(Table 11). </w:t>
      </w:r>
    </w:p>
    <w:p>
      <w:pPr>
        <w:autoSpaceDN w:val="0"/>
        <w:autoSpaceDE w:val="0"/>
        <w:widowControl/>
        <w:spacing w:line="200" w:lineRule="exact" w:before="3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Unrealized mark-to-market gains (losses) on non-trading portfolios, net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mainly comprise unrealized mark-to-market gains and losses on the loan, borrowing, and other ALM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portfolios as previously discussed. Since IBRD expects to maintain its non-trading portfolio positions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maturity, the unrealized mark-to-market gains and losses on these positions are transitory and will reduce to zero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 maturity. For that reason, these gains and losses are excluded from net income to arrive at allocable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are reflected in Cumulative Fair Value Adjustments within Retained Earnings (Table 11). </w:t>
      </w:r>
    </w:p>
    <w:p>
      <w:pPr>
        <w:autoSpaceDN w:val="0"/>
        <w:autoSpaceDE w:val="0"/>
        <w:widowControl/>
        <w:spacing w:line="200" w:lineRule="exact" w:before="3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Pension, PEBP and PCRF adjustments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Pension adjustment reflects the difference between the accounting expense and IBRD’s cash contributions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pension plans, the Post-Employment Benefit Plan (PEBP), and the Post-Retirement Contribution Reserve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 (PCRF). It also includes investment revenue earned on the PEBP and PCRF assets. The PCRF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established by the Board to stabilize contributions to the pension and post-retirement benefits plans. 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bases allocation decisions on IBRD’s cash contributions to the pension plans, PEBP and PCRF, rather than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pension accounting expenses. In addition, Management has designated the income from these assets to meet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future needs of the pension plans. As a result, PEBP and PCRF investment revenues are excluded from allocable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and reflected in Pension Reserves within Retained Earnings (Table 11). </w:t>
      </w:r>
    </w:p>
    <w:p>
      <w:pPr>
        <w:autoSpaceDN w:val="0"/>
        <w:autoSpaceDE w:val="0"/>
        <w:widowControl/>
        <w:spacing w:line="200" w:lineRule="exact" w:before="3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Externally Financed Outputs (EFO)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certain arrangements (such as Externally Financed Outputs), IBRD enters into agreements with donors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which it receives grants to finance specified IBRD outputs or services. These funds may be utilized only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purposes specified in the agreements and are, therefore, considered restricted until IBRD has fulfilled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those purposes. Management excludes amounts arising from these arrangements from allocable income because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no discretion over the use of the related funds. In line with this, in FY25, income of $3 million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transferred out of Restricted Retained Earnings within Retained Earnings (Table 11). Consequently, the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balance of these restricted funds decreased by the same amount. </w:t>
      </w:r>
    </w:p>
    <w:p>
      <w:pPr>
        <w:autoSpaceDN w:val="0"/>
        <w:autoSpaceDE w:val="0"/>
        <w:widowControl/>
        <w:spacing w:line="200" w:lineRule="exact" w:before="3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RAMP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 Board-approved framework, RAMP fees are dedicated for the purpose of providing technical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assistance and asset management services to external clients. Due to the potential timing mismatch between fee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(recognized as earned) and program expenditures (recognized when incurred), fees earned in a given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fiscal year may be used to provide services in a future fiscal year. To ensure that RAMP revenues are only used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delivery of RAMP services, and not allocated for other purposes, any difference between fee revenue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expenses from RAMP included in reported net income are excluded to arrive at allocable income. Allocable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for FY25 was adjusted for the $1 million excess of RAMP expenses over the fee revenue from RAMP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(Table 9) and is reflected in Other Reserves within Retained Earnings. </w:t>
      </w:r>
    </w:p>
    <w:p>
      <w:pPr>
        <w:autoSpaceDN w:val="0"/>
        <w:autoSpaceDE w:val="0"/>
        <w:widowControl/>
        <w:spacing w:line="200" w:lineRule="exact" w:before="3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LPF1 and GFPP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LPF1 was funded by IBRD to finance eligible activities in order to incentivize solutions to address global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challenges with cross-border externalities. GFPP was funded by IBRD to provide grants to support preparation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financed lending operations. Unutilized funds in both facilities were invested in an investment pool and recorded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 fair value in IBRD’s Investment-Trading portfolio. Periodic changes in the investment value are recorded as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22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unrealized mark-to-market gains/losses on trading portfolios and are excluded to arrive at Allocable income.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Allocable income for FY25 was adjusted for $24 million unrealized mark-to-market gains on investments related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LPF1 and GFPP and is reflected in Other Reserves within Retained Earnings.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Unrealized mark-to-market gains (losses) on certain positions in the investments-trading portfolios, net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This adjustment applies to trades where the unrealized gains and losses on derivative forward contracts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recorded in the Statements of Income and the underlying physical assets being purchased and sold are recorded 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amortized cost during the holding period. In these cases, the unrealized gains and losses on the forward contract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 the end of the reporting period, if any, are excluded from net income when calculating allocable income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reflected in Restricted Retained Earnings within Retained Earnings (Table 11). As of June 30, 2025, there were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 active trades requiring adjustment.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Income Allocation and Retained Earnings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Allocable income is net income after certain adjustments (Table 9). The Governors determine the allocation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at the end of every fiscal year into the following categories: General reserves, Surplus, and transfers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IDA. In making their decisions, Governors take the overall financial standing of IBRD into consideration.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Annual IDA transfer recommendations are subject to approval by the Governors as part of the net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process in accordance with IBRD’s Articles. There is a Board approved formula-based approach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determining IBRD’s transfers to IDA. The approach links proposed transfers to IDA with IBRD’s allocable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for the year. Cumulative transfers to IDA, since IDA’s first replenishment totaled $17.3 billion.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Allocable income in FY25 was $2,384 million ($1,849 million—FY24), and out of this, the Board approved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of $1,182 million ($834 million—FY24) to the General Reserve on August 7, 2025 (August 6,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2024—FY24), and the Board recommended to IBRD’s Board of Governors a transfer of $782 million ($515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million—FY24) to IDA and $420 million ($500 million—FY24) to Surplus. Further, the Board recommended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Board of Governors the following transfers out of Surplus: $300 million transfer to the IBRD Trust Fund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Gaza and West Bank, $100 million to GFPP and $20 million to LPF1 (Table 11).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shown in Table 9, the Board recommends and the IBRD’s Governors approve allocations of income, at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end of each fiscal year, to augment reserves and support developmental activities. Therefore, reserves in the form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Retained Earnings consist of cumulative amounts allocated to components of Retained Earnings (see Notes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Financial Statements, Note A: Summary of Significant Accounting and Related Policies and Note G: Board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Governors Approved Transfers). </w:t>
      </w:r>
    </w:p>
    <w:p>
      <w:pPr>
        <w:autoSpaceDN w:val="0"/>
        <w:autoSpaceDE w:val="0"/>
        <w:widowControl/>
        <w:spacing w:line="200" w:lineRule="exact" w:before="4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components of Retained Earnings, reflecting the subsequent recommended allocations of FY25 net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the Board are summarized below: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11: Retained Earnings Composition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20"/>
        </w:trPr>
        <w:tc>
          <w:tcPr>
            <w:tcW w:type="dxa" w:w="232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Special </w:t>
            </w:r>
          </w:p>
        </w:tc>
        <w:tc>
          <w:tcPr>
            <w:tcW w:type="dxa" w:w="74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General </w:t>
            </w:r>
          </w:p>
        </w:tc>
        <w:tc>
          <w:tcPr>
            <w:tcW w:type="dxa" w:w="13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Pension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Cumulative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Unallocated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Restricted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Other </w:t>
            </w:r>
          </w:p>
        </w:tc>
        <w:tc>
          <w:tcPr>
            <w:tcW w:type="dxa" w:w="86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60"/>
        </w:trPr>
        <w:tc>
          <w:tcPr>
            <w:tcW w:type="dxa" w:w="936"/>
            <w:vMerge/>
            <w:tcBorders>
              <w:bottom w:sz="8.0" w:val="single" w:color="#221F1F"/>
            </w:tcBorders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6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Fair value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Income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Retained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>
              <w:bottom w:sz="8.0" w:val="single" w:color="#221F1F"/>
            </w:tcBorders>
          </w:tcPr>
          <w:p/>
        </w:tc>
      </w:tr>
      <w:tr>
        <w:trPr>
          <w:trHeight w:hRule="exact" w:val="194"/>
        </w:trPr>
        <w:tc>
          <w:tcPr>
            <w:tcW w:type="dxa" w:w="936"/>
            <w:vMerge/>
            <w:tcBorders>
              <w:bottom w:sz="8.0" w:val="single" w:color="#221F1F"/>
            </w:tcBorders>
          </w:tcPr>
          <w:p/>
        </w:tc>
        <w:tc>
          <w:tcPr>
            <w:tcW w:type="dxa" w:w="62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Reserve </w:t>
            </w:r>
          </w:p>
        </w:tc>
        <w:tc>
          <w:tcPr>
            <w:tcW w:type="dxa" w:w="68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Reserve </w:t>
            </w:r>
          </w:p>
        </w:tc>
        <w:tc>
          <w:tcPr>
            <w:tcW w:type="dxa" w:w="143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Reserve Surplus </w:t>
            </w:r>
          </w:p>
        </w:tc>
        <w:tc>
          <w:tcPr>
            <w:tcW w:type="dxa" w:w="9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Adjustments </w:t>
            </w:r>
          </w:p>
        </w:tc>
        <w:tc>
          <w:tcPr>
            <w:tcW w:type="dxa" w:w="93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(Loss) </w:t>
            </w:r>
          </w:p>
        </w:tc>
        <w:tc>
          <w:tcPr>
            <w:tcW w:type="dxa" w:w="78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Earnings </w:t>
            </w:r>
          </w:p>
        </w:tc>
        <w:tc>
          <w:tcPr>
            <w:tcW w:type="dxa" w:w="6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Reserves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936"/>
            <w:vMerge/>
            <w:tcBorders>
              <w:bottom w:sz="8.0" w:val="single" w:color="#221F1F"/>
            </w:tcBorders>
          </w:tcPr>
          <w:p/>
        </w:tc>
      </w:tr>
      <w:tr>
        <w:trPr>
          <w:trHeight w:hRule="exact" w:val="318"/>
        </w:trPr>
        <w:tc>
          <w:tcPr>
            <w:tcW w:type="dxa" w:w="232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of June 30, 2025 . . . . .</w:t>
            </w:r>
          </w:p>
        </w:tc>
        <w:tc>
          <w:tcPr>
            <w:tcW w:type="dxa" w:w="2754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$293 $34,058 $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987 $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$1,390 </w:t>
            </w:r>
          </w:p>
        </w:tc>
        <w:tc>
          <w:tcPr>
            <w:tcW w:type="dxa" w:w="93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2,915 </w:t>
            </w:r>
          </w:p>
        </w:tc>
        <w:tc>
          <w:tcPr>
            <w:tcW w:type="dxa" w:w="78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</w:p>
        </w:tc>
        <w:tc>
          <w:tcPr>
            <w:tcW w:type="dxa" w:w="68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$729 </w:t>
            </w:r>
          </w:p>
        </w:tc>
        <w:tc>
          <w:tcPr>
            <w:tcW w:type="dxa" w:w="8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$40,383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Recommended: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income allocation . . 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1,182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303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(2,133)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(21)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20"/>
        <w:ind w:left="320" w:right="7332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Board of Governors-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approved transfers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funded from Surplus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64"/>
        </w:trPr>
        <w:tc>
          <w:tcPr>
            <w:tcW w:type="dxa" w:w="2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and other transfers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(420)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300 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120 </w:t>
            </w:r>
          </w:p>
        </w:tc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Total after recommended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8"/>
        </w:trPr>
        <w:tc>
          <w:tcPr>
            <w:tcW w:type="dxa" w:w="23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allocations . . . . . . . . . .</w:t>
            </w:r>
          </w:p>
        </w:tc>
        <w:tc>
          <w:tcPr>
            <w:tcW w:type="dxa" w:w="28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$293 $35,240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$1,290 $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$1,642 </w:t>
            </w:r>
          </w:p>
        </w:tc>
        <w:tc>
          <w:tcPr>
            <w:tcW w:type="dxa" w:w="9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1,082 </w:t>
            </w:r>
          </w:p>
        </w:tc>
        <w:tc>
          <w:tcPr>
            <w:tcW w:type="dxa" w:w="1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6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$828 </w:t>
            </w:r>
          </w:p>
        </w:tc>
        <w:tc>
          <w:tcPr>
            <w:tcW w:type="dxa" w:w="7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$40,383 </w:t>
            </w:r>
          </w:p>
        </w:tc>
      </w:tr>
      <w:tr>
        <w:trPr>
          <w:trHeight w:hRule="exact" w:val="180"/>
        </w:trPr>
        <w:tc>
          <w:tcPr>
            <w:tcW w:type="dxa" w:w="23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8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Comprised mainly of currency remeasurement gains/losses, unutilized portion of the IBRD Fund for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Innovative Global Public Goods Solutions (subsequently renamed the IBRD Surplus-Funded Livable Planet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Fund or LPF1) and the unutilized portion of the GFPP.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Included as a component of usable equity in Table 33.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 concurrent transfer is recommended to be made from Surplus to Unallocated Net Income (Loss) and/or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Other Reserves for all transfers reported in the Statements of Income and authorized to be funded from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Surplus. </w:t>
      </w:r>
    </w:p>
    <w:p>
      <w:pPr>
        <w:autoSpaceDN w:val="0"/>
        <w:autoSpaceDE w:val="0"/>
        <w:widowControl/>
        <w:spacing w:line="200" w:lineRule="exact" w:before="638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IV: LENDING ACTIVITIES </w:t>
      </w:r>
    </w:p>
    <w:p>
      <w:pPr>
        <w:autoSpaceDN w:val="0"/>
        <w:autoSpaceDE w:val="0"/>
        <w:widowControl/>
        <w:spacing w:line="240" w:lineRule="exact" w:before="1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provides financing instruments and knowledge services to creditworthy middle-income and low-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countries, while ensuring that social, environmental, and governance considerations are taken into account.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 teams with an understanding of each country’s circumstances work with clients to tailor the mix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instruments, products, and services. For FY26, countries with 2025 per capita Gross National Income (GNI)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more than $1,325 are eligible for new lending from IBRD.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 its country-based engagement, IBRD focuses on borrower countries’ priorities while also taking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consideration its corporate priorities, including addressing global challenges.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Projects and programs supported by IBRD are designed to achieve a positive social impact and undergo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rigorous review and internal approval process, aimed at safeguarding equitable and sustainable economic growth,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includes early screening to identify environmental and social impacts and designing mitigation actions.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 cycles involve identifying and appraising a project and approving and disbursing the funds.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response to emergency situations, such as natural disasters and crises, IBRD is able to accelerate the preparation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approval cycle.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Loan disbursements must meet the requirements set out in loan agreements. During implementation of IBRD-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supported operations, IBRD’s staff review progress, monitor compliance with IBRD policies, and help resolve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problems that may arise. The Independent Evaluation Group, an independent unit reporting directly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Board, evaluates the extent to which operations have met their development objectives.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IBRD loans, are made to, or guaranteed by, member countries. IBRD may also make loans to IFC without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guarantee. In most cases, IBRD’s Board approves each loan and guarantee after appraisal of a project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staff. Under the Multiphase Programmatic Approach, the Board may approve an overall program framework,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 envelope and the first appraised phase, and then authorize Management to appraise and commit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 for later program phases.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Net Lending Commitments and Gross Disbursements </w:t>
      </w:r>
    </w:p>
    <w:p>
      <w:pPr>
        <w:autoSpaceDN w:val="0"/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provided $40.9 billion of new net loan commitments in FY25, through 139 operations, an increase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$3.3 billion (9%) compared to FY24.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12: Net Commitments by Region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54"/>
        </w:trPr>
        <w:tc>
          <w:tcPr>
            <w:tcW w:type="dxa" w:w="517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8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2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of total </w:t>
            </w:r>
          </w:p>
        </w:tc>
        <w:tc>
          <w:tcPr>
            <w:tcW w:type="dxa" w:w="85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7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8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of total </w:t>
            </w:r>
          </w:p>
        </w:tc>
        <w:tc>
          <w:tcPr>
            <w:tcW w:type="dxa" w:w="84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Variance </w:t>
            </w:r>
          </w:p>
        </w:tc>
      </w:tr>
      <w:tr>
        <w:trPr>
          <w:trHeight w:hRule="exact" w:val="310"/>
        </w:trPr>
        <w:tc>
          <w:tcPr>
            <w:tcW w:type="dxa" w:w="517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Eastern and Southern Africa . . . . . . . . . . . . . . . . . . . . . . . . . . .</w:t>
            </w:r>
          </w:p>
        </w:tc>
        <w:tc>
          <w:tcPr>
            <w:tcW w:type="dxa" w:w="85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2,920 </w:t>
            </w:r>
          </w:p>
        </w:tc>
        <w:tc>
          <w:tcPr>
            <w:tcW w:type="dxa" w:w="168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3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7%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2,914 </w:t>
            </w:r>
          </w:p>
        </w:tc>
        <w:tc>
          <w:tcPr>
            <w:tcW w:type="dxa" w:w="68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8% </w:t>
            </w:r>
          </w:p>
        </w:tc>
        <w:tc>
          <w:tcPr>
            <w:tcW w:type="dxa" w:w="5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 </w:t>
            </w:r>
          </w:p>
        </w:tc>
      </w:tr>
      <w:tr>
        <w:trPr>
          <w:trHeight w:hRule="exact" w:val="240"/>
        </w:trPr>
        <w:tc>
          <w:tcPr>
            <w:tcW w:type="dxa" w:w="5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Western and Central Africa . . . . . . .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912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1,725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(813) </w:t>
            </w:r>
          </w:p>
        </w:tc>
      </w:tr>
      <w:tr>
        <w:trPr>
          <w:trHeight w:hRule="exact" w:val="240"/>
        </w:trPr>
        <w:tc>
          <w:tcPr>
            <w:tcW w:type="dxa" w:w="5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East Asia and Pacific . . . . . . . . . . . .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6,430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6,788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(358) </w:t>
            </w:r>
          </w:p>
        </w:tc>
      </w:tr>
      <w:tr>
        <w:trPr>
          <w:trHeight w:hRule="exact" w:val="240"/>
        </w:trPr>
        <w:tc>
          <w:tcPr>
            <w:tcW w:type="dxa" w:w="5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Europe and Central Asia . . . . . . . . . .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10,478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9,302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1,176 </w:t>
            </w:r>
          </w:p>
        </w:tc>
      </w:tr>
      <w:tr>
        <w:trPr>
          <w:trHeight w:hRule="exact" w:val="240"/>
        </w:trPr>
        <w:tc>
          <w:tcPr>
            <w:tcW w:type="dxa" w:w="5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Latin America and the Caribbean . . .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12,389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9,463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2,926 </w:t>
            </w:r>
          </w:p>
        </w:tc>
      </w:tr>
      <w:tr>
        <w:trPr>
          <w:trHeight w:hRule="exact" w:val="240"/>
        </w:trPr>
        <w:tc>
          <w:tcPr>
            <w:tcW w:type="dxa" w:w="5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Middle East and North Africa . . . . .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5,166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4,233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933 </w:t>
            </w:r>
          </w:p>
        </w:tc>
      </w:tr>
      <w:tr>
        <w:trPr>
          <w:trHeight w:hRule="exact" w:val="256"/>
        </w:trPr>
        <w:tc>
          <w:tcPr>
            <w:tcW w:type="dxa" w:w="51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South Asia . . . . . . . . . . . . . . . . . . . . . . . . . . . . . . . . . . . . . . . .</w:t>
            </w:r>
          </w:p>
        </w:tc>
        <w:tc>
          <w:tcPr>
            <w:tcW w:type="dxa" w:w="8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2,590 </w:t>
            </w:r>
          </w:p>
        </w:tc>
        <w:tc>
          <w:tcPr>
            <w:tcW w:type="dxa" w:w="7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 </w:t>
            </w:r>
          </w:p>
        </w:tc>
        <w:tc>
          <w:tcPr>
            <w:tcW w:type="dxa" w:w="91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3,143 </w:t>
            </w:r>
          </w:p>
        </w:tc>
        <w:tc>
          <w:tcPr>
            <w:tcW w:type="dxa" w:w="6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8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(553) </w:t>
            </w:r>
          </w:p>
        </w:tc>
      </w:tr>
      <w:tr>
        <w:trPr>
          <w:trHeight w:hRule="exact" w:val="336"/>
        </w:trPr>
        <w:tc>
          <w:tcPr>
            <w:tcW w:type="dxa" w:w="51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</w:t>
            </w:r>
          </w:p>
        </w:tc>
        <w:tc>
          <w:tcPr>
            <w:tcW w:type="dxa" w:w="8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$40,885 </w:t>
            </w:r>
          </w:p>
        </w:tc>
        <w:tc>
          <w:tcPr>
            <w:tcW w:type="dxa" w:w="168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$37,568 </w:t>
            </w:r>
          </w:p>
        </w:tc>
        <w:tc>
          <w:tcPr>
            <w:tcW w:type="dxa" w:w="1524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7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$3,317 </w:t>
            </w:r>
          </w:p>
        </w:tc>
      </w:tr>
    </w:tbl>
    <w:p>
      <w:pPr>
        <w:autoSpaceDN w:val="0"/>
        <w:autoSpaceDE w:val="0"/>
        <w:widowControl/>
        <w:spacing w:line="200" w:lineRule="exact" w:before="12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25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13: Gross Disbursements by Region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54"/>
        </w:trPr>
        <w:tc>
          <w:tcPr>
            <w:tcW w:type="dxa" w:w="514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84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9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of total </w:t>
            </w:r>
          </w:p>
        </w:tc>
        <w:tc>
          <w:tcPr>
            <w:tcW w:type="dxa" w:w="88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5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of total </w:t>
            </w:r>
          </w:p>
        </w:tc>
        <w:tc>
          <w:tcPr>
            <w:tcW w:type="dxa" w:w="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Variance </w:t>
            </w:r>
          </w:p>
        </w:tc>
      </w:tr>
      <w:tr>
        <w:trPr>
          <w:trHeight w:hRule="exact" w:val="310"/>
        </w:trPr>
        <w:tc>
          <w:tcPr>
            <w:tcW w:type="dxa" w:w="514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Eastern and Southern Africa . . . . . . . . . . . . . . . . . . . . . . . . . .</w:t>
            </w:r>
          </w:p>
        </w:tc>
        <w:tc>
          <w:tcPr>
            <w:tcW w:type="dxa" w:w="84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1,228 </w:t>
            </w:r>
          </w:p>
        </w:tc>
        <w:tc>
          <w:tcPr>
            <w:tcW w:type="dxa" w:w="168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3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4%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3,126 </w:t>
            </w:r>
          </w:p>
        </w:tc>
        <w:tc>
          <w:tcPr>
            <w:tcW w:type="dxa" w:w="1576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3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9% $(1,898)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Western and Central Africa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1,263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240 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1,023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East Asia and Pacific . . .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4,064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5,492 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(1,428)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Europe and Central Asia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8,056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10,574 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(2,518)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Latin America and the Caribbean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7,828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6,305 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1,523 </w:t>
            </w:r>
          </w:p>
        </w:tc>
      </w:tr>
      <w:tr>
        <w:trPr>
          <w:trHeight w:hRule="exact" w:val="240"/>
        </w:trPr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Middle East and North Africa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4,376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3,332 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1,044 </w:t>
            </w:r>
          </w:p>
        </w:tc>
      </w:tr>
      <w:tr>
        <w:trPr>
          <w:trHeight w:hRule="exact" w:val="256"/>
        </w:trPr>
        <w:tc>
          <w:tcPr>
            <w:tcW w:type="dxa" w:w="514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South Asia . . . . . . . . . . . . . . . . . . . . . . . . . . . . . . . . . . . . . . . .</w:t>
            </w:r>
          </w:p>
        </w:tc>
        <w:tc>
          <w:tcPr>
            <w:tcW w:type="dxa" w:w="8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3,964 </w:t>
            </w:r>
          </w:p>
        </w:tc>
        <w:tc>
          <w:tcPr>
            <w:tcW w:type="dxa" w:w="7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 </w:t>
            </w:r>
          </w:p>
        </w:tc>
        <w:tc>
          <w:tcPr>
            <w:tcW w:type="dxa" w:w="8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4,381 </w:t>
            </w:r>
          </w:p>
        </w:tc>
        <w:tc>
          <w:tcPr>
            <w:tcW w:type="dxa" w:w="7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 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(417) </w:t>
            </w:r>
          </w:p>
        </w:tc>
      </w:tr>
      <w:tr>
        <w:trPr>
          <w:trHeight w:hRule="exact" w:val="336"/>
        </w:trPr>
        <w:tc>
          <w:tcPr>
            <w:tcW w:type="dxa" w:w="514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</w:t>
            </w:r>
          </w:p>
        </w:tc>
        <w:tc>
          <w:tcPr>
            <w:tcW w:type="dxa" w:w="8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$30,779 </w:t>
            </w:r>
          </w:p>
        </w:tc>
        <w:tc>
          <w:tcPr>
            <w:tcW w:type="dxa" w:w="168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$33,450 </w:t>
            </w:r>
          </w:p>
        </w:tc>
        <w:tc>
          <w:tcPr>
            <w:tcW w:type="dxa" w:w="157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7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$(2,671) </w:t>
            </w:r>
          </w:p>
        </w:tc>
      </w:tr>
    </w:tbl>
    <w:p>
      <w:pPr>
        <w:autoSpaceDN w:val="0"/>
        <w:autoSpaceDE w:val="0"/>
        <w:widowControl/>
        <w:spacing w:line="220" w:lineRule="exact" w:before="4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Lending Categories </w:t>
      </w:r>
    </w:p>
    <w:p>
      <w:pPr>
        <w:autoSpaceDN w:val="0"/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lending is classified in three categories: investment project financing, development policy financing,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program-for-results (Figure 10).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Investment Project Financing (IPF) </w:t>
      </w:r>
    </w:p>
    <w:p>
      <w:pPr>
        <w:autoSpaceDN w:val="0"/>
        <w:autoSpaceDE w:val="0"/>
        <w:widowControl/>
        <w:spacing w:line="240" w:lineRule="exact" w:before="122" w:after="0"/>
        <w:ind w:left="120" w:right="8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IPF provides financing for a wide range of activities aimed at creating the physical and social infrastructure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necessary to reduce poverty and create sustainable development. IPF generally disburses over 5 to 10-years.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FY25 net IPF commitments were $17.5 billion, compared with $14.6 billion in FY24.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Development Policy Financing (DPF) </w:t>
      </w:r>
    </w:p>
    <w:p>
      <w:pPr>
        <w:autoSpaceDN w:val="0"/>
        <w:autoSpaceDE w:val="0"/>
        <w:widowControl/>
        <w:spacing w:line="240" w:lineRule="exact" w:before="122" w:after="0"/>
        <w:ind w:left="120" w:right="8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DPF supports borrowers in achieving sustainable development through programs of policy and institutional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actions. Examples of DPF projects include strengthening public financial management, improving the 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climate, addressing bottlenecks to improve service delivery, and diversifying the economy. DPF supports reforms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 non-earmarked general budget financing. DPF provides fast-disbursing financing to help borrowers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address actual or anticipated financing requirements. FY25 net DPF commitments were $16.6 billion, compared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$15.9 billion in FY24.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Program-for-Results (PforR) </w:t>
      </w:r>
    </w:p>
    <w:p>
      <w:pPr>
        <w:autoSpaceDN w:val="0"/>
        <w:autoSpaceDE w:val="0"/>
        <w:widowControl/>
        <w:spacing w:line="240" w:lineRule="exact" w:before="122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PforR helps countries improve the design and implementation of their development programs and achieve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specific results by strengthening institutions and building capacity. PforR disburses when agreed results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achieved and verified. Results are identified and agreed upon during the loan preparation stage. FY25 net PforR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commitments were $6.8 billion, compared with $7.1 billion in FY24. </w:t>
      </w:r>
    </w:p>
    <w:p>
      <w:pPr>
        <w:autoSpaceDN w:val="0"/>
        <w:autoSpaceDE w:val="0"/>
        <w:widowControl/>
        <w:spacing w:line="200" w:lineRule="exact" w:before="31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26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10: Percentage Share of Lending Categories for Annual Net Commitments </w:t>
      </w:r>
    </w:p>
    <w:p>
      <w:pPr>
        <w:autoSpaceDN w:val="0"/>
        <w:autoSpaceDE w:val="0"/>
        <w:widowControl/>
        <w:spacing w:line="160" w:lineRule="exact" w:before="150" w:after="158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billions of U.S. dollars, except rates in percentages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06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0" w:after="0"/>
              <w:ind w:left="0" w:right="0" w:firstLine="0"/>
              <w:jc w:val="center"/>
            </w:pPr>
            <w:r>
              <w:rPr>
                <w:u w:val="single" w:color="221f1f"/>
                <w:rFonts w:ascii="ArialMT" w:hAnsi="ArialMT" w:eastAsia="ArialMT"/>
                <w:b w:val="0"/>
                <w:i w:val="0"/>
                <w:color w:val="231F20"/>
                <w:sz w:val="14"/>
              </w:rPr>
              <w:t>% of total net commitments</w:t>
            </w:r>
          </w:p>
        </w:tc>
        <w:tc>
          <w:tcPr>
            <w:tcW w:type="dxa" w:w="4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100%</w:t>
            </w:r>
          </w:p>
        </w:tc>
        <w:tc>
          <w:tcPr>
            <w:tcW w:type="dxa" w:w="11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$30.5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$33.1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$38.6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$37.6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$40.9</w:t>
            </w:r>
          </w:p>
        </w:tc>
      </w:tr>
      <w:tr>
        <w:trPr>
          <w:trHeight w:hRule="exact" w:val="36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6048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1008"/>
              <w:gridCol w:w="1008"/>
              <w:gridCol w:w="1008"/>
              <w:gridCol w:w="1008"/>
              <w:gridCol w:w="1008"/>
              <w:gridCol w:w="1008"/>
            </w:tblGrid>
            <w:tr>
              <w:trPr>
                <w:trHeight w:hRule="exact" w:val="430"/>
              </w:trPr>
              <w:tc>
                <w:tcPr>
                  <w:tcW w:type="dxa" w:w="4996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8.0000000000001" w:type="dxa"/>
                  </w:tblPr>
                  <w:tblGrid>
                    <w:gridCol w:w="999"/>
                    <w:gridCol w:w="999"/>
                    <w:gridCol w:w="999"/>
                    <w:gridCol w:w="999"/>
                    <w:gridCol w:w="999"/>
                  </w:tblGrid>
                  <w:tr>
                    <w:trPr>
                      <w:trHeight w:hRule="exact" w:val="378"/>
                    </w:trPr>
                    <w:tc>
                      <w:tcPr>
                        <w:tcW w:type="dxa" w:w="480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0" w:lineRule="exact" w:before="1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4"/>
                          </w:rPr>
                          <w:t>17%</w:t>
                        </w:r>
                      </w:p>
                    </w:tc>
                    <w:tc>
                      <w:tcPr>
                        <w:tcW w:type="dxa" w:w="10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26.0000000000002" w:type="dxa"/>
                        </w:tblPr>
                        <w:tblGrid>
                          <w:gridCol w:w="1006"/>
                        </w:tblGrid>
                        <w:tr>
                          <w:trPr>
                            <w:trHeight w:hRule="exact" w:val="306"/>
                          </w:trPr>
                          <w:tc>
                            <w:tcPr>
                              <w:tcW w:type="dxa" w:w="480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13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18%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0.0" w:type="dxa"/>
                        </w:tblPr>
                        <w:tblGrid>
                          <w:gridCol w:w="990"/>
                        </w:tblGrid>
                        <w:tr>
                          <w:trPr>
                            <w:trHeight w:hRule="exact" w:val="310"/>
                          </w:trPr>
                          <w:tc>
                            <w:tcPr>
                              <w:tcW w:type="dxa" w:w="480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38" w:lineRule="exact" w:before="14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07.99999999999955" w:type="dxa"/>
                        </w:tblPr>
                        <w:tblGrid>
                          <w:gridCol w:w="988"/>
                        </w:tblGrid>
                        <w:tr>
                          <w:trPr>
                            <w:trHeight w:hRule="exact" w:val="310"/>
                          </w:trPr>
                          <w:tc>
                            <w:tcPr>
                              <w:tcW w:type="dxa" w:w="480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38" w:lineRule="exact" w:before="14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0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26.0000000000002" w:type="dxa"/>
                        </w:tblPr>
                        <w:tblGrid>
                          <w:gridCol w:w="1006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480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10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16%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758"/>
                    </w:trPr>
                    <w:tc>
                      <w:tcPr>
                        <w:tcW w:type="dxa" w:w="480"/>
                        <w:tcBorders/>
                        <w:shd w:fill="4d819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0" w:lineRule="exact" w:before="30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4"/>
                          </w:rPr>
                          <w:t>35%</w:t>
                        </w:r>
                      </w:p>
                    </w:tc>
                    <w:tc>
                      <w:tcPr>
                        <w:tcW w:type="dxa" w:w="10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26.0000000000002" w:type="dxa"/>
                        </w:tblPr>
                        <w:tblGrid>
                          <w:gridCol w:w="1006"/>
                        </w:tblGrid>
                        <w:tr>
                          <w:trPr>
                            <w:trHeight w:hRule="exact" w:val="540"/>
                          </w:trPr>
                          <w:tc>
                            <w:tcPr>
                              <w:tcW w:type="dxa" w:w="480"/>
                              <w:tcBorders/>
                              <w:shd w:fill="4d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3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40%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0.0" w:type="dxa"/>
                        </w:tblPr>
                        <w:tblGrid>
                          <w:gridCol w:w="990"/>
                        </w:tblGrid>
                        <w:tr>
                          <w:trPr>
                            <w:trHeight w:hRule="exact" w:val="498"/>
                          </w:trPr>
                          <w:tc>
                            <w:tcPr>
                              <w:tcW w:type="dxa" w:w="480"/>
                              <w:tcBorders/>
                              <w:shd w:fill="4d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31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36%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07.99999999999955" w:type="dxa"/>
                        </w:tblPr>
                        <w:tblGrid>
                          <w:gridCol w:w="988"/>
                        </w:tblGrid>
                        <w:tr>
                          <w:trPr>
                            <w:trHeight w:hRule="exact" w:val="558"/>
                          </w:trPr>
                          <w:tc>
                            <w:tcPr>
                              <w:tcW w:type="dxa" w:w="480"/>
                              <w:tcBorders/>
                              <w:shd w:fill="4d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37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42%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0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26.0000000000002" w:type="dxa"/>
                        </w:tblPr>
                        <w:tblGrid>
                          <w:gridCol w:w="1006"/>
                        </w:tblGrid>
                        <w:tr>
                          <w:trPr>
                            <w:trHeight w:hRule="exact" w:val="548"/>
                          </w:trPr>
                          <w:tc>
                            <w:tcPr>
                              <w:tcW w:type="dxa" w:w="480"/>
                              <w:tcBorders/>
                              <w:shd w:fill="4d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3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4"/>
                                </w:rPr>
                                <w:t>41%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996"/>
                    </w:trPr>
                    <w:tc>
                      <w:tcPr>
                        <w:tcW w:type="dxa" w:w="480"/>
                        <w:tcBorders/>
                        <w:shd w:fill="9ab6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0" w:lineRule="exact" w:before="4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4"/>
                          </w:rPr>
                          <w:t xml:space="preserve">48% </w:t>
                        </w:r>
                      </w:p>
                    </w:tc>
                    <w:tc>
                      <w:tcPr>
                        <w:tcW w:type="dxa" w:w="10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26.0000000000002" w:type="dxa"/>
                        </w:tblPr>
                        <w:tblGrid>
                          <w:gridCol w:w="1006"/>
                        </w:tblGrid>
                        <w:tr>
                          <w:trPr>
                            <w:trHeight w:hRule="exact" w:val="858"/>
                          </w:trPr>
                          <w:tc>
                            <w:tcPr>
                              <w:tcW w:type="dxa" w:w="480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3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4"/>
                                </w:rPr>
                                <w:t xml:space="preserve">42%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9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0.0" w:type="dxa"/>
                        </w:tblPr>
                        <w:tblGrid>
                          <w:gridCol w:w="990"/>
                        </w:tblGrid>
                        <w:tr>
                          <w:trPr>
                            <w:trHeight w:hRule="exact" w:val="928"/>
                          </w:trPr>
                          <w:tc>
                            <w:tcPr>
                              <w:tcW w:type="dxa" w:w="480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40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4"/>
                                </w:rPr>
                                <w:t>45%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07.99999999999955" w:type="dxa"/>
                        </w:tblPr>
                        <w:tblGrid>
                          <w:gridCol w:w="988"/>
                        </w:tblGrid>
                        <w:tr>
                          <w:trPr>
                            <w:trHeight w:hRule="exact" w:val="808"/>
                          </w:trPr>
                          <w:tc>
                            <w:tcPr>
                              <w:tcW w:type="dxa" w:w="480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38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4"/>
                                </w:rPr>
                                <w:t>39%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0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26.0000000000002" w:type="dxa"/>
                        </w:tblPr>
                        <w:tblGrid>
                          <w:gridCol w:w="1006"/>
                        </w:tblGrid>
                        <w:tr>
                          <w:trPr>
                            <w:trHeight w:hRule="exact" w:val="892"/>
                          </w:trPr>
                          <w:tc>
                            <w:tcPr>
                              <w:tcW w:type="dxa" w:w="480"/>
                              <w:tcBorders/>
                              <w:shd w:fill="9ab6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0" w:lineRule="exact" w:before="38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4"/>
                                </w:rPr>
                                <w:t>43%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8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8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8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8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8"/>
                  <w:tcBorders>
                    <w:start w:sz="6.0" w:val="single" w:color="#9B9D9F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040"/>
            <w:vMerge/>
            <w:tcBorders/>
          </w:tcPr>
          <w:p/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80%</w:t>
            </w:r>
          </w:p>
        </w:tc>
        <w:tc>
          <w:tcPr>
            <w:tcW w:type="dxa" w:w="7280"/>
            <w:gridSpan w:val="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040"/>
            <w:vMerge/>
            <w:tcBorders/>
          </w:tcPr>
          <w:p/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60%</w:t>
            </w:r>
          </w:p>
        </w:tc>
        <w:tc>
          <w:tcPr>
            <w:tcW w:type="dxa" w:w="7280"/>
            <w:gridSpan w:val="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40"/>
            <w:vMerge/>
            <w:tcBorders/>
          </w:tcPr>
          <w:p/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40%</w:t>
            </w:r>
          </w:p>
        </w:tc>
        <w:tc>
          <w:tcPr>
            <w:tcW w:type="dxa" w:w="7280"/>
            <w:gridSpan w:val="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040"/>
            <w:vMerge/>
            <w:tcBorders/>
          </w:tcPr>
          <w:p/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20%</w:t>
            </w:r>
          </w:p>
        </w:tc>
        <w:tc>
          <w:tcPr>
            <w:tcW w:type="dxa" w:w="7280"/>
            <w:gridSpan w:val="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040"/>
            <w:vMerge/>
            <w:tcBorders/>
          </w:tcPr>
          <w:p/>
        </w:tc>
        <w:tc>
          <w:tcPr>
            <w:tcW w:type="dxa" w:w="4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0%</w:t>
            </w:r>
          </w:p>
        </w:tc>
        <w:tc>
          <w:tcPr>
            <w:tcW w:type="dxa" w:w="7280"/>
            <w:gridSpan w:val="7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FY21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FY22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FY23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FY24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0" w:right="1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FY25</w:t>
            </w:r>
          </w:p>
        </w:tc>
      </w:tr>
      <w:tr>
        <w:trPr>
          <w:trHeight w:hRule="exact" w:val="13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Investment Project</w:t>
            </w:r>
          </w:p>
        </w:tc>
        <w:tc>
          <w:tcPr>
            <w:tcW w:type="dxa" w:w="1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Development Policy</w:t>
            </w:r>
          </w:p>
        </w:tc>
        <w:tc>
          <w:tcPr>
            <w:tcW w:type="dxa" w:w="2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Program-for-Results</w:t>
            </w:r>
          </w:p>
        </w:tc>
      </w:tr>
    </w:tbl>
    <w:p>
      <w:pPr>
        <w:autoSpaceDN w:val="0"/>
        <w:autoSpaceDE w:val="0"/>
        <w:widowControl/>
        <w:spacing w:line="220" w:lineRule="exact" w:before="4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Currently Available Lending Products </w:t>
      </w:r>
    </w:p>
    <w:p>
      <w:pPr>
        <w:autoSpaceDN w:val="0"/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86 member countries were eligible to borrow from IBRD. See Appendix for a list of eligible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IBRD Flexible Loans (IFLs)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IFLs allow borrowers to customize their repayment terms (i.e., grace period, repayment period, and amortization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profile) to meet their debt management or project needs. The IFL previously offered two types of loan terms: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variable-spread terms and fixed-spread terms. Effective April 1, 2021, IBRD’s offering of loans on fixed spread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terms as well as a related conversion feature from the variable spread terms to fixed spread terms was suspended </w:t>
      </w:r>
      <w:r>
        <w:rPr>
          <w:rFonts w:ascii="Times" w:hAnsi="Times" w:eastAsia="Times"/>
          <w:b w:val="0"/>
          <w:i w:val="0"/>
          <w:color w:val="231F20"/>
          <w:sz w:val="20"/>
        </w:rPr>
        <w:t>(see Section IX: Risk Management). As of June 30, 2025, 78% of IBRD’s loans outstanding carried variable-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spread terms and 22% had fixed-spread terms. See Table 16 for details of loan terms for IFL loans.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IFLs include options to manage the currency and/or interest rate risk over the life of the loan. The outstanding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balance of loans for which currency or interest rate conversions have been exercised was $58.2 billion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 and $52.7 billion as of June 30, 2024. IFLs may be denominated in the currency or currencies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chosen by the borrower if IBRD can efficiently intermediate in that currency or currencies. Using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conversions, some borrowing member countries have converted their IBRD loans into domestic currencies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reduce their foreign currency exposure for projects or programs that do not generate foreign currency revenue.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local currency loans may carry fixed or variable-spread terms. The balance of local currency loans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outstanding was $2.9 billion as of June 30, 2025 and $3.2 billion as of June 30, 2024, respectively. Box 1 below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shows the components of the spread on IBRD’s IFLs and how these are determined. </w:t>
      </w:r>
    </w:p>
    <w:p>
      <w:pPr>
        <w:autoSpaceDN w:val="0"/>
        <w:autoSpaceDE w:val="0"/>
        <w:widowControl/>
        <w:spacing w:line="200" w:lineRule="exact" w:before="304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19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Box 1: Components of Loan spread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730"/>
        </w:trPr>
        <w:tc>
          <w:tcPr>
            <w:tcW w:type="dxa" w:w="5256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8.0000000000001" w:type="dxa"/>
            </w:tblPr>
            <w:tblGrid>
              <w:gridCol w:w="5256"/>
            </w:tblGrid>
            <w:tr>
              <w:trPr>
                <w:trHeight w:hRule="exact" w:val="578"/>
              </w:trPr>
              <w:tc>
                <w:tcPr>
                  <w:tcW w:type="dxa" w:w="3598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Contractual lending spread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9360"/>
      </w:tblGrid>
      <w:tr>
        <w:trPr>
          <w:trHeight w:hRule="exact" w:val="600"/>
        </w:trPr>
        <w:tc>
          <w:tcPr>
            <w:tcW w:type="dxa" w:w="3598"/>
            <w:tcBorders/>
            <w:shd w:fill="e4ee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98"/>
            </w:tblGrid>
            <w:tr>
              <w:trPr>
                <w:trHeight w:hRule="exact" w:val="580"/>
              </w:trPr>
              <w:tc>
                <w:tcPr>
                  <w:tcW w:type="dxa" w:w="3598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9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Maturity Premium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9360"/>
      </w:tblGrid>
      <w:tr>
        <w:trPr>
          <w:trHeight w:hRule="exact" w:val="962"/>
        </w:trPr>
        <w:tc>
          <w:tcPr>
            <w:tcW w:type="dxa" w:w="3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98"/>
            </w:tblGrid>
            <w:tr>
              <w:trPr>
                <w:trHeight w:hRule="exact" w:val="578"/>
              </w:trPr>
              <w:tc>
                <w:tcPr>
                  <w:tcW w:type="dxa" w:w="3598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9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FSL Market Risk Premium 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360"/>
      </w:tblGrid>
      <w:tr>
        <w:trPr>
          <w:trHeight w:hRule="exact" w:val="638"/>
        </w:trPr>
        <w:tc>
          <w:tcPr>
            <w:tcW w:type="dxa" w:w="5256"/>
            <w:tcBorders/>
            <w:shd w:fill="e4ee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8.0000000000001" w:type="dxa"/>
            </w:tblPr>
            <w:tblGrid>
              <w:gridCol w:w="5256"/>
            </w:tblGrid>
            <w:tr>
              <w:trPr>
                <w:trHeight w:hRule="exact" w:val="580"/>
              </w:trPr>
              <w:tc>
                <w:tcPr>
                  <w:tcW w:type="dxa" w:w="3598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9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Funding Cost Margin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5456" w:space="0"/>
            <w:col w:w="39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32" w:type="dxa"/>
      </w:tblPr>
      <w:tblGrid>
        <w:gridCol w:w="9360"/>
      </w:tblGrid>
      <w:tr>
        <w:trPr>
          <w:trHeight w:hRule="exact" w:val="776"/>
        </w:trPr>
        <w:tc>
          <w:tcPr>
            <w:tcW w:type="dxa" w:w="3704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20"/>
              </w:rPr>
              <w:t>Subject to the Board's periodic review</w:t>
            </w:r>
          </w:p>
        </w:tc>
      </w:tr>
    </w:tbl>
    <w:p>
      <w:pPr>
        <w:autoSpaceDN w:val="0"/>
        <w:autoSpaceDE w:val="0"/>
        <w:widowControl/>
        <w:spacing w:line="6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32" w:type="dxa"/>
      </w:tblPr>
      <w:tblGrid>
        <w:gridCol w:w="9360"/>
      </w:tblGrid>
      <w:tr>
        <w:trPr>
          <w:trHeight w:hRule="exact" w:val="342"/>
        </w:trPr>
        <w:tc>
          <w:tcPr>
            <w:tcW w:type="dxa" w:w="3704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20"/>
              </w:rPr>
              <w:t>Set by Management based on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3.9999999999998" w:type="dxa"/>
      </w:tblPr>
      <w:tblGrid>
        <w:gridCol w:w="9360"/>
      </w:tblGrid>
      <w:tr>
        <w:trPr>
          <w:trHeight w:hRule="exact" w:val="258"/>
        </w:trPr>
        <w:tc>
          <w:tcPr>
            <w:tcW w:type="dxa" w:w="2260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20"/>
              </w:rPr>
              <w:t>market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746"/>
        <w:ind w:left="0" w:right="0"/>
      </w:pP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5456" w:space="0"/>
            <w:col w:w="3904" w:space="0"/>
          </w:cols>
          <w:docGrid w:linePitch="360"/>
        </w:sectPr>
      </w:pPr>
    </w:p>
    <w:p>
      <w:pPr>
        <w:autoSpaceDN w:val="0"/>
        <w:tabs>
          <w:tab w:pos="520" w:val="left"/>
        </w:tabs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*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This is only applicable to fixed spread loans which are not currently offered. </w:t>
      </w:r>
    </w:p>
    <w:p>
      <w:pPr>
        <w:autoSpaceDN w:val="0"/>
        <w:autoSpaceDE w:val="0"/>
        <w:widowControl/>
        <w:spacing w:line="240" w:lineRule="exact" w:before="24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offers long-term financing for member countries. Since IBRD introduced maturity-based pricing in 2010,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most countries continue to choose loans with the longer maturities with a higher maturity premium, highlighting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value of longer maturities to member countries.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14: Net Commitments by Maturity </w:t>
      </w:r>
    </w:p>
    <w:p>
      <w:pPr>
        <w:autoSpaceDN w:val="0"/>
        <w:autoSpaceDE w:val="0"/>
        <w:widowControl/>
        <w:spacing w:line="16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240" w:after="24"/>
        <w:ind w:left="0" w:right="336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For the fiscal year ended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0"/>
        <w:gridCol w:w="2340"/>
        <w:gridCol w:w="2340"/>
        <w:gridCol w:w="2340"/>
      </w:tblGrid>
      <w:tr>
        <w:trPr>
          <w:trHeight w:hRule="exact" w:val="206"/>
        </w:trPr>
        <w:tc>
          <w:tcPr>
            <w:tcW w:type="dxa" w:w="700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Maturity </w:t>
            </w:r>
          </w:p>
        </w:tc>
        <w:tc>
          <w:tcPr>
            <w:tcW w:type="dxa" w:w="98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</w:t>
            </w:r>
          </w:p>
        </w:tc>
        <w:tc>
          <w:tcPr>
            <w:tcW w:type="dxa" w:w="11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</w:t>
            </w:r>
          </w:p>
        </w:tc>
      </w:tr>
      <w:tr>
        <w:trPr>
          <w:trHeight w:hRule="exact" w:val="194"/>
        </w:trPr>
        <w:tc>
          <w:tcPr>
            <w:tcW w:type="dxa" w:w="23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98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11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</w:tr>
      <w:tr>
        <w:trPr>
          <w:trHeight w:hRule="exact" w:val="300"/>
        </w:trPr>
        <w:tc>
          <w:tcPr>
            <w:tcW w:type="dxa" w:w="70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&lt; 8 years . . . . . . . . . . . . . . . . . . . . . . . . . . . . . . . . . . . . . . . . . . . . . . . . . . . . . . . . . . . .</w:t>
            </w:r>
          </w:p>
        </w:tc>
        <w:tc>
          <w:tcPr>
            <w:tcW w:type="dxa" w:w="39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9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826 </w:t>
            </w:r>
          </w:p>
        </w:tc>
        <w:tc>
          <w:tcPr>
            <w:tcW w:type="dxa" w:w="11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1,477 </w:t>
            </w:r>
          </w:p>
        </w:tc>
      </w:tr>
      <w:tr>
        <w:trPr>
          <w:trHeight w:hRule="exact" w:val="240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8-10 years . . . . . . . . . . . . . . . . . . . . . . . . . . . . . . . . . . . . . . . . . . . . . . . . . . . . . . . . . . .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7,929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7,498 </w:t>
            </w:r>
          </w:p>
        </w:tc>
      </w:tr>
      <w:tr>
        <w:trPr>
          <w:trHeight w:hRule="exact" w:val="240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10-12 years . . . . . . . . . . . . . . . . . . . . . . . . . . . . . . . . . . . . . . . . . . . . . . . . . . . . . . . . . .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5,250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7,020 </w:t>
            </w:r>
          </w:p>
        </w:tc>
      </w:tr>
      <w:tr>
        <w:trPr>
          <w:trHeight w:hRule="exact" w:val="240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12-15 years . . . . . . . . . . . . . . . . . . . . . . . . . . . . . . . . . . . . . . . . . . . . . . . . . . . . . . . . . .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7,901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4,425 </w:t>
            </w:r>
          </w:p>
        </w:tc>
      </w:tr>
      <w:tr>
        <w:trPr>
          <w:trHeight w:hRule="exact" w:val="240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15-18 years . . . . . . . . . . . . . . . . . . . . . . . . . . . . . . . . . . . . . . . . . . . . . . . . . . . . . . . . . .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3,269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4,086 </w:t>
            </w:r>
          </w:p>
        </w:tc>
      </w:tr>
      <w:tr>
        <w:trPr>
          <w:trHeight w:hRule="exact" w:val="240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&gt;18 years . . . . . . . . . . . . . . . . . . . . . . . . . . . . . . . . . . . . . . . . . . . . . . . . . . . . . . . . . . . .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14,754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12,395 </w:t>
            </w:r>
          </w:p>
        </w:tc>
      </w:tr>
      <w:tr>
        <w:trPr>
          <w:trHeight w:hRule="exact" w:val="264"/>
        </w:trPr>
        <w:tc>
          <w:tcPr>
            <w:tcW w:type="dxa" w:w="7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Guarantee Commitments . . . . . . . . . . . . . . . . . . . . . . . . . . . . . . . . . . . . . . . . . . . . . . .</w:t>
            </w:r>
          </w:p>
        </w:tc>
        <w:tc>
          <w:tcPr>
            <w:tcW w:type="dxa" w:w="9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956 </w:t>
            </w:r>
          </w:p>
        </w:tc>
        <w:tc>
          <w:tcPr>
            <w:tcW w:type="dxa" w:w="11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667 </w:t>
            </w:r>
          </w:p>
        </w:tc>
      </w:tr>
      <w:tr>
        <w:trPr>
          <w:trHeight w:hRule="exact" w:val="337"/>
        </w:trPr>
        <w:tc>
          <w:tcPr>
            <w:tcW w:type="dxa" w:w="70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Net Commitments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</w:t>
            </w:r>
          </w:p>
        </w:tc>
        <w:tc>
          <w:tcPr>
            <w:tcW w:type="dxa" w:w="98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$40,885 </w:t>
            </w:r>
          </w:p>
        </w:tc>
        <w:tc>
          <w:tcPr>
            <w:tcW w:type="dxa" w:w="11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$37,568 </w:t>
            </w:r>
          </w:p>
        </w:tc>
      </w:tr>
    </w:tbl>
    <w:p>
      <w:pPr>
        <w:autoSpaceDN w:val="0"/>
        <w:autoSpaceDE w:val="0"/>
        <w:widowControl/>
        <w:spacing w:line="200" w:lineRule="exact" w:before="46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Loans with Other Financial Terms Currently Available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 to IFLs with standard terms, IBRD offers loans with a deferred drawdown option, Special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Policy Loans (SDPLs), loan-related derivatives, and loans to IFC (Box 2). </w:t>
      </w:r>
    </w:p>
    <w:p>
      <w:pPr>
        <w:autoSpaceDN w:val="0"/>
        <w:autoSpaceDE w:val="0"/>
        <w:widowControl/>
        <w:spacing w:line="200" w:lineRule="exact" w:before="28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28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18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Box 2: Loans with Other Financial Terms 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4680"/>
        <w:gridCol w:w="4680"/>
      </w:tblGrid>
      <w:tr>
        <w:trPr>
          <w:trHeight w:hRule="exact" w:val="372"/>
        </w:trPr>
        <w:tc>
          <w:tcPr>
            <w:tcW w:type="dxa" w:w="2098"/>
            <w:tcBorders>
              <w:start w:sz="8.0" w:val="single" w:color="#221F1F"/>
              <w:top w:sz="8.0" w:val="single" w:color="#221F1F"/>
              <w:end w:sz="4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6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6"/>
              </w:rPr>
              <w:t xml:space="preserve">Loans with Other Financial </w:t>
            </w:r>
            <w:r>
              <w:rPr>
                <w:rFonts w:ascii="Times" w:hAnsi="Times" w:eastAsia="Times"/>
                <w:b/>
                <w:i w:val="0"/>
                <w:color w:val="FFFFFF"/>
                <w:sz w:val="16"/>
              </w:rPr>
              <w:t xml:space="preserve">Terms </w:t>
            </w:r>
          </w:p>
        </w:tc>
        <w:tc>
          <w:tcPr>
            <w:tcW w:type="dxa" w:w="7010"/>
            <w:tcBorders>
              <w:start w:sz="4.0" w:val="single" w:color="#221F1F"/>
              <w:top w:sz="8.0" w:val="single" w:color="#221F1F"/>
              <w:end w:sz="8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2" w:after="0"/>
              <w:ind w:left="5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6"/>
              </w:rPr>
              <w:t xml:space="preserve">Description </w:t>
            </w:r>
          </w:p>
        </w:tc>
      </w:tr>
      <w:tr>
        <w:trPr>
          <w:trHeight w:hRule="exact" w:val="4680"/>
        </w:trPr>
        <w:tc>
          <w:tcPr>
            <w:tcW w:type="dxa" w:w="2098"/>
            <w:tcBorders>
              <w:start w:sz="8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6" w:after="0"/>
              <w:ind w:left="6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Loans with a Deferred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Drawdown Option </w:t>
            </w:r>
          </w:p>
        </w:tc>
        <w:tc>
          <w:tcPr>
            <w:tcW w:type="dxa" w:w="7010"/>
            <w:tcBorders>
              <w:start w:sz="4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52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 DPF with a Deferred Drawdown Option (DPF DDO) gives borrowers 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flexibility to rapidly obtain the financing they require. For example, such funds could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be needed owing to a shortfall in resources caused by unfavorable economic events,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such as declines in growth or unfavorable shifts in commodity prices or terms 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trade. The Catastrophe Risk DDO (CAT DDO) enables borrowers to access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immediate funding to respond rapidly in the wake of a natural disaster and/or public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health emergency caused by a biological event. The Investment Project Financing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DDO (IPF DDO) provides clients with contingent financing for specific investment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project expenditures to increase financial preparedness for certain crisis response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needs. Under the DPF DDO, borrowers may defer disbursement for up to three years,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renewable for an additional three years. Under the IPF DDO, borrowers may defer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disbursement for up to five years, renewable for an additional three years. The CAT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DDO has a revolving feature and the three-year drawdown period may be renewed up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 four times, for a total maximum drawdown period of 15 years (Table 16). As 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June 30, 2025, the amount of DDOs disbursed and outstanding was $9.5 billion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(compared to $9.5 billion as of June 30, 2024). The undisbursed amount of effective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DDOs was $1.1 billion (compared to $0.5 billion a year earlier), and the undisbursed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amount of disbursing DDOs was $1.0 billion (compared to $0.7 billion as of June 30,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2024). </w:t>
            </w:r>
          </w:p>
        </w:tc>
      </w:tr>
      <w:tr>
        <w:trPr>
          <w:trHeight w:hRule="exact" w:val="1140"/>
        </w:trPr>
        <w:tc>
          <w:tcPr>
            <w:tcW w:type="dxa" w:w="2098"/>
            <w:tcBorders>
              <w:start w:sz="8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6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Special Development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Policy Loans (SDPLs) </w:t>
            </w:r>
          </w:p>
        </w:tc>
        <w:tc>
          <w:tcPr>
            <w:tcW w:type="dxa" w:w="7010"/>
            <w:tcBorders>
              <w:start w:sz="4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52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SDPLs support structural and social reforms by creditworthy borrowers that face 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possible financial crisis or are already in a crisis and have extraordinary and urgent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external financing needs. There were no amounts outstanding as of June 30, 2025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June 30, 2024. IBRD made no new SDPL commitments in either FY25 or FY24. </w:t>
            </w:r>
          </w:p>
        </w:tc>
      </w:tr>
      <w:tr>
        <w:trPr>
          <w:trHeight w:hRule="exact" w:val="2240"/>
        </w:trPr>
        <w:tc>
          <w:tcPr>
            <w:tcW w:type="dxa" w:w="2098"/>
            <w:tcBorders>
              <w:start w:sz="8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4" w:after="0"/>
              <w:ind w:left="6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Loan-Related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Derivatives </w:t>
            </w:r>
          </w:p>
        </w:tc>
        <w:tc>
          <w:tcPr>
            <w:tcW w:type="dxa" w:w="7010"/>
            <w:tcBorders>
              <w:start w:sz="4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2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assists its borrowers with access to risk management tools by offering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derivative instruments, including currency and interest rate swaps and interest rate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caps and collars, associated with their loans. These instruments may be executed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either under a master derivatives agreement, which substantially conforms to industry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standards, or under individually negotiated agreements. Under these arrangements,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passes through the market cost of these instruments to its borrowers. 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balance of loans outstanding for which borrowers had entered into currency or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rate derivative transactions under a master derivatives agreement with IBRD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was $7.0 billion as of June 30, 2025 and $8.9 billion as of June 30, 2024. </w:t>
            </w:r>
          </w:p>
        </w:tc>
      </w:tr>
      <w:tr>
        <w:trPr>
          <w:trHeight w:hRule="exact" w:val="1039"/>
        </w:trPr>
        <w:tc>
          <w:tcPr>
            <w:tcW w:type="dxa" w:w="2098"/>
            <w:tcBorders>
              <w:start w:sz="8.0" w:val="single" w:color="#221F1F"/>
              <w:top w:sz="4.0" w:val="single" w:color="#221F1F"/>
              <w:end w:sz="4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6" w:after="0"/>
              <w:ind w:left="6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Loans with IFC </w:t>
            </w:r>
          </w:p>
        </w:tc>
        <w:tc>
          <w:tcPr>
            <w:tcW w:type="dxa" w:w="7010"/>
            <w:tcBorders>
              <w:start w:sz="4.0" w:val="single" w:color="#221F1F"/>
              <w:top w:sz="4.0" w:val="single" w:color="#221F1F"/>
              <w:end w:sz="8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52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provides loans to IFC in connection with the release of a member’s National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Paid-In Capital (NCPIC) to IBRD (See Section VIII: Capital Activities for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explanation of NCPIC). There were no loans outstanding as of June 30, 2025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June 30, 2024. </w:t>
            </w:r>
          </w:p>
        </w:tc>
      </w:tr>
    </w:tbl>
    <w:p>
      <w:pPr>
        <w:autoSpaceDN w:val="0"/>
        <w:autoSpaceDE w:val="0"/>
        <w:widowControl/>
        <w:spacing w:line="200" w:lineRule="exact" w:before="4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Lending Terms Applicable to IBRD Products </w:t>
      </w:r>
    </w:p>
    <w:p>
      <w:pPr>
        <w:autoSpaceDN w:val="0"/>
        <w:autoSpaceDE w:val="0"/>
        <w:widowControl/>
        <w:spacing w:line="240" w:lineRule="exact" w:before="12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current pricing structure classifies member countries into four pricing groups, based on income and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factors, and relates the maturity premium to the exemptions, discounts or surcharges applicable to each pricing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group (Table 15). </w:t>
      </w:r>
    </w:p>
    <w:p>
      <w:pPr>
        <w:autoSpaceDN w:val="0"/>
        <w:autoSpaceDE w:val="0"/>
        <w:widowControl/>
        <w:spacing w:line="200" w:lineRule="exact" w:before="13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29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17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15: Country Pricing Group and Maturity Premium (in Basis Points)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164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Country pricing group </w:t>
            </w:r>
          </w:p>
        </w:tc>
        <w:tc>
          <w:tcPr>
            <w:tcW w:type="dxa" w:w="651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30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Description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Maturity </w:t>
            </w:r>
          </w:p>
        </w:tc>
      </w:tr>
      <w:tr>
        <w:trPr>
          <w:trHeight w:hRule="exact" w:val="194"/>
        </w:trPr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77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Premium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 d</w:t>
            </w:r>
          </w:p>
        </w:tc>
      </w:tr>
      <w:tr>
        <w:trPr>
          <w:trHeight w:hRule="exact" w:val="438"/>
        </w:trPr>
        <w:tc>
          <w:tcPr>
            <w:tcW w:type="dxa" w:w="164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7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 </w:t>
            </w:r>
          </w:p>
        </w:tc>
        <w:tc>
          <w:tcPr>
            <w:tcW w:type="dxa" w:w="651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Blends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, small states, countries in fragile and conflict-affected situations </w:t>
            </w:r>
          </w:p>
        </w:tc>
        <w:tc>
          <w:tcPr>
            <w:tcW w:type="dxa" w:w="77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0-50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</w:p>
        </w:tc>
      </w:tr>
    </w:tbl>
    <w:p>
      <w:pPr>
        <w:autoSpaceDN w:val="0"/>
        <w:autoSpaceDE w:val="0"/>
        <w:widowControl/>
        <w:spacing w:line="234" w:lineRule="exact" w:before="0" w:after="100"/>
        <w:ind w:left="1766" w:right="142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(FCS), recent IDA graduates, and CRDC-eligible countries. These countries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exempt from the maturity premium increase regardless of their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levels.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Countries below or equal to GDI (Graduation Discussion Income) which do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0-70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00"/>
        <w:ind w:left="1768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not qualify for an exemption listed in Group 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Countries above-GDI, but below high-income status and which do not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0-90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00"/>
        <w:ind w:left="176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qualify for an exemption listed in Group 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Countries with high income status and which do not qualify for 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5-115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4"/>
        <w:ind w:left="176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exemption listed in Group 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Based on the weighted average maturity of the loan, borrower’s income, and other factors, approved by the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Board and reviewed annually.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Countries eligible for IDA and IBRD loans.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Member countries in group A are exempt from the maturity premium increase applicable from July 1, 2018.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For IBRD loans with a final maturity of up to 7 years, there is a maturity premium discount of 20bps. This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discount is applied to the overall lending spread. </w:t>
      </w:r>
    </w:p>
    <w:p>
      <w:pPr>
        <w:autoSpaceDN w:val="0"/>
        <w:autoSpaceDE w:val="0"/>
        <w:widowControl/>
        <w:spacing w:line="200" w:lineRule="exact" w:before="75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30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60" w:lineRule="exact" w:before="0" w:after="82"/>
        <w:ind w:left="120" w:right="2592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16: Loan Terms Available During Financial Year Ended June 30, 2025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 points, unless otherwise noted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353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IBRD Flexible Loan (IFL)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b</w:t>
            </w:r>
          </w:p>
        </w:tc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Special Development Policy Loans </w:t>
            </w:r>
          </w:p>
        </w:tc>
      </w:tr>
      <w:tr>
        <w:trPr>
          <w:trHeight w:hRule="exact" w:val="194"/>
        </w:trPr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274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Variable-spread Terms </w:t>
            </w:r>
          </w:p>
        </w:tc>
        <w:tc>
          <w:tcPr>
            <w:tcW w:type="dxa" w:w="291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11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(SDPL) </w:t>
            </w:r>
          </w:p>
        </w:tc>
      </w:tr>
      <w:tr>
        <w:trPr>
          <w:trHeight w:hRule="exact" w:val="280"/>
        </w:trPr>
        <w:tc>
          <w:tcPr>
            <w:tcW w:type="dxa" w:w="353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Final maturity </w:t>
            </w:r>
            <w:r>
              <w:rPr>
                <w:rFonts w:ascii="Times" w:hAnsi="Times" w:eastAsia="Times"/>
                <w:b/>
                <w:i/>
                <w:color w:val="231F20"/>
                <w:sz w:val="13"/>
              </w:rPr>
              <w:t>f</w:t>
            </w:r>
          </w:p>
        </w:tc>
        <w:tc>
          <w:tcPr>
            <w:tcW w:type="dxa" w:w="274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 years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</w:p>
        </w:tc>
        <w:tc>
          <w:tcPr>
            <w:tcW w:type="dxa" w:w="291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0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 years </w:t>
            </w:r>
          </w:p>
        </w:tc>
      </w:tr>
      <w:tr>
        <w:trPr>
          <w:trHeight w:hRule="exact" w:val="280"/>
        </w:trPr>
        <w:tc>
          <w:tcPr>
            <w:tcW w:type="dxa" w:w="353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Maximum weighted average maturity </w:t>
            </w:r>
          </w:p>
        </w:tc>
        <w:tc>
          <w:tcPr>
            <w:tcW w:type="dxa" w:w="274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years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</w:p>
        </w:tc>
        <w:tc>
          <w:tcPr>
            <w:tcW w:type="dxa" w:w="291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9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7.5 years </w:t>
            </w:r>
          </w:p>
        </w:tc>
      </w:tr>
      <w:tr>
        <w:trPr>
          <w:trHeight w:hRule="exact" w:val="280"/>
        </w:trPr>
        <w:tc>
          <w:tcPr>
            <w:tcW w:type="dxa" w:w="353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Reference market rate </w:t>
            </w:r>
          </w:p>
        </w:tc>
        <w:tc>
          <w:tcPr>
            <w:tcW w:type="dxa" w:w="274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Market-based variable rate index </w:t>
            </w:r>
          </w:p>
        </w:tc>
        <w:tc>
          <w:tcPr>
            <w:tcW w:type="dxa" w:w="291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Market-based variable rate index </w:t>
            </w:r>
          </w:p>
        </w:tc>
      </w:tr>
    </w:tbl>
    <w:p>
      <w:pPr>
        <w:autoSpaceDN w:val="0"/>
        <w:autoSpaceDE w:val="0"/>
        <w:widowControl/>
        <w:spacing w:line="200" w:lineRule="exact" w:before="96" w:after="22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Spread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22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Contractual lending spread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min. 200 </w:t>
            </w:r>
          </w:p>
        </w:tc>
      </w:tr>
      <w:tr>
        <w:trPr>
          <w:trHeight w:hRule="exact" w:val="21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Maturity premium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0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0-115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d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Funding cost margin . . . . . . . . . . . .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3568" w:space="0"/>
            <w:col w:w="5792" w:space="0"/>
          </w:cols>
          <w:docGrid w:linePitch="360"/>
        </w:sectPr>
      </w:pPr>
    </w:p>
    <w:p>
      <w:pPr>
        <w:autoSpaceDN w:val="0"/>
        <w:tabs>
          <w:tab w:pos="338" w:val="left"/>
          <w:tab w:pos="928" w:val="left"/>
          <w:tab w:pos="4200" w:val="left"/>
        </w:tabs>
        <w:autoSpaceDE w:val="0"/>
        <w:widowControl/>
        <w:spacing w:line="226" w:lineRule="exact" w:before="0" w:after="12"/>
        <w:ind w:left="100" w:right="1152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Actual average funding cost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incurred during the preceding six- </w:t>
      </w:r>
      <w:r>
        <w:br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month period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— </w:t>
      </w: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3568" w:space="0"/>
            <w:col w:w="579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106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Charges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Front-end fee . . . . . . . . . . . . . . . . . 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30" w:lineRule="exact" w:before="0" w:after="20"/>
        <w:ind w:left="520" w:right="590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Late service charge on principal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payments received after 30 days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22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of due date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98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Commitment fee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6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200" w:lineRule="exact" w:before="100" w:after="12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financial terms for DDOs </w:t>
      </w:r>
      <w:r>
        <w:rPr>
          <w:rFonts w:ascii="Times" w:hAnsi="Times" w:eastAsia="Times"/>
          <w:b w:val="0"/>
          <w:i w:val="0"/>
          <w:color w:val="231F20"/>
          <w:sz w:val="13"/>
        </w:rPr>
        <w:t>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90"/>
        </w:trPr>
        <w:tc>
          <w:tcPr>
            <w:tcW w:type="dxa" w:w="6466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6" w:after="0"/>
              <w:ind w:left="0" w:right="6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DPF DDO and IPF DDO </w:t>
            </w:r>
          </w:p>
        </w:tc>
        <w:tc>
          <w:tcPr>
            <w:tcW w:type="dxa" w:w="273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CAT DDO </w:t>
            </w:r>
          </w:p>
        </w:tc>
      </w:tr>
      <w:tr>
        <w:trPr>
          <w:trHeight w:hRule="exact" w:val="290"/>
        </w:trPr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Front-end fee . . . . . . . . . . . . . . . . . . . . . 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3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 </w:t>
            </w:r>
          </w:p>
        </w:tc>
      </w:tr>
      <w:tr>
        <w:trPr>
          <w:trHeight w:hRule="exact" w:val="240"/>
        </w:trPr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Renewal fee . . . . . . . . . . . . . . . . . . . . . . 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2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</w:tr>
      <w:tr>
        <w:trPr>
          <w:trHeight w:hRule="exact" w:val="240"/>
        </w:trPr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Stand-by fee . . . . . . . . . . . . . . . . . . . . . . .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3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 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64"/>
        </w:trPr>
        <w:tc>
          <w:tcPr>
            <w:tcW w:type="dxa" w:w="40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Commitment fee . . . . . . . . . . . . . . . . . . .</w:t>
            </w:r>
          </w:p>
        </w:tc>
        <w:tc>
          <w:tcPr>
            <w:tcW w:type="dxa" w:w="23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2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28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96"/>
        </w:trPr>
        <w:tc>
          <w:tcPr>
            <w:tcW w:type="dxa" w:w="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902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There is an implicit floor of zero on the overall interest rate in IBRD’s loans. </w:t>
            </w:r>
          </w:p>
        </w:tc>
      </w:tr>
      <w:tr>
        <w:trPr>
          <w:trHeight w:hRule="exact" w:val="240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9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Effective April 1, 2021, IBRD suspended offering loans with fixed spread terms. </w:t>
            </w:r>
          </w:p>
        </w:tc>
      </w:tr>
      <w:tr>
        <w:trPr>
          <w:trHeight w:hRule="exact" w:val="256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c. </w:t>
            </w:r>
          </w:p>
        </w:tc>
        <w:tc>
          <w:tcPr>
            <w:tcW w:type="dxa" w:w="9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For some projects addressing global challenges with cross border externalities, the maximum loan maturity </w:t>
            </w:r>
          </w:p>
        </w:tc>
      </w:tr>
    </w:tbl>
    <w:p>
      <w:pPr>
        <w:autoSpaceDN w:val="0"/>
        <w:tabs>
          <w:tab w:pos="520" w:val="left"/>
        </w:tabs>
        <w:autoSpaceDE w:val="0"/>
        <w:widowControl/>
        <w:spacing w:line="224" w:lineRule="exact" w:before="0" w:after="0"/>
        <w:ind w:left="120" w:right="432" w:firstLine="0"/>
        <w:jc w:val="left"/>
      </w:pP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is extended to up to 50 years and the maximum weighted average maturity is extended to up to 25 years.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Based on the weighted average maturity of the loan and on country pricing group.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See Box 6 in Section IX: Risk Management for a discussion of overdue payments.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f.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IBRD offers a 7-year final maturity loan with a 20bps maturity discount.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g.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Effective October 15, 2024, the Board approved a grace period of 4 years for IPF and PforR commitment fees.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h.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The financial terms not listed separately for DDOs are the same as those presented above for IFLs. </w:t>
      </w:r>
    </w:p>
    <w:p>
      <w:pPr>
        <w:autoSpaceDN w:val="0"/>
        <w:autoSpaceDE w:val="0"/>
        <w:widowControl/>
        <w:spacing w:line="200" w:lineRule="exact" w:before="2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Climate Resilient Debt Clause (CRDC) </w:t>
      </w:r>
    </w:p>
    <w:p>
      <w:pPr>
        <w:autoSpaceDN w:val="0"/>
        <w:autoSpaceDE w:val="0"/>
        <w:widowControl/>
        <w:spacing w:line="240" w:lineRule="exact" w:before="78" w:after="102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offers CRDCs for eligible new and existing loans (with minimum remaining maturity of five years), for </w:t>
      </w:r>
      <w:r>
        <w:rPr>
          <w:rFonts w:ascii="Times" w:hAnsi="Times" w:eastAsia="Times"/>
          <w:b w:val="0"/>
          <w:i w:val="0"/>
          <w:color w:val="231F20"/>
          <w:sz w:val="20"/>
        </w:rPr>
        <w:t>certain borrowers</w:t>
      </w:r>
      <w:r>
        <w:rPr>
          <w:rFonts w:ascii="Times" w:hAnsi="Times" w:eastAsia="Times"/>
          <w:b w:val="0"/>
          <w:i w:val="0"/>
          <w:color w:val="231F20"/>
          <w:sz w:val="13"/>
        </w:rPr>
        <w:t>3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. CRDCs allow eligible borrowing countries to defer payments of principal and/or interest (and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loan charges) for up to two years after an eligible event. After the deferral period, the borrower will restart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payments of the deferred amounts according to a modified amortization schedule that maintains the original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weighted average maturity of the loan and does not extend the final maturity date. The eligible events when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clause was first offered were tropical cyclones and earthquakes. In October 2024, the Board approved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extension of the covered events to include all natural catastrophes, including droughts, floods, and public health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emergencies caused by a biological event. Total IBRD loans outstanding as of June 30, 2025, for the 24 countries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(including Blend countries) that are eligible to adopt the clause for CRDCs was $6.0 billion.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12"/>
        </w:trPr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3</w:t>
            </w:r>
          </w:p>
        </w:tc>
        <w:tc>
          <w:tcPr>
            <w:tcW w:type="dxa" w:w="89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Eligible borrowers are IBRD Small State Economies, members of the Small States Forum, and Small Island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Developing States as defined by the United Nations.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31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Loans Outstanding </w:t>
      </w:r>
    </w:p>
    <w:p>
      <w:pPr>
        <w:autoSpaceDN w:val="0"/>
        <w:autoSpaceDE w:val="0"/>
        <w:widowControl/>
        <w:spacing w:line="240" w:lineRule="exact" w:before="118" w:after="0"/>
        <w:ind w:left="120" w:right="1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78% of loans outstanding were denominated in U.S. dollars, 20% were denominated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euros and 2% were denominated in other currencies, before the use of derivatives. The interest and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profile of loans outstanding after the use of derivatives for risk management purposes is discussed under Market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in Section IX: Risk Management.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17 illustrates a breakdown of IBRD’s loans outstanding by interest rate structure.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17: Loans Outstanding by Interest Rate Structure, Excluding Derivatives </w:t>
      </w:r>
    </w:p>
    <w:p>
      <w:pPr>
        <w:autoSpaceDN w:val="0"/>
        <w:autoSpaceDE w:val="0"/>
        <w:widowControl/>
        <w:spacing w:line="160" w:lineRule="exact" w:before="150" w:after="19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for ratios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476"/>
      </w:tblGrid>
      <w:tr>
        <w:trPr>
          <w:trHeight w:hRule="exact" w:val="2510"/>
        </w:trPr>
        <w:tc>
          <w:tcPr>
            <w:tcW w:type="dxa" w:w="9108"/>
            <w:tcBorders>
              <w:start w:sz="8.0" w:val="single" w:color="#221F1F"/>
              <w:top w:sz="8.0" w:val="single" w:color="#221F1F"/>
              <w:end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0000000000006" w:type="dxa"/>
            </w:tblPr>
            <w:tblGrid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  <w:gridCol w:w="536"/>
            </w:tblGrid>
            <w:tr>
              <w:trPr>
                <w:trHeight w:hRule="exact" w:val="220"/>
              </w:trPr>
              <w:tc>
                <w:tcPr>
                  <w:tcW w:type="dxa" w:w="2172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0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Product </w:t>
                  </w:r>
                </w:p>
              </w:tc>
              <w:tc>
                <w:tcPr>
                  <w:tcW w:type="dxa" w:w="2338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66" w:right="0" w:firstLine="0"/>
                    <w:jc w:val="left"/>
                  </w:pPr>
                  <w:r>
                    <w:rPr>
                      <w:rFonts w:ascii="Times" w:hAnsi="Times" w:eastAsia="Times"/>
                      <w:b/>
                      <w:i w:val="0"/>
                      <w:color w:val="231F20"/>
                      <w:sz w:val="16"/>
                    </w:rPr>
                    <w:t xml:space="preserve">June 30, 2025 </w:t>
                  </w:r>
                </w:p>
              </w:tc>
              <w:tc>
                <w:tcPr>
                  <w:tcW w:type="dxa" w:w="133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Product </w:t>
                  </w:r>
                </w:p>
              </w:tc>
              <w:tc>
                <w:tcPr>
                  <w:tcW w:type="dxa" w:w="3168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0" w:right="1322" w:firstLine="0"/>
                    <w:jc w:val="right"/>
                  </w:pPr>
                  <w:r>
                    <w:rPr>
                      <w:rFonts w:ascii="Times" w:hAnsi="Times" w:eastAsia="Times"/>
                      <w:b/>
                      <w:i w:val="0"/>
                      <w:color w:val="231F20"/>
                      <w:sz w:val="16"/>
                    </w:rPr>
                    <w:t xml:space="preserve">June 30, 2024 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1072"/>
                  <w:gridSpan w:val="2"/>
                  <w:vMerge/>
                  <w:tcBorders/>
                </w:tcPr>
                <w:p/>
              </w:tc>
              <w:tc>
                <w:tcPr>
                  <w:tcW w:type="dxa" w:w="2338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45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Of which </w:t>
                  </w:r>
                </w:p>
              </w:tc>
              <w:tc>
                <w:tcPr>
                  <w:tcW w:type="dxa" w:w="536"/>
                  <w:vMerge/>
                  <w:tcBorders/>
                </w:tcPr>
                <w:p/>
              </w:tc>
              <w:tc>
                <w:tcPr>
                  <w:tcW w:type="dxa" w:w="3168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Of which 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1072"/>
                  <w:gridSpan w:val="2"/>
                  <w:vMerge/>
                  <w:tcBorders/>
                </w:tcPr>
                <w:p/>
              </w:tc>
              <w:tc>
                <w:tcPr>
                  <w:tcW w:type="dxa" w:w="3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% of </w:t>
                  </w:r>
                </w:p>
              </w:tc>
              <w:tc>
                <w:tcPr>
                  <w:tcW w:type="dxa" w:w="110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7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reference </w:t>
                  </w:r>
                </w:p>
              </w:tc>
              <w:tc>
                <w:tcPr>
                  <w:tcW w:type="dxa" w:w="85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13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% of </w:t>
                  </w:r>
                </w:p>
              </w:tc>
              <w:tc>
                <w:tcPr>
                  <w:tcW w:type="dxa" w:w="536"/>
                  <w:vMerge/>
                  <w:tcBorders/>
                </w:tcPr>
                <w:p/>
              </w:tc>
              <w:tc>
                <w:tcPr>
                  <w:tcW w:type="dxa" w:w="114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% of </w:t>
                  </w:r>
                </w:p>
              </w:tc>
              <w:tc>
                <w:tcPr>
                  <w:tcW w:type="dxa" w:w="117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1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reference </w:t>
                  </w:r>
                </w:p>
              </w:tc>
              <w:tc>
                <w:tcPr>
                  <w:tcW w:type="dxa" w:w="84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12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% of </w:t>
                  </w:r>
                </w:p>
              </w:tc>
            </w:tr>
            <w:tr>
              <w:trPr>
                <w:trHeight w:hRule="exact" w:val="194"/>
              </w:trPr>
              <w:tc>
                <w:tcPr>
                  <w:tcW w:type="dxa" w:w="1470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terms </w:t>
                  </w:r>
                </w:p>
              </w:tc>
              <w:tc>
                <w:tcPr>
                  <w:tcW w:type="dxa" w:w="702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  <w:tc>
                <w:tcPr>
                  <w:tcW w:type="dxa" w:w="378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  <w:tc>
                <w:tcPr>
                  <w:tcW w:type="dxa" w:w="680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17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rate is </w:t>
                  </w:r>
                </w:p>
              </w:tc>
              <w:tc>
                <w:tcPr>
                  <w:tcW w:type="dxa" w:w="698"/>
                  <w:gridSpan w:val="2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96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  <w:tc>
                <w:tcPr>
                  <w:tcW w:type="dxa" w:w="582"/>
                  <w:gridSpan w:val="2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  <w:tc>
                <w:tcPr>
                  <w:tcW w:type="dxa" w:w="1332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terms </w:t>
                  </w:r>
                </w:p>
              </w:tc>
              <w:tc>
                <w:tcPr>
                  <w:tcW w:type="dxa" w:w="748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  <w:tc>
                <w:tcPr>
                  <w:tcW w:type="dxa" w:w="400"/>
                  <w:gridSpan w:val="2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  <w:tc>
                <w:tcPr>
                  <w:tcW w:type="dxa" w:w="760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60" w:val="left"/>
                    </w:tabs>
                    <w:autoSpaceDE w:val="0"/>
                    <w:widowControl/>
                    <w:spacing w:line="160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rate is </w:t>
                  </w:r>
                </w:p>
              </w:tc>
              <w:tc>
                <w:tcPr>
                  <w:tcW w:type="dxa" w:w="688"/>
                  <w:gridSpan w:val="2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96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  <w:tc>
                <w:tcPr>
                  <w:tcW w:type="dxa" w:w="572"/>
                  <w:gridSpan w:val="2"/>
                  <w:tcBorders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/>
                      <w:color w:val="231F20"/>
                      <w:sz w:val="16"/>
                    </w:rPr>
                    <w:t xml:space="preserve">Total </w:t>
                  </w:r>
                </w:p>
              </w:tc>
            </w:tr>
            <w:tr>
              <w:trPr>
                <w:trHeight w:hRule="exact" w:val="250"/>
              </w:trPr>
              <w:tc>
                <w:tcPr>
                  <w:tcW w:type="dxa" w:w="2172"/>
                  <w:gridSpan w:val="2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8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Fixed Spread </w:t>
                  </w:r>
                </w:p>
              </w:tc>
              <w:tc>
                <w:tcPr>
                  <w:tcW w:type="dxa" w:w="1058"/>
                  <w:gridSpan w:val="2"/>
                  <w:vMerge w:val="restart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8" w:after="0"/>
                    <w:ind w:left="11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22% Fixed </w:t>
                  </w:r>
                </w:p>
              </w:tc>
              <w:tc>
                <w:tcPr>
                  <w:tcW w:type="dxa" w:w="860"/>
                  <w:gridSpan w:val="3"/>
                  <w:vMerge w:val="restart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>$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30,799 </w:t>
                  </w:r>
                </w:p>
              </w:tc>
              <w:tc>
                <w:tcPr>
                  <w:tcW w:type="dxa" w:w="420"/>
                  <w:vMerge w:val="restart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11% </w:t>
                  </w:r>
                </w:p>
              </w:tc>
              <w:tc>
                <w:tcPr>
                  <w:tcW w:type="dxa" w:w="1332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8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Fixed Spread </w:t>
                  </w:r>
                </w:p>
              </w:tc>
              <w:tc>
                <w:tcPr>
                  <w:tcW w:type="dxa" w:w="748"/>
                  <w:vMerge w:val="restart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>$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63,170 </w:t>
                  </w:r>
                </w:p>
              </w:tc>
              <w:tc>
                <w:tcPr>
                  <w:tcW w:type="dxa" w:w="1160"/>
                  <w:gridSpan w:val="3"/>
                  <w:vMerge w:val="restart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24% Fixed </w:t>
                  </w:r>
                </w:p>
              </w:tc>
              <w:tc>
                <w:tcPr>
                  <w:tcW w:type="dxa" w:w="840"/>
                  <w:gridSpan w:val="3"/>
                  <w:vMerge w:val="restart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>$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31,110 </w:t>
                  </w:r>
                </w:p>
              </w:tc>
              <w:tc>
                <w:tcPr>
                  <w:tcW w:type="dxa" w:w="420"/>
                  <w:vMerge w:val="restart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12% 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217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17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>Loans . . . . . . . . . .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$ 63,118 </w:t>
                  </w:r>
                </w:p>
              </w:tc>
              <w:tc>
                <w:tcPr>
                  <w:tcW w:type="dxa" w:w="1072"/>
                  <w:gridSpan w:val="2"/>
                  <w:vMerge/>
                  <w:tcBorders>
                    <w:top w:sz="8.0" w:val="single" w:color="#221F1F"/>
                  </w:tcBorders>
                </w:tcPr>
                <w:p/>
              </w:tc>
              <w:tc>
                <w:tcPr>
                  <w:tcW w:type="dxa" w:w="1608"/>
                  <w:gridSpan w:val="3"/>
                  <w:vMerge/>
                  <w:tcBorders>
                    <w:top w:sz="8.0" w:val="single" w:color="#221F1F"/>
                  </w:tcBorders>
                </w:tcPr>
                <w:p/>
              </w:tc>
              <w:tc>
                <w:tcPr>
                  <w:tcW w:type="dxa" w:w="536"/>
                  <w:vMerge/>
                  <w:tcBorders>
                    <w:top w:sz="8.0" w:val="single" w:color="#221F1F"/>
                  </w:tcBorders>
                </w:tcPr>
                <w:p/>
              </w:tc>
              <w:tc>
                <w:tcPr>
                  <w:tcW w:type="dxa" w:w="133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Loans </w:t>
                  </w:r>
                </w:p>
              </w:tc>
              <w:tc>
                <w:tcPr>
                  <w:tcW w:type="dxa" w:w="536"/>
                  <w:vMerge/>
                  <w:tcBorders>
                    <w:top w:sz="8.0" w:val="single" w:color="#221F1F"/>
                  </w:tcBorders>
                </w:tcPr>
                <w:p/>
              </w:tc>
              <w:tc>
                <w:tcPr>
                  <w:tcW w:type="dxa" w:w="1608"/>
                  <w:gridSpan w:val="3"/>
                  <w:vMerge/>
                  <w:tcBorders>
                    <w:top w:sz="8.0" w:val="single" w:color="#221F1F"/>
                  </w:tcBorders>
                </w:tcPr>
                <w:p/>
              </w:tc>
              <w:tc>
                <w:tcPr>
                  <w:tcW w:type="dxa" w:w="1608"/>
                  <w:gridSpan w:val="3"/>
                  <w:vMerge/>
                  <w:tcBorders>
                    <w:top w:sz="8.0" w:val="single" w:color="#221F1F"/>
                  </w:tcBorders>
                </w:tcPr>
                <w:p/>
              </w:tc>
              <w:tc>
                <w:tcPr>
                  <w:tcW w:type="dxa" w:w="536"/>
                  <w:vMerge/>
                  <w:tcBorders>
                    <w:top w:sz="8.0" w:val="single" w:color="#221F1F"/>
                  </w:tcBorders>
                </w:tcPr>
                <w:p/>
              </w:tc>
            </w:tr>
            <w:tr>
              <w:trPr>
                <w:trHeight w:hRule="exact" w:val="400"/>
              </w:trPr>
              <w:tc>
                <w:tcPr>
                  <w:tcW w:type="dxa" w:w="217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38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Variable Spread </w:t>
                  </w:r>
                </w:p>
              </w:tc>
              <w:tc>
                <w:tcPr>
                  <w:tcW w:type="dxa" w:w="105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2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8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126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32,319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6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11 </w:t>
                  </w:r>
                </w:p>
              </w:tc>
              <w:tc>
                <w:tcPr>
                  <w:tcW w:type="dxa" w:w="133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38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Variable Spread </w:t>
                  </w:r>
                </w:p>
              </w:tc>
              <w:tc>
                <w:tcPr>
                  <w:tcW w:type="dxa" w:w="190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3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8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116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32,060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12 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470"/>
                  <w:vMerge w:val="restart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17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>Loans . . . . . . . . . .</w:t>
                  </w:r>
                </w:p>
              </w:tc>
              <w:tc>
                <w:tcPr>
                  <w:tcW w:type="dxa" w:w="702"/>
                  <w:vMerge w:val="restart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219,972 </w:t>
                  </w:r>
                </w:p>
              </w:tc>
              <w:tc>
                <w:tcPr>
                  <w:tcW w:type="dxa" w:w="3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78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7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Fixed </w:t>
                  </w:r>
                </w:p>
              </w:tc>
              <w:tc>
                <w:tcPr>
                  <w:tcW w:type="dxa" w:w="86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126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26,078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9 </w:t>
                  </w:r>
                </w:p>
              </w:tc>
              <w:tc>
                <w:tcPr>
                  <w:tcW w:type="dxa" w:w="1332"/>
                  <w:vMerge w:val="restart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Loans </w:t>
                  </w:r>
                </w:p>
              </w:tc>
              <w:tc>
                <w:tcPr>
                  <w:tcW w:type="dxa" w:w="83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200,020 </w:t>
                  </w:r>
                </w:p>
              </w:tc>
              <w:tc>
                <w:tcPr>
                  <w:tcW w:type="dxa" w:w="3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76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Fixed </w:t>
                  </w:r>
                </w:p>
              </w:tc>
              <w:tc>
                <w:tcPr>
                  <w:tcW w:type="dxa" w:w="8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116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20,362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8 </w:t>
                  </w: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536"/>
                  <w:vMerge/>
                  <w:tcBorders>
                    <w:bottom w:sz="4.0" w:val="single" w:color="#221F1F"/>
                  </w:tcBorders>
                </w:tcPr>
                <w:p/>
              </w:tc>
              <w:tc>
                <w:tcPr>
                  <w:tcW w:type="dxa" w:w="536"/>
                  <w:vMerge/>
                  <w:tcBorders>
                    <w:bottom w:sz="4.0" w:val="single" w:color="#221F1F"/>
                  </w:tcBorders>
                </w:tcPr>
                <w:p/>
              </w:tc>
              <w:tc>
                <w:tcPr>
                  <w:tcW w:type="dxa" w:w="1058"/>
                  <w:gridSpan w:val="2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2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860"/>
                  <w:gridSpan w:val="3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193,894 </w:t>
                  </w:r>
                </w:p>
              </w:tc>
              <w:tc>
                <w:tcPr>
                  <w:tcW w:type="dxa" w:w="420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6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69 </w:t>
                  </w:r>
                </w:p>
              </w:tc>
              <w:tc>
                <w:tcPr>
                  <w:tcW w:type="dxa" w:w="536"/>
                  <w:vMerge/>
                  <w:tcBorders>
                    <w:bottom w:sz="4.0" w:val="single" w:color="#221F1F"/>
                  </w:tcBorders>
                </w:tcPr>
                <w:p/>
              </w:tc>
              <w:tc>
                <w:tcPr>
                  <w:tcW w:type="dxa" w:w="1908"/>
                  <w:gridSpan w:val="4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3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Variable </w:t>
                  </w:r>
                </w:p>
              </w:tc>
              <w:tc>
                <w:tcPr>
                  <w:tcW w:type="dxa" w:w="840"/>
                  <w:gridSpan w:val="3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179,658 </w:t>
                  </w:r>
                </w:p>
              </w:tc>
              <w:tc>
                <w:tcPr>
                  <w:tcW w:type="dxa" w:w="420"/>
                  <w:tcBorders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68 </w:t>
                  </w:r>
                </w:p>
              </w:tc>
            </w:tr>
            <w:tr>
              <w:trPr>
                <w:trHeight w:hRule="exact" w:val="271"/>
              </w:trPr>
              <w:tc>
                <w:tcPr>
                  <w:tcW w:type="dxa" w:w="2172"/>
                  <w:gridSpan w:val="2"/>
                  <w:tcBorders>
                    <w:top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>Total . . . . . . . . . . . .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$283,090 </w:t>
                  </w:r>
                </w:p>
              </w:tc>
              <w:tc>
                <w:tcPr>
                  <w:tcW w:type="dxa" w:w="1058"/>
                  <w:gridSpan w:val="2"/>
                  <w:tcBorders>
                    <w:top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6" w:after="0"/>
                    <w:ind w:left="8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100% </w:t>
                  </w:r>
                </w:p>
              </w:tc>
              <w:tc>
                <w:tcPr>
                  <w:tcW w:type="dxa" w:w="1280"/>
                  <w:gridSpan w:val="4"/>
                  <w:tcBorders>
                    <w:top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 $283,090 100% </w:t>
                  </w:r>
                </w:p>
              </w:tc>
              <w:tc>
                <w:tcPr>
                  <w:tcW w:type="dxa" w:w="1332"/>
                  <w:tcBorders>
                    <w:top w:sz="4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08"/>
                  <w:gridSpan w:val="4"/>
                  <w:tcBorders>
                    <w:top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6" w:after="0"/>
                    <w:ind w:left="9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$263,190 100% </w:t>
                  </w:r>
                </w:p>
              </w:tc>
              <w:tc>
                <w:tcPr>
                  <w:tcW w:type="dxa" w:w="1260"/>
                  <w:gridSpan w:val="4"/>
                  <w:tcBorders>
                    <w:top w:sz="4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231F20"/>
                      <w:sz w:val="16"/>
                    </w:rPr>
                    <w:t xml:space="preserve"> $263,190 100%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32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18 below illustrates a breakdown of IBRD’s undisbursed balances by financial loan terms.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18: Undisbursed Balances by Loan Terms </w:t>
      </w:r>
    </w:p>
    <w:p>
      <w:pPr>
        <w:autoSpaceDN w:val="0"/>
        <w:autoSpaceDE w:val="0"/>
        <w:widowControl/>
        <w:spacing w:line="200" w:lineRule="exact" w:before="160" w:after="17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 millions of U.S. dollars, except ratios which are in percentages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54"/>
        <w:gridCol w:w="1354"/>
        <w:gridCol w:w="1354"/>
        <w:gridCol w:w="1354"/>
        <w:gridCol w:w="1354"/>
        <w:gridCol w:w="1354"/>
        <w:gridCol w:w="1354"/>
      </w:tblGrid>
      <w:tr>
        <w:trPr>
          <w:trHeight w:hRule="exact" w:val="254"/>
        </w:trPr>
        <w:tc>
          <w:tcPr>
            <w:tcW w:type="dxa" w:w="64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6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8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% </w:t>
            </w:r>
          </w:p>
        </w:tc>
        <w:tc>
          <w:tcPr>
            <w:tcW w:type="dxa" w:w="6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1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% </w:t>
            </w:r>
          </w:p>
        </w:tc>
      </w:tr>
      <w:tr>
        <w:trPr>
          <w:trHeight w:hRule="exact" w:val="310"/>
        </w:trPr>
        <w:tc>
          <w:tcPr>
            <w:tcW w:type="dxa" w:w="64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Spread terms . . . . . . . . . . . . . . . . . . . . . . . . . . . . . . . . . . . . . . . . . . . .</w:t>
            </w:r>
          </w:p>
        </w:tc>
        <w:tc>
          <w:tcPr>
            <w:tcW w:type="dxa" w:w="83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$86,643 </w:t>
            </w:r>
          </w:p>
        </w:tc>
        <w:tc>
          <w:tcPr>
            <w:tcW w:type="dxa" w:w="7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94% </w:t>
            </w:r>
          </w:p>
        </w:tc>
        <w:tc>
          <w:tcPr>
            <w:tcW w:type="dxa" w:w="82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$77,294 </w:t>
            </w:r>
          </w:p>
        </w:tc>
        <w:tc>
          <w:tcPr>
            <w:tcW w:type="dxa" w:w="5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91% </w:t>
            </w:r>
          </w:p>
        </w:tc>
      </w:tr>
      <w:tr>
        <w:trPr>
          <w:trHeight w:hRule="exact" w:val="256"/>
        </w:trPr>
        <w:tc>
          <w:tcPr>
            <w:tcW w:type="dxa" w:w="64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Spread terms . . . . . . . . . . . . . . . . . . . . . . . . . . . . . . . . . . . . . . . . . . . . . .</w:t>
            </w:r>
          </w:p>
        </w:tc>
        <w:tc>
          <w:tcPr>
            <w:tcW w:type="dxa" w:w="8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5,702 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 </w:t>
            </w:r>
          </w:p>
        </w:tc>
        <w:tc>
          <w:tcPr>
            <w:tcW w:type="dxa" w:w="8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7,764 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</w:tr>
      <w:tr>
        <w:trPr>
          <w:trHeight w:hRule="exact" w:val="336"/>
        </w:trPr>
        <w:tc>
          <w:tcPr>
            <w:tcW w:type="dxa" w:w="64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 . . . . .</w:t>
            </w:r>
          </w:p>
        </w:tc>
        <w:tc>
          <w:tcPr>
            <w:tcW w:type="dxa" w:w="155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$92,345 100% </w:t>
            </w:r>
          </w:p>
        </w:tc>
        <w:tc>
          <w:tcPr>
            <w:tcW w:type="dxa" w:w="138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$85,058 100% </w:t>
            </w:r>
          </w:p>
        </w:tc>
      </w:tr>
    </w:tbl>
    <w:p>
      <w:pPr>
        <w:autoSpaceDN w:val="0"/>
        <w:autoSpaceDE w:val="0"/>
        <w:widowControl/>
        <w:spacing w:line="200" w:lineRule="exact" w:before="473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32 </w:t>
      </w:r>
    </w:p>
    <w:p>
      <w:pPr>
        <w:sectPr>
          <w:pgSz w:w="12240" w:h="15840"/>
          <w:pgMar w:top="764" w:right="13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V: OTHER DEVELOPMENT ACTIVITIES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continues to deliver value to its client countries through its knowledge services, convening power,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capacity to implement solutions that address global issues where coordinated action is critical. </w:t>
      </w:r>
    </w:p>
    <w:p>
      <w:pPr>
        <w:autoSpaceDN w:val="0"/>
        <w:autoSpaceDE w:val="0"/>
        <w:widowControl/>
        <w:spacing w:line="240" w:lineRule="exact" w:before="25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also assists clients with designing financial products and structuring transactions to help mobilize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resources for development projects and mitigate the financial effects of market volatility and disasters. </w:t>
      </w:r>
    </w:p>
    <w:p>
      <w:pPr>
        <w:autoSpaceDN w:val="0"/>
        <w:autoSpaceDE w:val="0"/>
        <w:widowControl/>
        <w:spacing w:line="240" w:lineRule="exact" w:before="25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financial products and services provided to borrowing member countries, and to affiliated and non-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affiliated organizations, include financial guarantees, grants, externally-funded activities, and advisory services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analytics. </w:t>
      </w:r>
    </w:p>
    <w:p>
      <w:pPr>
        <w:autoSpaceDN w:val="0"/>
        <w:autoSpaceDE w:val="0"/>
        <w:widowControl/>
        <w:spacing w:line="220" w:lineRule="exact" w:before="4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Guarantees </w:t>
      </w:r>
    </w:p>
    <w:p>
      <w:pPr>
        <w:autoSpaceDN w:val="0"/>
        <w:autoSpaceDE w:val="0"/>
        <w:widowControl/>
        <w:spacing w:line="200" w:lineRule="exact" w:before="16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Guarantees provided </w:t>
      </w:r>
    </w:p>
    <w:p>
      <w:pPr>
        <w:autoSpaceDN w:val="0"/>
        <w:autoSpaceDE w:val="0"/>
        <w:widowControl/>
        <w:spacing w:line="240" w:lineRule="exact" w:before="1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offers project-based and policy-based guarantees for priority projects and programs in member countries.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also offers guarantees for enclave operations. Project-based guarantees are provided to mobilize private </w:t>
      </w:r>
      <w:r>
        <w:rPr>
          <w:rFonts w:ascii="Times" w:hAnsi="Times" w:eastAsia="Times"/>
          <w:b w:val="0"/>
          <w:i w:val="0"/>
          <w:color w:val="231F20"/>
          <w:sz w:val="20"/>
        </w:rPr>
        <w:t>financing for projects; they are also used to mitigate projects’ payment- and performance- related risks. Policy-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guarantees are provided to mobilize private financing for sovereigns or sub- sovereigns.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are partial and are intended to provide only the coverage necessary to obtain the required private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financing, considering country, market and, if appropriate, project circumstances. All guarantees require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sovereign counter-guarantee and indemnity, comparable to the requirement of a sovereign guarantee for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to sub-sovereign and non-sovereign borrowers (Box 3). On July 1, 2024, the WBG Guarantee Platform,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maintained by MIGA, was launched to bring together products and experts from the World Bank, IFC,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MIGA and aims to boost WBG guarantee issuances for all entities. </w:t>
      </w:r>
    </w:p>
    <w:p>
      <w:pPr>
        <w:autoSpaceDN w:val="0"/>
        <w:autoSpaceDE w:val="0"/>
        <w:widowControl/>
        <w:spacing w:line="200" w:lineRule="exact" w:before="296" w:after="20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Box 3: Types of Guarantees Provided by IBRD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4680"/>
        <w:gridCol w:w="4680"/>
      </w:tblGrid>
      <w:tr>
        <w:trPr>
          <w:trHeight w:hRule="exact" w:val="210"/>
        </w:trPr>
        <w:tc>
          <w:tcPr>
            <w:tcW w:type="dxa" w:w="1898"/>
            <w:tcBorders>
              <w:start w:sz="8.0" w:val="single" w:color="#221F1F"/>
              <w:top w:sz="8.0" w:val="single" w:color="#221F1F"/>
              <w:end w:sz="4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6"/>
              </w:rPr>
              <w:t xml:space="preserve">Guarantee </w:t>
            </w:r>
          </w:p>
        </w:tc>
        <w:tc>
          <w:tcPr>
            <w:tcW w:type="dxa" w:w="7210"/>
            <w:tcBorders>
              <w:start w:sz="4.0" w:val="single" w:color="#221F1F"/>
              <w:top w:sz="8.0" w:val="single" w:color="#221F1F"/>
              <w:end w:sz="8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2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6"/>
              </w:rPr>
              <w:t xml:space="preserve">Description </w:t>
            </w:r>
          </w:p>
        </w:tc>
      </w:tr>
      <w:tr>
        <w:trPr>
          <w:trHeight w:hRule="exact" w:val="2830"/>
        </w:trPr>
        <w:tc>
          <w:tcPr>
            <w:tcW w:type="dxa" w:w="1898"/>
            <w:tcBorders>
              <w:start w:sz="8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2" w:after="0"/>
              <w:ind w:left="204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Project-based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guarantees </w:t>
            </w:r>
          </w:p>
        </w:tc>
        <w:tc>
          <w:tcPr>
            <w:tcW w:type="dxa" w:w="7210"/>
            <w:tcBorders>
              <w:start w:sz="4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2" w:val="left"/>
              </w:tabs>
              <w:autoSpaceDE w:val="0"/>
              <w:widowControl/>
              <w:spacing w:line="240" w:lineRule="exact" w:before="50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Two types of project-based guarantees are offered: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 guarantees: these cover loan-related debt service defaults caused by the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government’s failure to meet specific payment and/or performance obligations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arising from contract, law or regulation, in relation to a project. Loan guarantees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include coverage for debt service defaults on: (i) commercial debt, normally for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 private sector project where the cause of debt service default is specifically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covered by IBRD’s guarantee; and, (ii) a specific portion of commercial debt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irrespective of the cause of such default, normally for a public-sector project. </w:t>
            </w:r>
          </w:p>
          <w:p>
            <w:pPr>
              <w:autoSpaceDN w:val="0"/>
              <w:tabs>
                <w:tab w:pos="632" w:val="left"/>
              </w:tabs>
              <w:autoSpaceDE w:val="0"/>
              <w:widowControl/>
              <w:spacing w:line="240" w:lineRule="exact" w:before="128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Payment guarantees: These cover payment default on non-loan related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government payment obligations to private entities and foreign public entities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arising from contract, law or regulation. </w:t>
            </w:r>
          </w:p>
        </w:tc>
      </w:tr>
      <w:tr>
        <w:trPr>
          <w:trHeight w:hRule="exact" w:val="1020"/>
        </w:trPr>
        <w:tc>
          <w:tcPr>
            <w:tcW w:type="dxa" w:w="1898"/>
            <w:tcBorders>
              <w:start w:sz="8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204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Policy-based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guarantees </w:t>
            </w:r>
          </w:p>
        </w:tc>
        <w:tc>
          <w:tcPr>
            <w:tcW w:type="dxa" w:w="7210"/>
            <w:tcBorders>
              <w:start w:sz="4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32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These cover debt service default, irrespective of the cause of such default, on 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specific portion of commercial debt owed by national or sub national government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associated with the supported government’s program of policy and institutional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actions. </w:t>
            </w:r>
          </w:p>
        </w:tc>
      </w:tr>
      <w:tr>
        <w:trPr>
          <w:trHeight w:hRule="exact" w:val="1500"/>
        </w:trPr>
        <w:tc>
          <w:tcPr>
            <w:tcW w:type="dxa" w:w="1898"/>
            <w:tcBorders>
              <w:start w:sz="8.0" w:val="single" w:color="#221F1F"/>
              <w:top w:sz="4.0" w:val="single" w:color="#221F1F"/>
              <w:end w:sz="4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4" w:after="0"/>
              <w:ind w:left="2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Guarantees for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enclave operations </w:t>
            </w:r>
          </w:p>
        </w:tc>
        <w:tc>
          <w:tcPr>
            <w:tcW w:type="dxa" w:w="7210"/>
            <w:tcBorders>
              <w:start w:sz="4.0" w:val="single" w:color="#221F1F"/>
              <w:top w:sz="4.0" w:val="single" w:color="#221F1F"/>
              <w:end w:sz="8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32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extends guarantees for projects in IDA-only member countries that (i) are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expected to generate large economic benefits with significant developmental impact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 the member country; and (ii) cannot be fully financed out of the country’s own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resources, IDA resources, or other concessional financing. The provision of IBRD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support to enclave operations is subject to credit enhancement features that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adequately mitigate IBRD’s credit risk. </w:t>
            </w:r>
          </w:p>
        </w:tc>
      </w:tr>
    </w:tbl>
    <w:p>
      <w:pPr>
        <w:autoSpaceDN w:val="0"/>
        <w:autoSpaceDE w:val="0"/>
        <w:widowControl/>
        <w:spacing w:line="200" w:lineRule="exact" w:before="3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33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IBRD has entered into the following arrangements, which are treated as financial guarantees under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U.S. GAAP: </w:t>
      </w:r>
    </w:p>
    <w:p>
      <w:pPr>
        <w:autoSpaceDN w:val="0"/>
        <w:autoSpaceDE w:val="0"/>
        <w:widowControl/>
        <w:spacing w:line="240" w:lineRule="exact" w:before="19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a Multilateral Development Bank (MDB) Exposure Exchange Agreement (EEA) with the African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Bank (AfDB) and the Inter-American Development Bank (IADB). Under this EEA, each MDB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exchanged credit risk exposure of a reference portfolio supported by underlying loans to borrowing member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countries. For each MDB, EEAs through diversification benefits, help reduce credit risk at the portfolio level;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improve the risk-weighted capital ratios especially by addressing exposure concentration concerns; and create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headroom for individual borrowing countries where MDBs may be constrained. The EEA involved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receipt of a guarantee and the provision of a guarantee against nonpayment in the reference portfolio by each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MDB to the other. The guarantee received and the guarantee provided are two separate transactions: (a) a receipt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an asset for the right to be indemnified and receive risk coverage (recoverable asset) and (b) the provision of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guarantee, respectively (see Notes to the Financial Statements, Note D: Loans and Other Exposures). </w:t>
      </w:r>
    </w:p>
    <w:p>
      <w:pPr>
        <w:autoSpaceDN w:val="0"/>
        <w:autoSpaceDE w:val="0"/>
        <w:widowControl/>
        <w:spacing w:line="200" w:lineRule="exact" w:before="228" w:after="4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19: Exposure Exchange Agreements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6"/>
        </w:trPr>
        <w:tc>
          <w:tcPr>
            <w:tcW w:type="dxa" w:w="583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1768"/>
            <w:gridSpan w:val="3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7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1658"/>
            <w:gridSpan w:val="3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206"/>
        </w:trPr>
        <w:tc>
          <w:tcPr>
            <w:tcW w:type="dxa" w:w="5834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Guarantee </w:t>
            </w:r>
          </w:p>
        </w:tc>
        <w:tc>
          <w:tcPr>
            <w:tcW w:type="dxa" w:w="96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Guarantee </w:t>
            </w:r>
          </w:p>
        </w:tc>
        <w:tc>
          <w:tcPr>
            <w:tcW w:type="dxa" w:w="798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Guarantee </w:t>
            </w:r>
          </w:p>
        </w:tc>
        <w:tc>
          <w:tcPr>
            <w:tcW w:type="dxa" w:w="8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Guarantee </w:t>
            </w:r>
          </w:p>
        </w:tc>
      </w:tr>
      <w:tr>
        <w:trPr>
          <w:trHeight w:hRule="exact" w:val="207"/>
        </w:trPr>
        <w:tc>
          <w:tcPr>
            <w:tcW w:type="dxa" w:w="1337"/>
            <w:vMerge/>
            <w:tcBorders>
              <w:top w:sz="8.0" w:val="single" w:color="#221F1F"/>
            </w:tcBorders>
          </w:tcPr>
          <w:p/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Received 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Provided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Received </w:t>
            </w:r>
          </w:p>
        </w:tc>
        <w:tc>
          <w:tcPr>
            <w:tcW w:type="dxa" w:w="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Provided </w:t>
            </w:r>
          </w:p>
        </w:tc>
      </w:tr>
    </w:tbl>
    <w:p>
      <w:pPr>
        <w:autoSpaceDN w:val="0"/>
        <w:autoSpaceDE w:val="0"/>
        <w:widowControl/>
        <w:spacing w:line="200" w:lineRule="exact" w:before="84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Exchange Agreement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8"/>
        </w:trPr>
        <w:tc>
          <w:tcPr>
            <w:tcW w:type="dxa" w:w="5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IADB . . . . . . . . . . . . . . . . . . . . . . . . . . . . . . . . . . . . . . . . . . . . . .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2,021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2,021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2,021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2,021 </w:t>
            </w:r>
          </w:p>
        </w:tc>
      </w:tr>
      <w:tr>
        <w:trPr>
          <w:trHeight w:hRule="exact" w:val="240"/>
        </w:trPr>
        <w:tc>
          <w:tcPr>
            <w:tcW w:type="dxa" w:w="5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AfDB . . . . . . . . . . . . . . . . . . . . . . . . . . . . . . . . . . . . . . . . . . . . . .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1,588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1,588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1,588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1,588 </w:t>
            </w:r>
          </w:p>
        </w:tc>
      </w:tr>
      <w:tr>
        <w:trPr>
          <w:trHeight w:hRule="exact" w:val="248"/>
        </w:trPr>
        <w:tc>
          <w:tcPr>
            <w:tcW w:type="dxa" w:w="59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MIGA . . . . . . . . . . . . . . . . . . . . . . . . . . . . . . . . . . . . . . . . . . . . . .</w:t>
            </w:r>
          </w:p>
        </w:tc>
        <w:tc>
          <w:tcPr>
            <w:tcW w:type="dxa" w:w="8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66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37"/>
        </w:trPr>
        <w:tc>
          <w:tcPr>
            <w:tcW w:type="dxa" w:w="59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notional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</w:t>
            </w:r>
          </w:p>
        </w:tc>
        <w:tc>
          <w:tcPr>
            <w:tcW w:type="dxa" w:w="8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$3,609 </w:t>
            </w:r>
          </w:p>
        </w:tc>
        <w:tc>
          <w:tcPr>
            <w:tcW w:type="dxa" w:w="8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$3,609 </w:t>
            </w:r>
          </w:p>
        </w:tc>
        <w:tc>
          <w:tcPr>
            <w:tcW w:type="dxa" w:w="8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$3,611 </w:t>
            </w:r>
          </w:p>
        </w:tc>
        <w:tc>
          <w:tcPr>
            <w:tcW w:type="dxa" w:w="66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$3,609 </w:t>
            </w:r>
          </w:p>
        </w:tc>
      </w:tr>
    </w:tbl>
    <w:p>
      <w:pPr>
        <w:autoSpaceDN w:val="0"/>
        <w:autoSpaceDE w:val="0"/>
        <w:widowControl/>
        <w:spacing w:line="240" w:lineRule="exact" w:before="26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exposure on its guarantees was $7.4 billion as of June 30, 2025 compared to $7.1 billion as of June 30,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2024 (Table 20). Exposure is measured by discounting each guaranteed amount from its next call date. </w:t>
      </w:r>
    </w:p>
    <w:p>
      <w:pPr>
        <w:autoSpaceDN w:val="0"/>
        <w:autoSpaceDE w:val="0"/>
        <w:widowControl/>
        <w:spacing w:line="200" w:lineRule="exact" w:before="22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20: Guarantees Exposure </w:t>
      </w:r>
    </w:p>
    <w:p>
      <w:pPr>
        <w:autoSpaceDN w:val="0"/>
        <w:autoSpaceDE w:val="0"/>
        <w:widowControl/>
        <w:spacing w:line="160" w:lineRule="exact" w:before="126" w:after="1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0"/>
        <w:gridCol w:w="2340"/>
        <w:gridCol w:w="2340"/>
        <w:gridCol w:w="2340"/>
      </w:tblGrid>
      <w:tr>
        <w:trPr>
          <w:trHeight w:hRule="exact" w:val="254"/>
        </w:trPr>
        <w:tc>
          <w:tcPr>
            <w:tcW w:type="dxa" w:w="7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5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2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10"/>
        </w:trPr>
        <w:tc>
          <w:tcPr>
            <w:tcW w:type="dxa" w:w="7820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Guarantees (project, policy and enclave)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Exposure Exchange Agreements . . . . . . . . . . . . . . . . . . . . . . . . . . . . . . . . . . . . . . . . . . . . . . . . . .</w:t>
            </w:r>
          </w:p>
        </w:tc>
        <w:tc>
          <w:tcPr>
            <w:tcW w:type="dxa" w:w="139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$3,818 $3,488 </w:t>
            </w:r>
          </w:p>
        </w:tc>
      </w:tr>
      <w:tr>
        <w:trPr>
          <w:trHeight w:hRule="exact" w:val="256"/>
        </w:trPr>
        <w:tc>
          <w:tcPr>
            <w:tcW w:type="dxa" w:w="234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7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3,609 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3,609 </w:t>
            </w:r>
          </w:p>
        </w:tc>
      </w:tr>
      <w:tr>
        <w:trPr>
          <w:trHeight w:hRule="exact" w:val="336"/>
        </w:trPr>
        <w:tc>
          <w:tcPr>
            <w:tcW w:type="dxa" w:w="7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139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$7,427 $7,097 </w:t>
            </w:r>
          </w:p>
        </w:tc>
      </w:tr>
    </w:tbl>
    <w:p>
      <w:pPr>
        <w:autoSpaceDN w:val="0"/>
        <w:autoSpaceDE w:val="0"/>
        <w:widowControl/>
        <w:spacing w:line="220" w:lineRule="exact" w:before="4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2"/>
        </w:rPr>
        <w:t xml:space="preserve">Guarantees received </w:t>
      </w:r>
    </w:p>
    <w:p>
      <w:pPr>
        <w:autoSpaceDN w:val="0"/>
        <w:autoSpaceDE w:val="0"/>
        <w:widowControl/>
        <w:spacing w:line="240" w:lineRule="exact" w:before="9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part of its development activities, IBRD also receives third-party guarantees to enhance the credit quality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loan portfolio and increase its lending capacity. </w:t>
      </w:r>
    </w:p>
    <w:p>
      <w:pPr>
        <w:autoSpaceDN w:val="0"/>
        <w:autoSpaceDE w:val="0"/>
        <w:widowControl/>
        <w:spacing w:line="240" w:lineRule="exact" w:before="190" w:after="0"/>
        <w:ind w:left="120" w:right="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Credit enhancement 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As of June 30, 2025, IBRD had $11.3 billion of outstanding loans under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bilateral guarantees were received from highly rated member countries or other Multilateral Development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Banks ($8.9 billion as of June 30, 2024). </w:t>
      </w:r>
    </w:p>
    <w:p>
      <w:pPr>
        <w:autoSpaceDN w:val="0"/>
        <w:autoSpaceDE w:val="0"/>
        <w:widowControl/>
        <w:spacing w:line="240" w:lineRule="exact" w:before="19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as of June 30, 2025, IBRD received total notional value of $1.1 billion portfolio guarantees from 2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highly rated member countries, under its new Portfolio Guarantee Platform (PGP). </w:t>
      </w:r>
    </w:p>
    <w:p>
      <w:pPr>
        <w:autoSpaceDN w:val="0"/>
        <w:autoSpaceDE w:val="0"/>
        <w:widowControl/>
        <w:spacing w:line="240" w:lineRule="exact" w:before="19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bilateral guarantees and guarantees under the PGP serve as credit enhancements and reduce IBRD’s internal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capital requirements. Guarantees that are contractually attached to the loan reduce the exposure at risk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computing the loan loss provision. Guarantees that are not contractually attached to the loan (including the PGP),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recorded as a recoverable asset and included in Other assets on the Balance Sheet (see Notes to the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Statements, Note D—Loans and Other Exposures). </w:t>
      </w:r>
    </w:p>
    <w:p>
      <w:pPr>
        <w:autoSpaceDN w:val="0"/>
        <w:autoSpaceDE w:val="0"/>
        <w:widowControl/>
        <w:spacing w:line="200" w:lineRule="exact" w:before="2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also received other forms of credit enhancements for loans outstanding totaling $2.5 billion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 ($2.0 billion as of June 30, 2024), that protect IBRD against the risk of loss on certain loans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portfolio. These credit enhancements are accounted for as derivatives at fair value and are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assets—Miscellaneous on IBRD’s Balance Sheet as they do not meet the accounting definition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guarantees. </w:t>
      </w:r>
    </w:p>
    <w:p>
      <w:pPr>
        <w:autoSpaceDN w:val="0"/>
        <w:autoSpaceDE w:val="0"/>
        <w:widowControl/>
        <w:spacing w:line="200" w:lineRule="exact" w:before="2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21: Credit Enhancements Received </w:t>
      </w:r>
    </w:p>
    <w:p>
      <w:pPr>
        <w:autoSpaceDN w:val="0"/>
        <w:autoSpaceDE w:val="0"/>
        <w:widowControl/>
        <w:spacing w:line="160" w:lineRule="exact" w:before="122" w:after="1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20"/>
        <w:gridCol w:w="3120"/>
        <w:gridCol w:w="3120"/>
      </w:tblGrid>
      <w:tr>
        <w:trPr>
          <w:trHeight w:hRule="exact" w:val="254"/>
        </w:trPr>
        <w:tc>
          <w:tcPr>
            <w:tcW w:type="dxa" w:w="76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6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00" w:lineRule="exact" w:before="86" w:after="16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Bi-lateral Guarantees Received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12"/>
        </w:trPr>
        <w:tc>
          <w:tcPr>
            <w:tcW w:type="dxa" w:w="76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 Country With Loan Guarantees Brazil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Egypt, Arab Republic of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Indonesia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Iraq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Jordan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Morocco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Philippines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Ukraine . . . . . . . . . . . . . . . . . . . . . . . . . . . . . . . . . . . . . . . . . . . . . . . . . . . . . . . . . . . . . . . . . . .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185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200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138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142 </w:t>
            </w:r>
          </w:p>
        </w:tc>
      </w:tr>
      <w:tr>
        <w:trPr>
          <w:trHeight w:hRule="exact" w:val="220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350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350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324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359 </w:t>
            </w:r>
          </w:p>
        </w:tc>
      </w:tr>
      <w:tr>
        <w:trPr>
          <w:trHeight w:hRule="exact" w:val="220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333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367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123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155 </w:t>
            </w:r>
          </w:p>
        </w:tc>
      </w:tr>
      <w:tr>
        <w:trPr>
          <w:trHeight w:hRule="exact" w:val="220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200 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220 </w:t>
            </w:r>
          </w:p>
        </w:tc>
      </w:tr>
      <w:tr>
        <w:trPr>
          <w:trHeight w:hRule="exact" w:val="262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9,685 </w:t>
            </w:r>
          </w:p>
        </w:tc>
        <w:tc>
          <w:tcPr>
            <w:tcW w:type="dxa" w:w="7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7,057 </w:t>
            </w:r>
          </w:p>
        </w:tc>
      </w:tr>
      <w:tr>
        <w:trPr>
          <w:trHeight w:hRule="exact" w:val="310"/>
        </w:trPr>
        <w:tc>
          <w:tcPr>
            <w:tcW w:type="dxa" w:w="76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Outstanding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58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$11,338 $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8,850 </w:t>
            </w:r>
          </w:p>
        </w:tc>
      </w:tr>
      <w:tr>
        <w:trPr>
          <w:trHeight w:hRule="exact" w:val="462"/>
        </w:trPr>
        <w:tc>
          <w:tcPr>
            <w:tcW w:type="dxa" w:w="76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Portfolio Guarantees Received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</w:t>
            </w:r>
          </w:p>
        </w:tc>
        <w:tc>
          <w:tcPr>
            <w:tcW w:type="dxa" w:w="8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1,070 </w:t>
            </w:r>
          </w:p>
        </w:tc>
        <w:tc>
          <w:tcPr>
            <w:tcW w:type="dxa" w:w="7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32" w:lineRule="exact" w:before="56" w:after="14"/>
        <w:ind w:left="120" w:right="4752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Other Credit Enhancements Received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Country With Other Credit Enhancements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12"/>
        </w:trPr>
        <w:tc>
          <w:tcPr>
            <w:tcW w:type="dxa" w:w="76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India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Ukraine . . . . . . . . . . . . . . . . . . . . . . . . . . . . . . . . . . . . . . . . . . . . . . . . . . . . . . . . . . . . . . . . . . .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1,000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1,000 </w:t>
            </w:r>
          </w:p>
        </w:tc>
      </w:tr>
      <w:tr>
        <w:trPr>
          <w:trHeight w:hRule="exact" w:val="262"/>
        </w:trPr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1,500 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1,016 </w:t>
            </w:r>
          </w:p>
        </w:tc>
      </w:tr>
      <w:tr>
        <w:trPr>
          <w:trHeight w:hRule="exact" w:val="310"/>
        </w:trPr>
        <w:tc>
          <w:tcPr>
            <w:tcW w:type="dxa" w:w="76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Outstanding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58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2,500 $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2,016 </w:t>
            </w:r>
          </w:p>
        </w:tc>
      </w:tr>
      <w:tr>
        <w:trPr>
          <w:trHeight w:hRule="exact" w:val="326"/>
        </w:trPr>
        <w:tc>
          <w:tcPr>
            <w:tcW w:type="dxa" w:w="76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Guarantees and Credit Enhancements Received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</w:t>
            </w:r>
          </w:p>
        </w:tc>
        <w:tc>
          <w:tcPr>
            <w:tcW w:type="dxa" w:w="158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$14,908 $10,866 </w:t>
            </w:r>
          </w:p>
        </w:tc>
      </w:tr>
    </w:tbl>
    <w:p>
      <w:pPr>
        <w:autoSpaceDN w:val="0"/>
        <w:autoSpaceDE w:val="0"/>
        <w:widowControl/>
        <w:spacing w:line="220" w:lineRule="exact" w:before="3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Grant Making Facilities </w:t>
      </w:r>
    </w:p>
    <w:p>
      <w:pPr>
        <w:autoSpaceDN w:val="0"/>
        <w:autoSpaceDE w:val="0"/>
        <w:widowControl/>
        <w:spacing w:line="240" w:lineRule="exact" w:before="9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Grant Making Facilities (GMFs) are funded by IBRD’s contributions to specific trust funds and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complementary to IBRD’s work. IBRD deployed $17 million under this program in FY25 ($17 million in FY24).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amounts are reflected in Contributions to Special Programs in IBRD’s Statements of Income, after IDA’s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share is determined in accordance with the cost sharing ratio. </w:t>
      </w:r>
    </w:p>
    <w:p>
      <w:pPr>
        <w:autoSpaceDN w:val="0"/>
        <w:autoSpaceDE w:val="0"/>
        <w:widowControl/>
        <w:spacing w:line="220" w:lineRule="exact" w:before="31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Externally-Funded Activities </w:t>
      </w:r>
    </w:p>
    <w:p>
      <w:pPr>
        <w:autoSpaceDN w:val="0"/>
        <w:autoSpaceDE w:val="0"/>
        <w:widowControl/>
        <w:spacing w:line="240" w:lineRule="exact" w:before="8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Mobilization of external funds from third-party partners includes trust funds. Additional external funds include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reimbursable funds and revenues from fee-based services to member countries, which are related to EFOs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(Externally Financed Outputs), RAS (Reimbursable Advisory Services), and other financial products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services, including RAMP. </w:t>
      </w:r>
    </w:p>
    <w:p>
      <w:pPr>
        <w:autoSpaceDN w:val="0"/>
        <w:autoSpaceDE w:val="0"/>
        <w:widowControl/>
        <w:spacing w:line="200" w:lineRule="exact" w:before="3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Trust Funds </w:t>
      </w:r>
    </w:p>
    <w:p>
      <w:pPr>
        <w:autoSpaceDN w:val="0"/>
        <w:autoSpaceDE w:val="0"/>
        <w:widowControl/>
        <w:spacing w:line="240" w:lineRule="exact" w:before="9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Trust Funds receive money from donors that provide development solutions that serve member recipients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donors. Trust funded partnerships often serve as a platform for IBRD and the partners to access WBG’s diverse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technical and financial resources, and achieve development goals whose complexity, scale, and scope exceed any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individual partner’s capabilities. IBRD’s roles and responsibilities in managing trust funds depend on the type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fund, outlined as follows: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9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Bank-executed activities for trust funds: IBRD, alone or jointly with one or more of its affiliated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organizations, manages the funds and implements the activities financed. These trust funds support </w:t>
      </w:r>
    </w:p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9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work program. IBRD disbursed $604 million in FY25 ($612 million in FY24) of trust fund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program funds, which was included in Non-interest expenses, Administrative in IBRD’s Statements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with corresponding revenue included in Non-interest revenue, Revenue from externally funded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activities (Table 6).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4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Recipient-executed activities for trust funds: Funds are provided to a third party, normally in the form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project grant financing, and are supervised by IBRD.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4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Intermediary Funds (FIFs): IBRD, as trustee, administrator, or treasury manager, offers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specific administrative or financial services with a limited operational role. Arrangements include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administration of debt service trust funds, fiscal agency funds and other more specialized limited fund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roles. </w:t>
      </w:r>
    </w:p>
    <w:p>
      <w:pPr>
        <w:autoSpaceDN w:val="0"/>
        <w:autoSpaceDE w:val="0"/>
        <w:widowControl/>
        <w:spacing w:line="240" w:lineRule="exact" w:before="22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a cost recovery framework for trust funds, to recover the costs of performing agreed roles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administering trust funds, and is guided by principles of transparency, fairness, simplification, standardization,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predictability and consistent treatment across all trust fund donors. </w:t>
      </w:r>
    </w:p>
    <w:p>
      <w:pPr>
        <w:autoSpaceDN w:val="0"/>
        <w:autoSpaceDE w:val="0"/>
        <w:widowControl/>
        <w:spacing w:line="240" w:lineRule="exact" w:before="23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continues to implement measures to improve planning, support sustainability and enhance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alignment of external funds with mission priorities through greater use of umbrella trust fund programs. </w:t>
      </w:r>
    </w:p>
    <w:p>
      <w:pPr>
        <w:autoSpaceDN w:val="0"/>
        <w:autoSpaceDE w:val="0"/>
        <w:widowControl/>
        <w:spacing w:line="240" w:lineRule="exact" w:before="22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IBRD’s share of fees from trust fund administration was $91 million ($99 million in FY24),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included in Revenue from externally funded activities (Table 3) on the Reported basis. On an Allocable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basis, this amount is part of Net non-interest expenses (Table 6). See Notes to Financial Statements, Note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L: Trust Funds Administration and Other Services. The decrease in fees was mainly driven by lower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disbursements to the trust funds. </w:t>
      </w:r>
    </w:p>
    <w:p>
      <w:pPr>
        <w:autoSpaceDN w:val="0"/>
        <w:autoSpaceDE w:val="0"/>
        <w:widowControl/>
        <w:spacing w:line="200" w:lineRule="exact" w:before="3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Reimbursable Advisory Services (RAS)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While most of IBRD’s advisory and analytical work is financed by its own budget or donor contributions (e.g.,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Trust Funds), clients may also pay for services. IBRD offers technical assistance and other advisory services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member countries, in connection with, and independent of, lending operations. Available services include,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example, assigning qualified professionals to survey developmental opportunities in member countries; analyzing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countries fiscal, economic, and developmental environments; helping members devise coordinated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programs; and improving their asset and liability management techniques. In FY25, IBRD earned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of $49 million ($47 million in FY24) from RAS, which is included in Revenue from externally funded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activities (Table 3) on the Reported basis. On an Allocable income basis, this amount is part of Net non-interest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expenses (Table 6). </w:t>
      </w:r>
    </w:p>
    <w:p>
      <w:pPr>
        <w:autoSpaceDN w:val="0"/>
        <w:autoSpaceDE w:val="0"/>
        <w:widowControl/>
        <w:spacing w:line="200" w:lineRule="exact" w:before="3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Externally Financed Outputs (EFOs)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offers donors the ability to contribute to specific projects and programs. EFO contributions are recorded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restricted revenue when received because they are grants for contractually specified purposes. In FY25,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had $5 million of restricted revenue, compared with $8 million in FY24, which are included in Net non-interest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expenses – reported basis in Table 6. </w:t>
      </w:r>
    </w:p>
    <w:p>
      <w:pPr>
        <w:autoSpaceDN w:val="0"/>
        <w:autoSpaceDE w:val="0"/>
        <w:widowControl/>
        <w:spacing w:line="240" w:lineRule="exact" w:before="23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Restrictions are released once the funds are used for the purposes specified by donors. In FY25, there was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release of $8 million ($8 million in FY24). </w:t>
      </w:r>
    </w:p>
    <w:p>
      <w:pPr>
        <w:autoSpaceDN w:val="0"/>
        <w:autoSpaceDE w:val="0"/>
        <w:widowControl/>
        <w:spacing w:line="200" w:lineRule="exact" w:before="3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Other Financial Products and Services </w:t>
      </w:r>
    </w:p>
    <w:p>
      <w:pPr>
        <w:autoSpaceDN w:val="0"/>
        <w:autoSpaceDE w:val="0"/>
        <w:widowControl/>
        <w:spacing w:line="20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Managing Financial Risks for Clients </w:t>
      </w:r>
    </w:p>
    <w:p>
      <w:pPr>
        <w:autoSpaceDN w:val="0"/>
        <w:autoSpaceDE w:val="0"/>
        <w:widowControl/>
        <w:spacing w:line="240" w:lineRule="exact" w:before="1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helps member countries build resilience by facilitating access to risk management solutions to mitigate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effects of currency, interest rate, and commodity price volatility, disasters, and extreme weather events. </w:t>
      </w:r>
    </w:p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36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Box 4 below lists some financial solutions and disaster risk financing instruments IBRD offers: </w:t>
      </w:r>
    </w:p>
    <w:p>
      <w:pPr>
        <w:autoSpaceDN w:val="0"/>
        <w:autoSpaceDE w:val="0"/>
        <w:widowControl/>
        <w:spacing w:line="200" w:lineRule="exact" w:before="406" w:after="20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Box 4: Financing Instruments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360"/>
      </w:tblGrid>
      <w:tr>
        <w:trPr>
          <w:trHeight w:hRule="exact" w:val="524"/>
        </w:trPr>
        <w:tc>
          <w:tcPr>
            <w:tcW w:type="dxa" w:w="4366"/>
            <w:tcBorders/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72" w:after="0"/>
              <w:ind w:left="0" w:right="0" w:firstLine="0"/>
              <w:jc w:val="center"/>
            </w:pPr>
            <w:r>
              <w:rPr>
                <w:w w:val="102.28789480108964"/>
                <w:rFonts w:ascii="ArialMT" w:hAnsi="ArialMT" w:eastAsia="ArialMT"/>
                <w:b w:val="0"/>
                <w:i w:val="0"/>
                <w:color w:val="FFFFFF"/>
                <w:sz w:val="19"/>
              </w:rPr>
              <w:t>Hedging Transactions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360"/>
      </w:tblGrid>
      <w:tr>
        <w:trPr>
          <w:trHeight w:hRule="exact" w:val="878"/>
        </w:trPr>
        <w:tc>
          <w:tcPr>
            <w:tcW w:type="dxa" w:w="4366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5.99999999999994" w:type="dxa"/>
            </w:tblPr>
            <w:tblGrid>
              <w:gridCol w:w="4366"/>
            </w:tblGrid>
            <w:tr>
              <w:trPr>
                <w:trHeight w:hRule="exact" w:val="562"/>
              </w:trPr>
              <w:tc>
                <w:tcPr>
                  <w:tcW w:type="dxa" w:w="3492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10" w:after="0"/>
                    <w:ind w:left="0" w:right="0" w:firstLine="0"/>
                    <w:jc w:val="center"/>
                  </w:pPr>
                  <w:r>
                    <w:rPr>
                      <w:w w:val="103.18666458129884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>Interest Rate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9360"/>
      </w:tblGrid>
      <w:tr>
        <w:trPr>
          <w:trHeight w:hRule="exact" w:val="582"/>
        </w:trPr>
        <w:tc>
          <w:tcPr>
            <w:tcW w:type="dxa" w:w="3492"/>
            <w:tcBorders/>
            <w:shd w:fill="e4ee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92"/>
            </w:tblGrid>
            <w:tr>
              <w:trPr>
                <w:trHeight w:hRule="exact" w:val="562"/>
              </w:trPr>
              <w:tc>
                <w:tcPr>
                  <w:tcW w:type="dxa" w:w="3492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08" w:after="0"/>
                    <w:ind w:left="0" w:right="0" w:firstLine="0"/>
                    <w:jc w:val="center"/>
                  </w:pPr>
                  <w:r>
                    <w:rPr>
                      <w:w w:val="103.18666458129884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>Currency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9360"/>
      </w:tblGrid>
      <w:tr>
        <w:trPr>
          <w:trHeight w:hRule="exact" w:val="664"/>
        </w:trPr>
        <w:tc>
          <w:tcPr>
            <w:tcW w:type="dxa" w:w="349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10" w:after="0"/>
              <w:ind w:left="0" w:right="0" w:firstLine="0"/>
              <w:jc w:val="center"/>
            </w:pPr>
            <w:r>
              <w:rPr>
                <w:w w:val="103.18666458129884"/>
                <w:rFonts w:ascii="ArialMT" w:hAnsi="ArialMT" w:eastAsia="ArialMT"/>
                <w:b w:val="0"/>
                <w:i w:val="0"/>
                <w:color w:val="FFFFFF"/>
                <w:sz w:val="15"/>
              </w:rPr>
              <w:t>Commodity Price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4688" w:space="0"/>
            <w:col w:w="46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524"/>
        </w:trPr>
        <w:tc>
          <w:tcPr>
            <w:tcW w:type="dxa" w:w="4352"/>
            <w:tcBorders/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72" w:after="0"/>
              <w:ind w:left="0" w:right="0" w:firstLine="0"/>
              <w:jc w:val="center"/>
            </w:pPr>
            <w:r>
              <w:rPr>
                <w:w w:val="102.28789480108964"/>
                <w:rFonts w:ascii="ArialMT" w:hAnsi="ArialMT" w:eastAsia="ArialMT"/>
                <w:b w:val="0"/>
                <w:i w:val="0"/>
                <w:color w:val="FFFFFF"/>
                <w:sz w:val="19"/>
              </w:rPr>
              <w:t>Disaster Risk Financing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878"/>
        </w:trPr>
        <w:tc>
          <w:tcPr>
            <w:tcW w:type="dxa" w:w="435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8.0000000000007" w:type="dxa"/>
            </w:tblPr>
            <w:tblGrid>
              <w:gridCol w:w="4352"/>
            </w:tblGrid>
            <w:tr>
              <w:trPr>
                <w:trHeight w:hRule="exact" w:val="562"/>
              </w:trPr>
              <w:tc>
                <w:tcPr>
                  <w:tcW w:type="dxa" w:w="3490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10" w:after="0"/>
                    <w:ind w:left="0" w:right="0" w:firstLine="0"/>
                    <w:jc w:val="center"/>
                  </w:pPr>
                  <w:r>
                    <w:rPr>
                      <w:w w:val="103.18666458129884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>Catastrophe Derivatives and Bonds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7" w:type="dxa"/>
      </w:tblPr>
      <w:tblGrid>
        <w:gridCol w:w="9360"/>
      </w:tblGrid>
      <w:tr>
        <w:trPr>
          <w:trHeight w:hRule="exact" w:val="582"/>
        </w:trPr>
        <w:tc>
          <w:tcPr>
            <w:tcW w:type="dxa" w:w="3490"/>
            <w:tcBorders/>
            <w:shd w:fill="e4ee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90"/>
            </w:tblGrid>
            <w:tr>
              <w:trPr>
                <w:trHeight w:hRule="exact" w:val="562"/>
              </w:trPr>
              <w:tc>
                <w:tcPr>
                  <w:tcW w:type="dxa" w:w="3490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208" w:after="0"/>
                    <w:ind w:left="0" w:right="0" w:firstLine="0"/>
                    <w:jc w:val="center"/>
                  </w:pPr>
                  <w:r>
                    <w:rPr>
                      <w:w w:val="103.18666458129884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>Insurance and Reinsurance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7" w:type="dxa"/>
      </w:tblPr>
      <w:tblGrid>
        <w:gridCol w:w="9360"/>
      </w:tblGrid>
      <w:tr>
        <w:trPr>
          <w:trHeight w:hRule="exact" w:val="664"/>
        </w:trPr>
        <w:tc>
          <w:tcPr>
            <w:tcW w:type="dxa" w:w="3490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10" w:after="0"/>
              <w:ind w:left="0" w:right="0" w:firstLine="0"/>
              <w:jc w:val="center"/>
            </w:pPr>
            <w:r>
              <w:rPr>
                <w:w w:val="103.18666458129884"/>
                <w:rFonts w:ascii="ArialMT" w:hAnsi="ArialMT" w:eastAsia="ArialMT"/>
                <w:b w:val="0"/>
                <w:i w:val="0"/>
                <w:color w:val="FFFFFF"/>
                <w:sz w:val="15"/>
              </w:rPr>
              <w:t>Regional Pooling Facilities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334"/>
        <w:ind w:left="0" w:right="0"/>
      </w:pP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4688" w:space="0"/>
            <w:col w:w="467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also intermediates the following risk management transactions for clients: </w:t>
      </w:r>
    </w:p>
    <w:p>
      <w:pPr>
        <w:autoSpaceDN w:val="0"/>
        <w:tabs>
          <w:tab w:pos="920" w:val="left"/>
        </w:tabs>
        <w:autoSpaceDE w:val="0"/>
        <w:widowControl/>
        <w:spacing w:line="242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Affiliated Organization: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assist IDA with its asset/liability management IBRD executed currency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forward contracts on its behalf. There were no open trades as of June 30, 2025.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2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Unaffiliated Organization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To assist the International Finance Facility for Immunization (IFFIm) with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asset/liability management strategy, IBRD executes currency and interest rate swaps on its behalf. In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addition, IBRD, as Treasury Manager, is a counterparty to IFFIm and enters into offsetting swaps with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 counterparties. During FY25, IBRD did not execute any swaps under this agreement. </w:t>
      </w:r>
    </w:p>
    <w:p>
      <w:pPr>
        <w:autoSpaceDN w:val="0"/>
        <w:autoSpaceDE w:val="0"/>
        <w:widowControl/>
        <w:spacing w:line="240" w:lineRule="exact" w:before="2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(See Section IX: Risk Management, for a detailed discussion of IBRD’s risk mitigation of these 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transactions). </w:t>
      </w:r>
    </w:p>
    <w:p>
      <w:pPr>
        <w:autoSpaceDN w:val="0"/>
        <w:autoSpaceDE w:val="0"/>
        <w:widowControl/>
        <w:spacing w:line="200" w:lineRule="exact" w:before="40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Asset Management </w:t>
      </w:r>
    </w:p>
    <w:p>
      <w:pPr>
        <w:autoSpaceDN w:val="0"/>
        <w:autoSpaceDE w:val="0"/>
        <w:widowControl/>
        <w:spacing w:line="240" w:lineRule="exact" w:before="12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Reserves Advisory and Management Partnership (RAMP) provides services that build clients’ capacity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 the sound management of their official sector assets. Clients include central banks, sovereign wealth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funds, national pension funds, and supranational organizations. RAMP helps clients upgrade their asset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capabilities, including portfolio and risk management, operational infrastructure, and human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resources capacity. Under most of these arrangements, IBRD is responsible for managing a portion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institution’s assets and, in return, receives a fee based on the average value of the portfolio managed (Table 22).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fees earned are used to provide training and capacity-building services. In addition to RAMP, IBRD invests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manages investments on behalf of IDA, MIGA, and trust funds; those investments are not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assets. </w:t>
      </w:r>
    </w:p>
    <w:p>
      <w:pPr>
        <w:autoSpaceDN w:val="0"/>
        <w:autoSpaceDE w:val="0"/>
        <w:widowControl/>
        <w:spacing w:line="200" w:lineRule="exact" w:before="28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22: RAMP - Assets and Revenues </w:t>
      </w:r>
    </w:p>
    <w:p>
      <w:pPr>
        <w:autoSpaceDN w:val="0"/>
        <w:autoSpaceDE w:val="0"/>
        <w:widowControl/>
        <w:spacing w:line="160" w:lineRule="exact" w:before="152" w:after="18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0"/>
        <w:gridCol w:w="2340"/>
        <w:gridCol w:w="2340"/>
        <w:gridCol w:w="2340"/>
      </w:tblGrid>
      <w:tr>
        <w:trPr>
          <w:trHeight w:hRule="exact" w:val="254"/>
        </w:trPr>
        <w:tc>
          <w:tcPr>
            <w:tcW w:type="dxa" w:w="76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99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00"/>
        </w:trPr>
        <w:tc>
          <w:tcPr>
            <w:tcW w:type="dxa" w:w="762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Assets managed under RAMP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 from RAMP . . . . . . . . . . . . . . . . . . . . . . . . . . . . . . . . . . . . . . . . . . . . . . . . . . . . . . . .</w:t>
            </w:r>
          </w:p>
        </w:tc>
        <w:tc>
          <w:tcPr>
            <w:tcW w:type="dxa" w:w="159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$27,772 $24,851 </w:t>
            </w:r>
          </w:p>
        </w:tc>
      </w:tr>
      <w:tr>
        <w:trPr>
          <w:trHeight w:hRule="exact" w:val="298"/>
        </w:trPr>
        <w:tc>
          <w:tcPr>
            <w:tcW w:type="dxa" w:w="2340"/>
            <w:vMerge/>
            <w:tcBorders>
              <w:top w:sz="8.0" w:val="single" w:color="#221F1F"/>
            </w:tcBorders>
          </w:tcPr>
          <w:p/>
        </w:tc>
        <w:tc>
          <w:tcPr>
            <w:tcW w:type="dxa" w:w="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15 $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40" w:lineRule="exact" w:before="18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noted in the discussion of Trust Fund Activities above, IBRD, alone or jointly with one or more of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affiliated organizations, administers funds restricted for specific uses on the donors’ behalf. This administration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governed by agreements with donors, who include members, their agencies and other entities. These funds are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37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held in trust and are not included on IBRD’s Balance Sheets, except for $575 million of undisbursed third-party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contributions made to trust funds executed by IBRD, individually or with other affiliated organizations,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recognized on the Balance Sheets. The funds held in trust by IBRD as administrator and trustee totaled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$64.3 billion in FY25, of which $0.5 billion ($0.1 billion in FY24) relates to IBRD’s own contributions to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trust funds (Table 23).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23: Funds Held in Trust by IBRD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54"/>
        </w:trPr>
        <w:tc>
          <w:tcPr>
            <w:tcW w:type="dxa" w:w="753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92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10"/>
        </w:trPr>
        <w:tc>
          <w:tcPr>
            <w:tcW w:type="dxa" w:w="753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Bank-executed activities . . . . . . . . . . . . . . . . . . . . . . . . . . . . . . . . . . . . . . . . . . . . . . . . . . . . . .</w:t>
            </w:r>
          </w:p>
        </w:tc>
        <w:tc>
          <w:tcPr>
            <w:tcW w:type="dxa" w:w="3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6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243 $</w:t>
            </w:r>
          </w:p>
        </w:tc>
        <w:tc>
          <w:tcPr>
            <w:tcW w:type="dxa" w:w="4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258 </w:t>
            </w:r>
          </w:p>
        </w:tc>
      </w:tr>
      <w:tr>
        <w:trPr>
          <w:trHeight w:hRule="exact" w:val="240"/>
        </w:trPr>
        <w:tc>
          <w:tcPr>
            <w:tcW w:type="dxa" w:w="7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Jointly executed with affiliated organizations . . . . . . . . . . . . . . . . . . . . . . . . . . . . . . . . . . . . . .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1,059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1,085 </w:t>
            </w:r>
          </w:p>
        </w:tc>
      </w:tr>
      <w:tr>
        <w:trPr>
          <w:trHeight w:hRule="exact" w:val="240"/>
        </w:trPr>
        <w:tc>
          <w:tcPr>
            <w:tcW w:type="dxa" w:w="7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Recipient-executed activities . . . . . . . . . . . . . . . . . . . . . . . . . . . . . . . . . . . . . . . . . . . . . . . . . .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6,035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3,330 </w:t>
            </w:r>
          </w:p>
        </w:tc>
      </w:tr>
      <w:tr>
        <w:trPr>
          <w:trHeight w:hRule="exact" w:val="240"/>
        </w:trPr>
        <w:tc>
          <w:tcPr>
            <w:tcW w:type="dxa" w:w="7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Financial intermediary funds . . . . . . . . . . . . . . . . . . . . . . . . . . . . . . . . . . . . . . . . . . . . . . . . . . .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48,478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29,826 </w:t>
            </w:r>
          </w:p>
        </w:tc>
      </w:tr>
      <w:tr>
        <w:trPr>
          <w:trHeight w:hRule="exact" w:val="280"/>
        </w:trPr>
        <w:tc>
          <w:tcPr>
            <w:tcW w:type="dxa" w:w="7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Execution not yet assigned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8,468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7,807 </w:t>
            </w:r>
          </w:p>
        </w:tc>
      </w:tr>
      <w:tr>
        <w:trPr>
          <w:trHeight w:hRule="exact" w:val="296"/>
        </w:trPr>
        <w:tc>
          <w:tcPr>
            <w:tcW w:type="dxa" w:w="7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fiduciary assets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680"/>
            <w:gridSpan w:val="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$64,283 $42,306 </w:t>
            </w:r>
          </w:p>
        </w:tc>
      </w:tr>
      <w:tr>
        <w:trPr>
          <w:trHeight w:hRule="exact" w:val="100"/>
        </w:trPr>
        <w:tc>
          <w:tcPr>
            <w:tcW w:type="dxa" w:w="75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40"/>
            <w:gridSpan w:val="4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These represent assets held in trust for which the determination as to the type of execution is yet to be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finalized. </w:t>
      </w:r>
    </w:p>
    <w:p>
      <w:pPr>
        <w:autoSpaceDN w:val="0"/>
        <w:autoSpaceDE w:val="0"/>
        <w:widowControl/>
        <w:spacing w:line="200" w:lineRule="exact" w:before="81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366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VI: INVESTMENT ACTIVITIES </w:t>
      </w:r>
    </w:p>
    <w:p>
      <w:pPr>
        <w:autoSpaceDN w:val="0"/>
        <w:autoSpaceDE w:val="0"/>
        <w:widowControl/>
        <w:spacing w:line="240" w:lineRule="exact" w:before="114" w:after="0"/>
        <w:ind w:left="1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held by IBRD are designated as trading and used mostly for liquidity purposes. As of June 30, 2025,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- Trading totaled $102.7 billion ($82.7 billion as of June 30, 2024). See Note C—Investments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Notes to the Financial Statements.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Liquid Asset Portfolio </w:t>
      </w:r>
    </w:p>
    <w:p>
      <w:pPr>
        <w:autoSpaceDN w:val="0"/>
        <w:autoSpaceDE w:val="0"/>
        <w:widowControl/>
        <w:spacing w:line="240" w:lineRule="exact" w:before="118" w:after="0"/>
        <w:ind w:left="1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Funds raised through IBRD’s borrowing activities that have not yet been deployed for lending are held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 asset portfolio to provide liquidity for IBRD’s operations. The portfolio is managed with the goal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ensuring sufficient cash flows to meet all of IBRD’s financial commitments. While it seeks a reasonable return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this portfolio, IBRD restricts its liquid assets to high-quality investments, consistent with its 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objective of prioritizing principal protection over yield. Liquid assets are managed conservatively and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held against disruptions in IBRD’s access to capital markets. </w:t>
      </w:r>
    </w:p>
    <w:p>
      <w:pPr>
        <w:autoSpaceDN w:val="0"/>
        <w:autoSpaceDE w:val="0"/>
        <w:widowControl/>
        <w:spacing w:line="240" w:lineRule="exact" w:before="24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liquid assets are held mainly in highly rated, fixed-income instruments (see Box 7: Eligibility Criteria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Investments) and include the following: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Government, agency, and corporate obligations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Time deposits and other unconditional obligations of banks and financial institutions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Asset-backed securities (including agency mortgage-backed securities)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Currency, interest rate and other risk management derivatives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Exchange-traded options and futures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24: Liquid Asset Portfolio by Asset Class </w:t>
      </w:r>
    </w:p>
    <w:p>
      <w:pPr>
        <w:autoSpaceDN w:val="0"/>
        <w:autoSpaceDE w:val="0"/>
        <w:widowControl/>
        <w:spacing w:line="160" w:lineRule="exact" w:before="150" w:after="30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ratios which are in percentages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902"/>
        <w:gridCol w:w="1902"/>
        <w:gridCol w:w="1902"/>
        <w:gridCol w:w="1902"/>
        <w:gridCol w:w="1902"/>
      </w:tblGrid>
      <w:tr>
        <w:trPr>
          <w:trHeight w:hRule="exact" w:val="254"/>
        </w:trPr>
        <w:tc>
          <w:tcPr>
            <w:tcW w:type="dxa" w:w="66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6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</w:t>
            </w:r>
          </w:p>
        </w:tc>
        <w:tc>
          <w:tcPr>
            <w:tcW w:type="dxa" w:w="8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5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</w:t>
            </w:r>
          </w:p>
        </w:tc>
      </w:tr>
    </w:tbl>
    <w:p>
      <w:pPr>
        <w:autoSpaceDN w:val="0"/>
        <w:autoSpaceDE w:val="0"/>
        <w:widowControl/>
        <w:spacing w:line="200" w:lineRule="exact" w:before="9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 asset portfolio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902"/>
        <w:gridCol w:w="1902"/>
        <w:gridCol w:w="1902"/>
        <w:gridCol w:w="1902"/>
        <w:gridCol w:w="1902"/>
      </w:tblGrid>
      <w:tr>
        <w:trPr>
          <w:trHeight w:hRule="exact" w:val="232"/>
        </w:trPr>
        <w:tc>
          <w:tcPr>
            <w:tcW w:type="dxa" w:w="66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Time Deposits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Government, agency and corporate obligations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Asset-backed Securities &amp; Others . . . . . . . . . . . . . . . . . . . . . . . . . . . . . . . . .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$52,279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55% $45,984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58% </w:t>
            </w:r>
          </w:p>
        </w:tc>
      </w:tr>
      <w:tr>
        <w:trPr>
          <w:trHeight w:hRule="exact" w:val="240"/>
        </w:trPr>
        <w:tc>
          <w:tcPr>
            <w:tcW w:type="dxa" w:w="1902"/>
            <w:vMerge/>
            <w:tcBorders>
              <w:bottom w:sz="4.0" w:val="single" w:color="#221F1F"/>
            </w:tcBorders>
          </w:tcPr>
          <w:p/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41,626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30,701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 </w:t>
            </w:r>
          </w:p>
        </w:tc>
      </w:tr>
      <w:tr>
        <w:trPr>
          <w:trHeight w:hRule="exact" w:val="256"/>
        </w:trPr>
        <w:tc>
          <w:tcPr>
            <w:tcW w:type="dxa" w:w="1902"/>
            <w:vMerge/>
            <w:tcBorders>
              <w:bottom w:sz="4.0" w:val="single" w:color="#221F1F"/>
            </w:tcBorders>
          </w:tcPr>
          <w:p/>
        </w:tc>
        <w:tc>
          <w:tcPr>
            <w:tcW w:type="dxa" w:w="8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2,138 </w:t>
            </w:r>
          </w:p>
        </w:tc>
        <w:tc>
          <w:tcPr>
            <w:tcW w:type="dxa" w:w="5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2,107 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</w:tr>
      <w:tr>
        <w:trPr>
          <w:trHeight w:hRule="exact" w:val="336"/>
        </w:trPr>
        <w:tc>
          <w:tcPr>
            <w:tcW w:type="dxa" w:w="66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276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$96,043 100% $78,792 100% </w:t>
            </w:r>
          </w:p>
        </w:tc>
      </w:tr>
    </w:tbl>
    <w:p>
      <w:pPr>
        <w:autoSpaceDN w:val="0"/>
        <w:autoSpaceDE w:val="0"/>
        <w:widowControl/>
        <w:spacing w:line="240" w:lineRule="exact" w:before="316" w:after="0"/>
        <w:ind w:left="1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keeps liquidity volumes above a Prudential Minimum which is defined by its financial policies as 80%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twelve-month Target Liquidity Level. The twelve-month Target Liquidity Level is calculated before the end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each fiscal year based on Management’s estimates of projected net loan disbursements approved at the time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projection and debt-service for the upcoming fiscal year. This twelve-month estimate becomes the target for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upcoming fiscal year and the Prudential Minimum is 80% of this target (see Section IX: Risk Management,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details of how IBRD manages liquidity risk). </w:t>
      </w:r>
    </w:p>
    <w:p>
      <w:pPr>
        <w:autoSpaceDN w:val="0"/>
        <w:autoSpaceDE w:val="0"/>
        <w:widowControl/>
        <w:spacing w:line="240" w:lineRule="exact" w:before="240" w:after="0"/>
        <w:ind w:left="1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liquid asset portfolio is composed largely of assets denominated in, or swapped into, U.S. dollars, with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to short-term interest rates after derivatives. The portfolio has an average duration of less than three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months, and the debt funding these liquid assets has a similar currency and duration profile. This is a direct result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IBRD’s exchange-rate and interest-rate-risk-management policies (see Section IX: Risk Management),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combined with appropriate investment guidelines (Box 7). </w:t>
      </w:r>
    </w:p>
    <w:p>
      <w:pPr>
        <w:autoSpaceDN w:val="0"/>
        <w:autoSpaceDE w:val="0"/>
        <w:widowControl/>
        <w:spacing w:line="200" w:lineRule="exact" w:before="900" w:after="0"/>
        <w:ind w:left="0" w:right="468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39 </w:t>
      </w:r>
    </w:p>
    <w:p>
      <w:pPr>
        <w:sectPr>
          <w:pgSz w:w="12240" w:h="15840"/>
          <w:pgMar w:top="766" w:right="129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maturity profile of IBRD’s liquid asset portfolio reflects a high degree of liquidity. As of June 30, 2025,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$77.9 billion (approximately 81% of total volume) was due to mature within six months, of which $24.3 billion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 expected to mature within one month.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IBRD’s total return on the liquid asset portfolio was 5.19%, a marginal decrease compared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FY24 total return of 5.81%, and consistent with the decreasing interest rate environment. In addition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monitoring gross investment returns relative to their benchmarks, IBRD also monitors overall earnings from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portfolio, net of funding costs. In FY25, IBRD had $65 million of revenue, net of funding costs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portfolio as discussed in Section III: Financial Results.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Other Investments </w:t>
      </w:r>
    </w:p>
    <w:p>
      <w:pPr>
        <w:autoSpaceDN w:val="0"/>
        <w:autoSpaceDE w:val="0"/>
        <w:widowControl/>
        <w:spacing w:line="240" w:lineRule="exact" w:before="118" w:after="0"/>
        <w:ind w:left="120" w:right="6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 to the liquid asset portfolio, the investment portfolio also includes holdings related to the PEBP,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PCRF, and other investments (see Note C—Investments). Table 25 below summarizes the net carrying value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investments: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25: Net Carrying Value of Other Investments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0"/>
        <w:gridCol w:w="2340"/>
        <w:gridCol w:w="2340"/>
        <w:gridCol w:w="2340"/>
      </w:tblGrid>
      <w:tr>
        <w:trPr>
          <w:trHeight w:hRule="exact" w:val="254"/>
        </w:trPr>
        <w:tc>
          <w:tcPr>
            <w:tcW w:type="dxa" w:w="7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5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2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10"/>
        </w:trPr>
        <w:tc>
          <w:tcPr>
            <w:tcW w:type="dxa" w:w="7820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PEBP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PCRF and others . . . . . . . . . . . . . . . . . . . . . . . . . . . . . . . . . . . . . . . . . . . . . . . . . . . . . . . . . . . . . .</w:t>
            </w:r>
          </w:p>
        </w:tc>
        <w:tc>
          <w:tcPr>
            <w:tcW w:type="dxa" w:w="139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$3,252 $2,939 </w:t>
            </w:r>
          </w:p>
        </w:tc>
      </w:tr>
      <w:tr>
        <w:trPr>
          <w:trHeight w:hRule="exact" w:val="256"/>
        </w:trPr>
        <w:tc>
          <w:tcPr>
            <w:tcW w:type="dxa" w:w="234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81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1,803 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949 </w:t>
            </w:r>
          </w:p>
        </w:tc>
      </w:tr>
      <w:tr>
        <w:trPr>
          <w:trHeight w:hRule="exact" w:val="336"/>
        </w:trPr>
        <w:tc>
          <w:tcPr>
            <w:tcW w:type="dxa" w:w="7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139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$5,055 $3,888 </w:t>
            </w:r>
          </w:p>
        </w:tc>
      </w:tr>
    </w:tbl>
    <w:p>
      <w:pPr>
        <w:autoSpaceDN w:val="0"/>
        <w:autoSpaceDE w:val="0"/>
        <w:widowControl/>
        <w:spacing w:line="200" w:lineRule="exact" w:before="70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40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VII: BORROWING ACTIVITIES </w:t>
      </w:r>
    </w:p>
    <w:p>
      <w:pPr>
        <w:autoSpaceDN w:val="0"/>
        <w:autoSpaceDE w:val="0"/>
        <w:widowControl/>
        <w:spacing w:line="240" w:lineRule="exact" w:before="10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been issuing bonds in the international capital markets since 1947. The proceeds of these bonds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 IBRD’s lending operations which are aimed at promoting sustainable development for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member countries. </w:t>
      </w:r>
    </w:p>
    <w:p>
      <w:pPr>
        <w:autoSpaceDN w:val="0"/>
        <w:autoSpaceDE w:val="0"/>
        <w:widowControl/>
        <w:spacing w:line="220" w:lineRule="exact" w:before="3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Borrowings </w:t>
      </w:r>
    </w:p>
    <w:p>
      <w:pPr>
        <w:autoSpaceDN w:val="0"/>
        <w:autoSpaceDE w:val="0"/>
        <w:widowControl/>
        <w:spacing w:line="240" w:lineRule="exact" w:before="11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borrows at attractive rates underpinned by its strong financial profile and shareholder support that together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the basis for its triple-A credit rating. As a result of its financial strength and triple-A credit rating, IBRD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recognized as a premier borrower and its bonds and notes are viewed as a high credit quality investment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global capital markets. </w:t>
      </w:r>
    </w:p>
    <w:p>
      <w:pPr>
        <w:autoSpaceDN w:val="0"/>
        <w:autoSpaceDE w:val="0"/>
        <w:widowControl/>
        <w:spacing w:line="240" w:lineRule="exact" w:before="22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the proceeds to finance development activities in creditworthy middle-income and low-income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 eligible to borrow from IBRD at market-based rates. Funding raised in any given year is used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operations, including loan disbursements, replacement of maturing debt, and prefunding for lending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activities. IBRD determines its funding requirements based on a three-year rolling horizon and funds about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one-third of the projected amount in the current fiscal year. </w:t>
      </w:r>
    </w:p>
    <w:p>
      <w:pPr>
        <w:autoSpaceDN w:val="0"/>
        <w:autoSpaceDE w:val="0"/>
        <w:widowControl/>
        <w:spacing w:line="240" w:lineRule="exact" w:before="22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discussed in Section I: Overview, IBRD uses currency and interest rate derivatives in connection with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borrowings for asset and liability management purposes. New medium and long-term funding is swapped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variable-rate U.S. dollar instruments, with conversion to other currencies carried out subsequently, as needed.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This is in accordance with loan funding requirements, so that IBRD can minimize interest rate and currency risk.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also uses derivatives to manage the re-pricing risks between loans and borrowings. Further discussion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how IBRD manages this risk is included in Section IX: Risk Management. </w:t>
      </w:r>
    </w:p>
    <w:p>
      <w:pPr>
        <w:autoSpaceDN w:val="0"/>
        <w:autoSpaceDE w:val="0"/>
        <w:widowControl/>
        <w:spacing w:line="240" w:lineRule="exact" w:before="22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issues short-term debt (maturing in one year or less), and medium- and long-term debt (with a maturity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greater than one year). In FY25, IBRD raised a total of $64.5 billion of medium- and long-term debt (Table 28).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time to time, IBRD exercises the call option in its callable bond issues; it may also repurchase its debt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meet other operational or strategic needs such as providing liquidity to its investors (Table 28). </w:t>
      </w:r>
    </w:p>
    <w:p>
      <w:pPr>
        <w:autoSpaceDN w:val="0"/>
        <w:autoSpaceDE w:val="0"/>
        <w:widowControl/>
        <w:spacing w:line="240" w:lineRule="exact" w:before="22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the borrowings totaled $306.2 billion, $44.4 billion higher than June 30, 2024 (see Note E: 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 in the Notes to the Financial Statements). The increase was primarily due to net medium-and long-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 debt issuances during the year (Table 28). </w:t>
      </w:r>
    </w:p>
    <w:p>
      <w:pPr>
        <w:autoSpaceDN w:val="0"/>
        <w:autoSpaceDE w:val="0"/>
        <w:widowControl/>
        <w:spacing w:line="200" w:lineRule="exact" w:before="26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26 illustrates the impact of derivatives on the currency composition of IBRD’s borrowing portfolio. </w:t>
      </w:r>
    </w:p>
    <w:p>
      <w:pPr>
        <w:autoSpaceDN w:val="0"/>
        <w:autoSpaceDE w:val="0"/>
        <w:widowControl/>
        <w:spacing w:line="200" w:lineRule="exact" w:before="3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26: Effect of Derivatives on Currency Composition of the Borrowing Portfolio – June 30, 2025 </w:t>
      </w:r>
    </w:p>
    <w:p>
      <w:pPr>
        <w:autoSpaceDN w:val="0"/>
        <w:autoSpaceDE w:val="0"/>
        <w:widowControl/>
        <w:spacing w:line="160" w:lineRule="exact" w:before="144" w:after="16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ratios which are in percentages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6106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2025 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Borrowings excluding </w:t>
            </w:r>
          </w:p>
        </w:tc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Borrowings including </w:t>
            </w:r>
          </w:p>
        </w:tc>
      </w:tr>
      <w:tr>
        <w:trPr>
          <w:trHeight w:hRule="exact" w:val="194"/>
        </w:trPr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161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6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derivatives </w:t>
            </w:r>
          </w:p>
        </w:tc>
        <w:tc>
          <w:tcPr>
            <w:tcW w:type="dxa" w:w="148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derivatives </w:t>
            </w:r>
          </w:p>
        </w:tc>
      </w:tr>
      <w:tr>
        <w:trPr>
          <w:trHeight w:hRule="exact" w:val="310"/>
        </w:trPr>
        <w:tc>
          <w:tcPr>
            <w:tcW w:type="dxa" w:w="610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US Dollar . . . . . . . . . . . . . . . . . . . . . . . . . . . . . . . . . . . . . . . . . . . . . . . . . .</w:t>
            </w:r>
          </w:p>
        </w:tc>
        <w:tc>
          <w:tcPr>
            <w:tcW w:type="dxa" w:w="161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5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62% </w:t>
            </w:r>
          </w:p>
        </w:tc>
        <w:tc>
          <w:tcPr>
            <w:tcW w:type="dxa" w:w="148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4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86% </w:t>
            </w:r>
          </w:p>
        </w:tc>
      </w:tr>
      <w:tr>
        <w:trPr>
          <w:trHeight w:hRule="exact" w:val="240"/>
        </w:trPr>
        <w:tc>
          <w:tcPr>
            <w:tcW w:type="dxa" w:w="6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Euro . . . . . . . . . . . . . . . . . . . . . . . . . . . . . . . . . . . . . . . . . . . . . . . . . . . . . . .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</w:tr>
      <w:tr>
        <w:trPr>
          <w:trHeight w:hRule="exact" w:val="256"/>
        </w:trPr>
        <w:tc>
          <w:tcPr>
            <w:tcW w:type="dxa" w:w="61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Others . . . . . . . . . . . . . . . . . . . . . . . . . . . . . . . . . . . . . . . . . . . . . . . . . . . . .</w:t>
            </w:r>
          </w:p>
        </w:tc>
        <w:tc>
          <w:tcPr>
            <w:tcW w:type="dxa" w:w="16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 </w:t>
            </w:r>
          </w:p>
        </w:tc>
        <w:tc>
          <w:tcPr>
            <w:tcW w:type="dxa" w:w="14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36"/>
        </w:trPr>
        <w:tc>
          <w:tcPr>
            <w:tcW w:type="dxa" w:w="61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6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</w:t>
            </w:r>
          </w:p>
        </w:tc>
        <w:tc>
          <w:tcPr>
            <w:tcW w:type="dxa" w:w="14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7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</w:t>
            </w:r>
          </w:p>
        </w:tc>
      </w:tr>
    </w:tbl>
    <w:p>
      <w:pPr>
        <w:autoSpaceDN w:val="0"/>
        <w:autoSpaceDE w:val="0"/>
        <w:widowControl/>
        <w:spacing w:line="240" w:lineRule="exact" w:before="19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IBRD’s total borrowings, after the effects of derivatives, carried variable rates with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weighted average cost of 4.4% (5.5% as of June 30, 2024). The decrease in the weighted average cost from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prior year reflects the decrease in the short-term market interest rates during the year. This also resulted in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decrease in IBRD’s weighted average loan rates, which are also based on IBRD’s funding cost. IBRD’s lending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spread was therefore not impacted by the decrease in short-term interest rates (Figure 2).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41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Short-Term Borrowings </w:t>
      </w:r>
    </w:p>
    <w:p>
      <w:pPr>
        <w:autoSpaceDN w:val="0"/>
        <w:autoSpaceDE w:val="0"/>
        <w:widowControl/>
        <w:spacing w:line="240" w:lineRule="exact" w:before="118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27 summarizes IBRD’s short-term borrowings, which mainly include discount notes, securities lent or sold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securities lending and repurchase agreements, and other short-term borrowings.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Discount Notes </w:t>
      </w:r>
    </w:p>
    <w:p>
      <w:pPr>
        <w:autoSpaceDN w:val="0"/>
        <w:autoSpaceDE w:val="0"/>
        <w:widowControl/>
        <w:spacing w:line="240" w:lineRule="exact" w:before="122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short-term borrowings consist mainly of discount notes issued in U.S. dollars. These borrowings have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weighted average maturity of approximately 136 days.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Securities Lent or Sold under Repurchase Agreements </w:t>
      </w:r>
    </w:p>
    <w:p>
      <w:pPr>
        <w:autoSpaceDN w:val="0"/>
        <w:autoSpaceDE w:val="0"/>
        <w:widowControl/>
        <w:spacing w:line="240" w:lineRule="exact" w:before="122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short-term borrowings are secured mainly by highly-rated collateral in the form of securities, including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government-issued debt, and have an average maturity of less than 30 days.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Other Short-Term Borrowings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short-term borrowings are mostly money market instruments that have maturities of one year or less.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27: Short-Term Borrowings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rates which are in percentages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59"/>
        <w:gridCol w:w="3159"/>
        <w:gridCol w:w="3159"/>
      </w:tblGrid>
      <w:tr>
        <w:trPr>
          <w:trHeight w:hRule="exact" w:val="240"/>
        </w:trPr>
        <w:tc>
          <w:tcPr>
            <w:tcW w:type="dxa" w:w="43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4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tabs>
          <w:tab w:pos="7740" w:val="left"/>
          <w:tab w:pos="8040" w:val="left"/>
          <w:tab w:pos="8890" w:val="left"/>
        </w:tabs>
        <w:autoSpaceDE w:val="0"/>
        <w:widowControl/>
        <w:spacing w:line="240" w:lineRule="exact" w:before="5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Discount notes </w:t>
      </w:r>
      <w:r>
        <w:rPr>
          <w:rFonts w:ascii="Times" w:hAnsi="Times" w:eastAsia="Times"/>
          <w:b/>
          <w:i w:val="0"/>
          <w:color w:val="231F20"/>
          <w:sz w:val="13"/>
        </w:rPr>
        <w:t xml:space="preserve">a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Average daily balance during the fiscal year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$13,166 $10,374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Weighted-average rate during the fiscal year . . . . . . . . . . . . . . . . . . . . . . . . . . . . . . . . . . . . . .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4.72%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5.39% </w:t>
      </w:r>
    </w:p>
    <w:p>
      <w:pPr>
        <w:autoSpaceDN w:val="0"/>
        <w:autoSpaceDE w:val="0"/>
        <w:widowControl/>
        <w:spacing w:line="200" w:lineRule="exact" w:before="27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Securities lent or sold under repurchase agreements </w:t>
      </w:r>
      <w:r>
        <w:rPr>
          <w:rFonts w:ascii="Times" w:hAnsi="Times" w:eastAsia="Times"/>
          <w:b/>
          <w:i w:val="0"/>
          <w:color w:val="231F20"/>
          <w:sz w:val="13"/>
        </w:rPr>
        <w:t>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69"/>
        <w:gridCol w:w="2369"/>
        <w:gridCol w:w="2369"/>
        <w:gridCol w:w="2369"/>
      </w:tblGrid>
      <w:tr>
        <w:trPr>
          <w:trHeight w:hRule="exact" w:val="232"/>
        </w:trPr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Average monthly balance during the fiscal year . . . . . . . . . . . . . . . . . . . . . . . . . . . . . . . . . . . 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449 $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723 </w:t>
            </w:r>
          </w:p>
        </w:tc>
      </w:tr>
      <w:tr>
        <w:trPr>
          <w:trHeight w:hRule="exact" w:val="288"/>
        </w:trPr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Weighted-average rate during the fiscal year . . . . . . . . . . . . . . . . . . . . . . . . . . . . . . . . . . . . . .</w:t>
            </w:r>
          </w:p>
        </w:tc>
        <w:tc>
          <w:tcPr>
            <w:tcW w:type="dxa" w:w="2369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4.88%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1.24% </w:t>
            </w:r>
          </w:p>
        </w:tc>
      </w:tr>
    </w:tbl>
    <w:p>
      <w:pPr>
        <w:autoSpaceDN w:val="0"/>
        <w:autoSpaceDE w:val="0"/>
        <w:widowControl/>
        <w:spacing w:line="200" w:lineRule="exact" w:before="2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Other short-term borrowings </w:t>
      </w:r>
      <w:r>
        <w:rPr>
          <w:rFonts w:ascii="Times" w:hAnsi="Times" w:eastAsia="Times"/>
          <w:b/>
          <w:i w:val="0"/>
          <w:color w:val="231F20"/>
          <w:sz w:val="13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95"/>
        <w:gridCol w:w="1895"/>
        <w:gridCol w:w="1895"/>
        <w:gridCol w:w="1895"/>
        <w:gridCol w:w="1895"/>
      </w:tblGrid>
      <w:tr>
        <w:trPr>
          <w:trHeight w:hRule="exact" w:val="232"/>
        </w:trPr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Average daily balance during the fiscal year . . . . . . . . . . . . . . . . . . . . . . . . . . . . . . . . . . . . . .</w:t>
            </w:r>
          </w:p>
        </w:tc>
        <w:tc>
          <w:tcPr>
            <w:tcW w:type="dxa" w:w="3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105 $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 </w:t>
            </w:r>
          </w:p>
        </w:tc>
      </w:tr>
      <w:tr>
        <w:trPr>
          <w:trHeight w:hRule="exact" w:val="476"/>
        </w:trPr>
        <w:tc>
          <w:tcPr>
            <w:tcW w:type="dxa" w:w="75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Weighted-average rate during the fiscal year . . . . . . . . . . . . . . . . . . . . . . . . . . . . . . . . . . . . . .</w:t>
            </w:r>
          </w:p>
        </w:tc>
        <w:tc>
          <w:tcPr>
            <w:tcW w:type="dxa" w:w="1895"/>
            <w:vMerge/>
            <w:tcBorders>
              <w:bottom w:sz="4.0" w:val="single" w:color="#221F1F"/>
            </w:tcBorders>
          </w:tcPr>
          <w:p/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4.69% 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5.44% </w:t>
            </w:r>
          </w:p>
        </w:tc>
      </w:tr>
      <w:tr>
        <w:trPr>
          <w:trHeight w:hRule="exact" w:val="304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7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At amortized cost which approximates fair value</w:t>
            </w:r>
          </w:p>
        </w:tc>
        <w:tc>
          <w:tcPr>
            <w:tcW w:type="dxa" w:w="30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Excludes securities related to PEBP and PCRF.</w:t>
            </w:r>
          </w:p>
        </w:tc>
        <w:tc>
          <w:tcPr>
            <w:tcW w:type="dxa" w:w="1895"/>
            <w:vMerge/>
            <w:tcBorders>
              <w:top w:sz="4.0" w:val="single" w:color="#221F1F"/>
            </w:tcBorders>
          </w:tcPr>
          <w:p/>
        </w:tc>
        <w:tc>
          <w:tcPr>
            <w:tcW w:type="dxa" w:w="1895"/>
            <w:vMerge/>
            <w:tcBorders>
              <w:top w:sz="4.0" w:val="single" w:color="#221F1F"/>
            </w:tcBorders>
          </w:tcPr>
          <w:p/>
        </w:tc>
        <w:tc>
          <w:tcPr>
            <w:tcW w:type="dxa" w:w="1895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3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Medium- and Long-Term Borrowings </w:t>
      </w:r>
    </w:p>
    <w:p>
      <w:pPr>
        <w:autoSpaceDN w:val="0"/>
        <w:autoSpaceDE w:val="0"/>
        <w:widowControl/>
        <w:spacing w:line="240" w:lineRule="exact" w:before="118" w:after="0"/>
        <w:ind w:left="120" w:right="18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FY25, medium- and long-term debt raised directly by IBRD in the capital markets amounted to $64.0 billion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an average maturity to first call of 5.5 years (Table 28). The increase in medium- and long-term debt raised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FY25 is primarily due to higher debt servicing and refinancing requirements. </w:t>
      </w:r>
    </w:p>
    <w:p>
      <w:pPr>
        <w:autoSpaceDN w:val="0"/>
        <w:autoSpaceDE w:val="0"/>
        <w:widowControl/>
        <w:spacing w:line="240" w:lineRule="exact" w:before="24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FY25, IBRD started issuing debt in the form of perpetual hybrid capital. As of June 30, 2025, the amount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raised was $0.5 billion. </w:t>
      </w:r>
    </w:p>
    <w:p>
      <w:pPr>
        <w:autoSpaceDN w:val="0"/>
        <w:autoSpaceDE w:val="0"/>
        <w:widowControl/>
        <w:spacing w:line="200" w:lineRule="exact" w:before="15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42 </w:t>
      </w:r>
    </w:p>
    <w:p>
      <w:pPr>
        <w:sectPr>
          <w:pgSz w:w="12240" w:h="15840"/>
          <w:pgMar w:top="764" w:right="13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28: Funding Operations Indicators </w:t>
      </w:r>
    </w:p>
    <w:p>
      <w:pPr>
        <w:autoSpaceDN w:val="0"/>
        <w:autoSpaceDE w:val="0"/>
        <w:widowControl/>
        <w:spacing w:line="160" w:lineRule="exact" w:before="150" w:after="34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maturities which are in years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67"/>
        <w:gridCol w:w="3167"/>
        <w:gridCol w:w="3167"/>
      </w:tblGrid>
      <w:tr>
        <w:trPr>
          <w:trHeight w:hRule="exact" w:val="254"/>
        </w:trPr>
        <w:tc>
          <w:tcPr>
            <w:tcW w:type="dxa" w:w="76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6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00" w:lineRule="exact" w:before="9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Issuances </w:t>
      </w:r>
      <w:r>
        <w:rPr>
          <w:rFonts w:ascii="Times" w:hAnsi="Times" w:eastAsia="Times"/>
          <w:b/>
          <w:i w:val="0"/>
          <w:color w:val="231F20"/>
          <w:sz w:val="13"/>
        </w:rPr>
        <w:t>a</w:t>
      </w:r>
    </w:p>
    <w:p>
      <w:pPr>
        <w:autoSpaceDN w:val="0"/>
        <w:tabs>
          <w:tab w:pos="7740" w:val="left"/>
        </w:tabs>
        <w:autoSpaceDE w:val="0"/>
        <w:widowControl/>
        <w:spacing w:line="200" w:lineRule="exact" w:before="4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Medium- and long-term funding raised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$64,545 $52,380 </w:t>
      </w:r>
    </w:p>
    <w:p>
      <w:pPr>
        <w:autoSpaceDN w:val="0"/>
        <w:tabs>
          <w:tab w:pos="8140" w:val="left"/>
          <w:tab w:pos="899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Average maturity to first call date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5.5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5.9 </w:t>
      </w:r>
    </w:p>
    <w:p>
      <w:pPr>
        <w:autoSpaceDN w:val="0"/>
        <w:tabs>
          <w:tab w:pos="8140" w:val="left"/>
          <w:tab w:pos="899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Average maturity to contractual final maturity </w:t>
      </w:r>
      <w:r>
        <w:rPr>
          <w:rFonts w:ascii="Times" w:hAnsi="Times" w:eastAsia="Times"/>
          <w:b w:val="0"/>
          <w:i w:val="0"/>
          <w:color w:val="231F20"/>
          <w:sz w:val="13"/>
        </w:rPr>
        <w:t>b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8.0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6.8 </w:t>
      </w:r>
    </w:p>
    <w:p>
      <w:pPr>
        <w:autoSpaceDN w:val="0"/>
        <w:autoSpaceDE w:val="0"/>
        <w:widowControl/>
        <w:spacing w:line="200" w:lineRule="exact" w:before="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Maturities </w:t>
      </w:r>
    </w:p>
    <w:p>
      <w:pPr>
        <w:autoSpaceDN w:val="0"/>
        <w:tabs>
          <w:tab w:pos="7740" w:val="left"/>
        </w:tabs>
        <w:autoSpaceDE w:val="0"/>
        <w:widowControl/>
        <w:spacing w:line="200" w:lineRule="exact" w:before="4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Medium- and long-term funding matured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$33,879 $29,786 </w:t>
      </w:r>
    </w:p>
    <w:p>
      <w:pPr>
        <w:autoSpaceDN w:val="0"/>
        <w:tabs>
          <w:tab w:pos="8140" w:val="left"/>
          <w:tab w:pos="899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Average maturity of debt matured </w:t>
      </w:r>
      <w:r>
        <w:rPr>
          <w:rFonts w:ascii="Times" w:hAnsi="Times" w:eastAsia="Times"/>
          <w:b w:val="0"/>
          <w:i w:val="0"/>
          <w:color w:val="231F20"/>
          <w:sz w:val="13"/>
        </w:rPr>
        <w:t>b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6.4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4.4 </w:t>
      </w:r>
    </w:p>
    <w:p>
      <w:pPr>
        <w:autoSpaceDN w:val="0"/>
        <w:autoSpaceDE w:val="0"/>
        <w:widowControl/>
        <w:spacing w:line="200" w:lineRule="exact" w:before="3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Called/Repurchased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67"/>
        <w:gridCol w:w="3167"/>
        <w:gridCol w:w="3167"/>
      </w:tblGrid>
      <w:tr>
        <w:trPr>
          <w:trHeight w:hRule="exact" w:val="268"/>
        </w:trPr>
        <w:tc>
          <w:tcPr>
            <w:tcW w:type="dxa" w:w="75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Medium- and long-term funding called/repurchased . . . . . . . . . . . . . . . . . . . . . . . . . . . . . . . .</w:t>
            </w:r>
          </w:p>
        </w:tc>
        <w:tc>
          <w:tcPr>
            <w:tcW w:type="dxa" w:w="1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4,676 $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1,960 </w:t>
            </w:r>
          </w:p>
        </w:tc>
      </w:tr>
      <w:tr>
        <w:trPr>
          <w:trHeight w:hRule="exact" w:val="304"/>
        </w:trPr>
        <w:tc>
          <w:tcPr>
            <w:tcW w:type="dxa" w:w="1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a. </w:t>
            </w:r>
          </w:p>
        </w:tc>
        <w:tc>
          <w:tcPr>
            <w:tcW w:type="dxa" w:w="908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Expected life of IBRD’s bonds are generally between first call date and the contractual final maturity.</w:t>
            </w:r>
          </w:p>
        </w:tc>
      </w:tr>
      <w:tr>
        <w:trPr>
          <w:trHeight w:hRule="exact" w:val="288"/>
        </w:trPr>
        <w:tc>
          <w:tcPr>
            <w:tcW w:type="dxa" w:w="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b. </w:t>
            </w:r>
          </w:p>
        </w:tc>
        <w:tc>
          <w:tcPr>
            <w:tcW w:type="dxa" w:w="9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Excludes hybrid capital that has no defined maturity period.</w:t>
            </w:r>
          </w:p>
        </w:tc>
      </w:tr>
    </w:tbl>
    <w:p>
      <w:pPr>
        <w:autoSpaceDN w:val="0"/>
        <w:autoSpaceDE w:val="0"/>
        <w:widowControl/>
        <w:spacing w:line="200" w:lineRule="exact" w:before="2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29: Maturity Profile of Medium Long-Term Debt </w:t>
      </w:r>
    </w:p>
    <w:p>
      <w:pPr>
        <w:autoSpaceDN w:val="0"/>
        <w:autoSpaceDE w:val="0"/>
        <w:widowControl/>
        <w:spacing w:line="160" w:lineRule="exact" w:before="11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60" w:after="36"/>
        <w:ind w:left="0" w:right="2600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trHeight w:hRule="exact" w:val="203"/>
        </w:trPr>
        <w:tc>
          <w:tcPr>
            <w:tcW w:type="dxa" w:w="3086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Less than 1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1 to 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 to 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3 to 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4 to 5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After 5 </w:t>
            </w:r>
          </w:p>
        </w:tc>
      </w:tr>
      <w:tr>
        <w:trPr>
          <w:trHeight w:hRule="exact" w:val="194"/>
        </w:trPr>
        <w:tc>
          <w:tcPr>
            <w:tcW w:type="dxa" w:w="1056"/>
            <w:vMerge/>
            <w:tcBorders>
              <w:bottom w:sz="8.0" w:val="single" w:color="#221F1F"/>
            </w:tcBorders>
          </w:tcPr>
          <w:p/>
        </w:tc>
        <w:tc>
          <w:tcPr>
            <w:tcW w:type="dxa" w:w="92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</w:t>
            </w:r>
          </w:p>
        </w:tc>
        <w:tc>
          <w:tcPr>
            <w:tcW w:type="dxa" w:w="5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</w:t>
            </w:r>
          </w:p>
        </w:tc>
        <w:tc>
          <w:tcPr>
            <w:tcW w:type="dxa" w:w="8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</w:t>
            </w:r>
          </w:p>
        </w:tc>
        <w:tc>
          <w:tcPr>
            <w:tcW w:type="dxa" w:w="115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</w:t>
            </w:r>
          </w:p>
        </w:tc>
        <w:tc>
          <w:tcPr>
            <w:tcW w:type="dxa" w:w="7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</w:t>
            </w:r>
          </w:p>
        </w:tc>
        <w:tc>
          <w:tcPr>
            <w:tcW w:type="dxa" w:w="10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0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3086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Medium and Long-Term Debt . . . .</w:t>
            </w:r>
          </w:p>
        </w:tc>
        <w:tc>
          <w:tcPr>
            <w:tcW w:type="dxa" w:w="928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$34,173 </w:t>
            </w:r>
          </w:p>
        </w:tc>
        <w:tc>
          <w:tcPr>
            <w:tcW w:type="dxa" w:w="5250"/>
            <w:gridSpan w:val="7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$37,482 $36,816 $32,710 $39,117 $112,874 $293,172 </w:t>
            </w:r>
          </w:p>
        </w:tc>
      </w:tr>
    </w:tbl>
    <w:p>
      <w:pPr>
        <w:autoSpaceDN w:val="0"/>
        <w:autoSpaceDE w:val="0"/>
        <w:widowControl/>
        <w:spacing w:line="200" w:lineRule="exact" w:before="3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shown below, 74% of IBRD’s medium-and long-term borrowings issued during the year were in U.S. dollars: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30: Medium and Long-Term Borrowings Raised by Currency during the year, Excluding 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Derivatives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ratios which are in percentages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67"/>
        <w:gridCol w:w="3167"/>
        <w:gridCol w:w="3167"/>
      </w:tblGrid>
      <w:tr>
        <w:trPr>
          <w:trHeight w:hRule="exact" w:val="254"/>
        </w:trPr>
        <w:tc>
          <w:tcPr>
            <w:tcW w:type="dxa" w:w="82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4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10"/>
        </w:trPr>
        <w:tc>
          <w:tcPr>
            <w:tcW w:type="dxa" w:w="8280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0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US Dollar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Euro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Others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109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74% 61% </w:t>
            </w:r>
          </w:p>
        </w:tc>
      </w:tr>
      <w:tr>
        <w:trPr>
          <w:trHeight w:hRule="exact" w:val="240"/>
        </w:trPr>
        <w:tc>
          <w:tcPr>
            <w:tcW w:type="dxa" w:w="3167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</w:tr>
      <w:tr>
        <w:trPr>
          <w:trHeight w:hRule="exact" w:val="268"/>
        </w:trPr>
        <w:tc>
          <w:tcPr>
            <w:tcW w:type="dxa" w:w="3167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</w:tr>
      <w:tr>
        <w:trPr>
          <w:trHeight w:hRule="exact" w:val="324"/>
        </w:trPr>
        <w:tc>
          <w:tcPr>
            <w:tcW w:type="dxa" w:w="82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1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100% </w:t>
            </w:r>
          </w:p>
        </w:tc>
      </w:tr>
    </w:tbl>
    <w:p>
      <w:pPr>
        <w:autoSpaceDN w:val="0"/>
        <w:autoSpaceDE w:val="0"/>
        <w:widowControl/>
        <w:spacing w:line="200" w:lineRule="exact" w:before="3976" w:after="0"/>
        <w:ind w:left="0" w:right="467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43 </w:t>
      </w:r>
    </w:p>
    <w:p>
      <w:pPr>
        <w:sectPr>
          <w:pgSz w:w="12240" w:h="15840"/>
          <w:pgMar w:top="764" w:right="130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VIII: CAPITAL ACTIVITIES </w:t>
      </w:r>
    </w:p>
    <w:p>
      <w:pPr>
        <w:autoSpaceDN w:val="0"/>
        <w:autoSpaceDE w:val="0"/>
        <w:widowControl/>
        <w:spacing w:line="220" w:lineRule="exact" w:before="1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Capital Structure </w:t>
      </w:r>
    </w:p>
    <w:p>
      <w:pPr>
        <w:autoSpaceDN w:val="0"/>
        <w:autoSpaceDE w:val="0"/>
        <w:widowControl/>
        <w:spacing w:line="200" w:lineRule="exact" w:before="1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Principal Shareholders and Voting Power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 had 189 member countries, with the top six accounting for 40% of the total voting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power (Figure 11). The United States is IBRD’s largest shareholder, with 15.79% of total voting power.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Accordingly, it also has the largest share of IBRD’s uncalled capital, $50,627 million, or 17% of total uncalled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member countries holding a credit rating of AA and above accounted for 34% of the total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voting power.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Subscribed Capital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Total subscribed capital is comprised of paid-in capital and uncalled subscribed capital. See Statement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Subscriptions to Capital Stock and Voting Power in IBRD’s Financial Statements for balances by country. </w:t>
      </w:r>
    </w:p>
    <w:p>
      <w:pPr>
        <w:autoSpaceDN w:val="0"/>
        <w:autoSpaceDE w:val="0"/>
        <w:widowControl/>
        <w:spacing w:line="200" w:lineRule="exact" w:before="398" w:after="126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11: Voting Power of Top Six Members 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08"/>
        </w:trPr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918" w:right="0" w:hanging="504"/>
              <w:jc w:val="left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United States </w:t>
            </w:r>
            <w:r>
              <w:br/>
            </w: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>Japan</w:t>
            </w:r>
          </w:p>
          <w:p>
            <w:pPr>
              <w:autoSpaceDN w:val="0"/>
              <w:autoSpaceDE w:val="0"/>
              <w:widowControl/>
              <w:spacing w:line="348" w:lineRule="exact" w:before="30" w:after="0"/>
              <w:ind w:left="1704" w:right="0" w:firstLine="230"/>
              <w:jc w:val="left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China </w:t>
            </w:r>
            <w:r>
              <w:br/>
            </w: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>Germany</w:t>
            </w:r>
          </w:p>
          <w:p>
            <w:pPr>
              <w:autoSpaceDN w:val="0"/>
              <w:autoSpaceDE w:val="0"/>
              <w:widowControl/>
              <w:spacing w:line="348" w:lineRule="exact" w:before="28" w:after="0"/>
              <w:ind w:left="1242" w:right="0" w:firstLine="616"/>
              <w:jc w:val="left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France </w:t>
            </w:r>
            <w:r>
              <w:br/>
            </w:r>
            <w:r>
              <w:rPr>
                <w:w w:val="103.31866582234701"/>
                <w:rFonts w:ascii="ArialMT" w:hAnsi="ArialMT" w:eastAsia="ArialMT"/>
                <w:b w:val="0"/>
                <w:i w:val="0"/>
                <w:color w:val="231F20"/>
                <w:sz w:val="15"/>
              </w:rPr>
              <w:t>United Kingdom</w:t>
            </w:r>
          </w:p>
        </w:tc>
        <w:tc>
          <w:tcPr>
            <w:tcW w:type="dxa" w:w="4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1130"/>
              <w:gridCol w:w="1130"/>
              <w:gridCol w:w="1130"/>
              <w:gridCol w:w="1130"/>
            </w:tblGrid>
            <w:tr>
              <w:trPr>
                <w:trHeight w:hRule="exact" w:val="526"/>
              </w:trPr>
              <w:tc>
                <w:tcPr>
                  <w:tcW w:type="dxa" w:w="2970"/>
                  <w:tcBorders>
                    <w:start w:sz="5.76800012588501" w:val="single" w:color="#9B9D9F"/>
                    <w:bottom w:sz="5.76800012588501" w:val="single" w:color="#9B9D9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6" w:val="left"/>
                      <w:tab w:pos="960" w:val="left"/>
                      <w:tab w:pos="1130" w:val="left"/>
                      <w:tab w:pos="2376" w:val="left"/>
                    </w:tabs>
                    <w:autoSpaceDE w:val="0"/>
                    <w:widowControl/>
                    <w:spacing w:line="346" w:lineRule="exact" w:before="0" w:after="0"/>
                    <w:ind w:left="658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3.01132837931316"/>
                      <w:rFonts w:ascii="ArialMT" w:hAnsi="ArialMT" w:eastAsia="ArialMT"/>
                      <w:b w:val="0"/>
                      <w:i w:val="0"/>
                      <w:color w:val="231F20"/>
                      <w:sz w:val="15"/>
                    </w:rPr>
                    <w:t xml:space="preserve">15.79%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3.01132837931316"/>
                      <w:rFonts w:ascii="ArialMT" w:hAnsi="ArialMT" w:eastAsia="ArialMT"/>
                      <w:b w:val="0"/>
                      <w:i w:val="0"/>
                      <w:color w:val="231F20"/>
                      <w:sz w:val="15"/>
                    </w:rPr>
                    <w:t xml:space="preserve">7.00%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w w:val="103.01132837931316"/>
                      <w:rFonts w:ascii="ArialMT" w:hAnsi="ArialMT" w:eastAsia="ArialMT"/>
                      <w:b w:val="0"/>
                      <w:i w:val="0"/>
                      <w:color w:val="231F20"/>
                      <w:sz w:val="15"/>
                    </w:rPr>
                    <w:t xml:space="preserve">5.85% </w:t>
                  </w:r>
                  <w:r>
                    <w:br/>
                  </w:r>
                  <w:r>
                    <w:rPr>
                      <w:w w:val="103.01132837931316"/>
                      <w:rFonts w:ascii="ArialMT" w:hAnsi="ArialMT" w:eastAsia="ArialMT"/>
                      <w:b w:val="0"/>
                      <w:i w:val="0"/>
                      <w:color w:val="231F20"/>
                      <w:sz w:val="15"/>
                    </w:rPr>
                    <w:t xml:space="preserve">4.16% </w:t>
                  </w:r>
                  <w:r>
                    <w:br/>
                  </w:r>
                  <w:r>
                    <w:rPr>
                      <w:w w:val="103.01132837931316"/>
                      <w:rFonts w:ascii="ArialMT" w:hAnsi="ArialMT" w:eastAsia="ArialMT"/>
                      <w:b w:val="0"/>
                      <w:i w:val="0"/>
                      <w:color w:val="231F20"/>
                      <w:sz w:val="15"/>
                    </w:rPr>
                    <w:t xml:space="preserve">3.82% </w:t>
                  </w:r>
                  <w:r>
                    <w:br/>
                  </w:r>
                  <w:r>
                    <w:rPr>
                      <w:w w:val="103.31866582234701"/>
                      <w:rFonts w:ascii="ArialMT" w:hAnsi="ArialMT" w:eastAsia="ArialMT"/>
                      <w:b w:val="0"/>
                      <w:i w:val="0"/>
                      <w:color w:val="231F20"/>
                      <w:sz w:val="15"/>
                    </w:rPr>
                    <w:t>3.82%</w:t>
                  </w:r>
                </w:p>
              </w:tc>
              <w:tc>
                <w:tcPr>
                  <w:tcW w:type="dxa" w:w="1130"/>
                  <w:tcBorders>
                    <w:start w:sz="5.76800012588501" w:val="single" w:color="#9B9D9F"/>
                    <w:bottom w:sz="5.76800012588501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0"/>
                  <w:tcBorders>
                    <w:start w:sz="5.76800012588501" w:val="single" w:color="#9B9D9F"/>
                    <w:bottom w:sz="5.76800012588501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0"/>
                  <w:tcBorders>
                    <w:start w:sz="5.76800012588501" w:val="single" w:color="#9B9D9F"/>
                    <w:bottom w:sz="5.76800012588501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8"/>
        </w:trPr>
        <w:tc>
          <w:tcPr>
            <w:tcW w:type="dxa" w:w="156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70" w:right="0" w:firstLine="0"/>
              <w:jc w:val="left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>0%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0" w:firstLine="0"/>
              <w:jc w:val="center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>5%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0" w:firstLine="0"/>
              <w:jc w:val="center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>10%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0" w:firstLine="0"/>
              <w:jc w:val="center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>15%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238" w:right="0" w:firstLine="0"/>
              <w:jc w:val="left"/>
            </w:pPr>
            <w:r>
              <w:rPr>
                <w:w w:val="103.01132837931316"/>
                <w:rFonts w:ascii="ArialMT" w:hAnsi="ArialMT" w:eastAsia="ArialMT"/>
                <w:b w:val="0"/>
                <w:i w:val="0"/>
                <w:color w:val="231F20"/>
                <w:sz w:val="15"/>
              </w:rPr>
              <w:t>20%</w:t>
            </w:r>
          </w:p>
        </w:tc>
      </w:tr>
    </w:tbl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31: Breakdown of IBRD Subscribed Capital </w:t>
      </w:r>
    </w:p>
    <w:p>
      <w:pPr>
        <w:autoSpaceDN w:val="0"/>
        <w:autoSpaceDE w:val="0"/>
        <w:widowControl/>
        <w:spacing w:line="160" w:lineRule="exact" w:before="150" w:after="34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dollars, except ratios which are in percentages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4"/>
        </w:trPr>
        <w:tc>
          <w:tcPr>
            <w:tcW w:type="dxa" w:w="613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3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</w:t>
            </w:r>
          </w:p>
        </w:tc>
        <w:tc>
          <w:tcPr>
            <w:tcW w:type="dxa" w:w="9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9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85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Variance </w:t>
            </w:r>
          </w:p>
        </w:tc>
      </w:tr>
    </w:tbl>
    <w:p>
      <w:pPr>
        <w:autoSpaceDN w:val="0"/>
        <w:autoSpaceDE w:val="0"/>
        <w:widowControl/>
        <w:spacing w:line="200" w:lineRule="exact" w:before="9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Subscribed capital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30"/>
        </w:trPr>
        <w:tc>
          <w:tcPr>
            <w:tcW w:type="dxa" w:w="6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Paid-in capital . . . . . . . . . . . . . . . . . . . . . . . . . . . . . . . . . . . . . . . . . . .</w:t>
            </w:r>
          </w:p>
        </w:tc>
        <w:tc>
          <w:tcPr>
            <w:tcW w:type="dxa" w:w="2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7%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22,911 $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22,452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459 </w:t>
            </w:r>
          </w:p>
        </w:tc>
      </w:tr>
      <w:tr>
        <w:trPr>
          <w:trHeight w:hRule="exact" w:val="258"/>
        </w:trPr>
        <w:tc>
          <w:tcPr>
            <w:tcW w:type="dxa" w:w="61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Uncalled Subscribed capital . . . . . . . . . . . . . . . . . . . . . . . . . . . . . . . .</w:t>
            </w:r>
          </w:p>
        </w:tc>
        <w:tc>
          <w:tcPr>
            <w:tcW w:type="dxa" w:w="14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93% 303,924 </w:t>
            </w:r>
          </w:p>
        </w:tc>
        <w:tc>
          <w:tcPr>
            <w:tcW w:type="dxa" w:w="10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300,620 </w:t>
            </w:r>
          </w:p>
        </w:tc>
        <w:tc>
          <w:tcPr>
            <w:tcW w:type="dxa" w:w="6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3,304 </w:t>
            </w:r>
          </w:p>
        </w:tc>
      </w:tr>
      <w:tr>
        <w:trPr>
          <w:trHeight w:hRule="exact" w:val="336"/>
        </w:trPr>
        <w:tc>
          <w:tcPr>
            <w:tcW w:type="dxa" w:w="61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subscribed capital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</w:t>
            </w:r>
          </w:p>
        </w:tc>
        <w:tc>
          <w:tcPr>
            <w:tcW w:type="dxa" w:w="241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$326,835 $323,072 </w:t>
            </w:r>
          </w:p>
        </w:tc>
        <w:tc>
          <w:tcPr>
            <w:tcW w:type="dxa" w:w="6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$3,763 </w:t>
            </w:r>
          </w:p>
        </w:tc>
      </w:tr>
    </w:tbl>
    <w:p>
      <w:pPr>
        <w:autoSpaceDN w:val="0"/>
        <w:autoSpaceDE w:val="0"/>
        <w:widowControl/>
        <w:spacing w:line="200" w:lineRule="exact" w:before="23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Uncalled Subscribed Capital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the total uncalled portion of subscriptions was $303,924 million. The amount may be called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only when required to meet IBRD’s obligations for funds borrowed or loans guaranteed and is, thus, not available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use by IBRD when making loans. Of this amount, $42,456 million was restricted pursuant to resolutions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Board of Governors (though such conditions are not required by IBRD’s Articles). While these resolutions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not legally binding on future Board of Governors, they do record an understanding among members that this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 will not be called for use by IBRD in its lending activities or for administrative purposes. </w:t>
      </w:r>
    </w:p>
    <w:p>
      <w:pPr>
        <w:autoSpaceDN w:val="0"/>
        <w:autoSpaceDE w:val="0"/>
        <w:widowControl/>
        <w:spacing w:line="200" w:lineRule="exact" w:before="77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44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No call has ever been made on IBRD’s capital. Any such calls are required to be uniform, but the obligations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members to make payment on such calls are independent of one another. If the amount received on a call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insufficient to meet the obligations of IBRD for which the call is made, IBRD has the right to make further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calls until the amounts received are sufficient to meet such obligations. On any such call or calls, however, no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is required to pay more than the unpaid balance of its capital subscription.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 Bretton Woods Agreements Act and other U.S. legislation, the Secretary of the U.S. Treasury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permitted to pay approximately $7,663 million of the uncalled portion of the subscription of the United States, if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called for use by IBRD, without need for further congressional action.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balance of the uncalled portion of the U.S. subscription, $42,964 million, has been authorized but not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appropriated by the U.S. Congress. Further action by the U.S. Congress is required to enable the Secretary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U.S. Treasury to pay any portion of this balance. The General Counsel of the U.S. Treasury has rendered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opinion that the entire uncalled portion of the U.S. subscription is an obligation backed by the full faith and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U.S., notwithstanding that congressional appropriations have not been obtained with respect to certain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portions of the subscription.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Capital Increases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October 2018, the Governors approved a new GCI and SCI as part of a capital package that includes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institutional and financial reforms designed to ensure long-term financial sustainability. The capital increases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result in additional subscribed capital of up to $60.1 billion, with $7.5 billion of paid-in capital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$52.6 billion of callable capital. The subscription period for the GCI and SCI ends on October 1, 2025.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Paid-In Capital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Paid-in capital has two components: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U.S. dollar portion, which is freely available for use by IBRD.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National Currency Paid-In Capital (NCPIC) portion, usage of which is subject to certain restrictions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Articles and is subject to Maintenance-Of-Value (MOV) requirements. For additional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details see the Notes to the Financial Statements, Note A: Summary of Significant Accounting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Related Policies.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Usable Paid-in Capital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Usable paid-in capital represents the portion of paid-in capital that is available to support IBRD’s risk bearing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capacity and includes all U.S. dollar paid-in capital, as well as NCPIC for which use restrictions have been lifted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(referred to as released NCPIC). The adjustments made to paid-in capital to arrive at usable paid-in capital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provided in Table 32.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$736 million increase in usable paid-in capital during FY25 was primarily due to the receipt of $333 million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GCI and $126 million for SCI during FY25. </w:t>
      </w:r>
    </w:p>
    <w:p>
      <w:pPr>
        <w:autoSpaceDN w:val="0"/>
        <w:autoSpaceDE w:val="0"/>
        <w:widowControl/>
        <w:spacing w:line="200" w:lineRule="exact" w:before="24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32: Usable Paid-in Capital </w:t>
      </w:r>
    </w:p>
    <w:p>
      <w:pPr>
        <w:autoSpaceDN w:val="0"/>
        <w:autoSpaceDE w:val="0"/>
        <w:widowControl/>
        <w:spacing w:line="160" w:lineRule="exact" w:before="150" w:after="34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4"/>
        </w:trPr>
        <w:tc>
          <w:tcPr>
            <w:tcW w:type="dxa" w:w="683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6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103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7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Variance </w:t>
            </w:r>
          </w:p>
        </w:tc>
      </w:tr>
      <w:tr>
        <w:trPr>
          <w:trHeight w:hRule="exact" w:val="310"/>
        </w:trPr>
        <w:tc>
          <w:tcPr>
            <w:tcW w:type="dxa" w:w="683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Paid-in Capital . . . . . . . . . . . . . . . . . . . . . . . . . . . . . . . . . . . . . . . . . . . . . . . . . . . . . .</w:t>
            </w:r>
          </w:p>
        </w:tc>
        <w:tc>
          <w:tcPr>
            <w:tcW w:type="dxa" w:w="170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$22,911 $22,452 </w:t>
            </w:r>
          </w:p>
        </w:tc>
        <w:tc>
          <w:tcPr>
            <w:tcW w:type="dxa" w:w="67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$459 </w:t>
            </w:r>
          </w:p>
        </w:tc>
      </w:tr>
      <w:tr>
        <w:trPr>
          <w:trHeight w:hRule="exact" w:val="248"/>
        </w:trPr>
        <w:tc>
          <w:tcPr>
            <w:tcW w:type="dxa" w:w="6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Deferred amounts to maintain value of currency holdings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</w:t>
            </w:r>
          </w:p>
        </w:tc>
        <w:tc>
          <w:tcPr>
            <w:tcW w:type="dxa" w:w="9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(298) </w:t>
            </w:r>
          </w:p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(558)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Adjustments for unreleased NCPIC: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40"/>
        <w:gridCol w:w="2340"/>
        <w:gridCol w:w="2340"/>
        <w:gridCol w:w="2340"/>
      </w:tblGrid>
      <w:tr>
        <w:trPr>
          <w:trHeight w:hRule="exact" w:val="240"/>
        </w:trPr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Restricted cash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(61)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(66)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Nonnegotiable, noninterest-bearing demand obligations on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6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account of subscribed capital . . . . . . . . . . . . . . . . . . . . . . . . . . . . . . . . . . . . . . 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(313)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(310)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(3) </w:t>
            </w:r>
          </w:p>
        </w:tc>
      </w:tr>
      <w:tr>
        <w:trPr>
          <w:trHeight w:hRule="exact" w:val="240"/>
        </w:trPr>
        <w:tc>
          <w:tcPr>
            <w:tcW w:type="dxa" w:w="6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Receivable amounts to maintain value of currency holdings . . . . . . . . . . . . . 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(325)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(337)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 </w:t>
            </w:r>
          </w:p>
        </w:tc>
      </w:tr>
      <w:tr>
        <w:trPr>
          <w:trHeight w:hRule="exact" w:val="280"/>
        </w:trPr>
        <w:tc>
          <w:tcPr>
            <w:tcW w:type="dxa" w:w="6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MOV payable . . . . . . . . . . . . . . . . . . . . . . . . . . . . . . . . . . . . . . . . . . . . . . . . . 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</w:tr>
      <w:tr>
        <w:trPr>
          <w:trHeight w:hRule="exact" w:val="320"/>
        </w:trPr>
        <w:tc>
          <w:tcPr>
            <w:tcW w:type="dxa" w:w="6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Adjustments for unreleased NCPIC . . . . . . . . . . . . . . . . . . . . . . . . . . . . . . . . 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(694)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(711)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 </w:t>
            </w:r>
          </w:p>
        </w:tc>
      </w:tr>
      <w:tr>
        <w:trPr>
          <w:trHeight w:hRule="exact" w:val="296"/>
        </w:trPr>
        <w:tc>
          <w:tcPr>
            <w:tcW w:type="dxa" w:w="6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Usable paid-in capital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</w:t>
            </w:r>
          </w:p>
        </w:tc>
        <w:tc>
          <w:tcPr>
            <w:tcW w:type="dxa" w:w="180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$21,919 $21,183 </w:t>
            </w:r>
          </w:p>
        </w:tc>
        <w:tc>
          <w:tcPr>
            <w:tcW w:type="dxa" w:w="6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$736 </w:t>
            </w:r>
          </w:p>
        </w:tc>
      </w:tr>
      <w:tr>
        <w:trPr>
          <w:trHeight w:hRule="exact" w:val="100"/>
        </w:trPr>
        <w:tc>
          <w:tcPr>
            <w:tcW w:type="dxa" w:w="67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44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 MOV (Maintenance-Of-Value) on released National Currency Paid-In Capital (NCPIC) is considered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to be deferred. </w:t>
      </w:r>
    </w:p>
    <w:p>
      <w:pPr>
        <w:autoSpaceDN w:val="0"/>
        <w:autoSpaceDE w:val="0"/>
        <w:widowControl/>
        <w:spacing w:line="220" w:lineRule="exact" w:before="4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Usable Equity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Usable equity represents the amount of equity that is available to support IBRD’s lending operations. Usable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 is central to the three frameworks IBRD uses to manage its capital adequacy, credit risk, and equity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earnings. These frameworks, described in Section IX: Risk Management, are: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Strategic Capital Adequacy Framework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Risk and Loan Loss Provisioning Framework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ALM Framework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See Table 33 for the components of Usable Equity and see Table 34 for a reconciliation of Total Equity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Usable Equity. </w:t>
      </w:r>
    </w:p>
    <w:p>
      <w:pPr>
        <w:autoSpaceDN w:val="0"/>
        <w:autoSpaceDE w:val="0"/>
        <w:widowControl/>
        <w:spacing w:line="200" w:lineRule="exact" w:before="50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46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IX: RISK MANAGEMENT </w:t>
      </w:r>
    </w:p>
    <w:p>
      <w:pPr>
        <w:autoSpaceDN w:val="0"/>
        <w:autoSpaceDE w:val="0"/>
        <w:widowControl/>
        <w:spacing w:line="220" w:lineRule="exact" w:before="1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Risk Governance </w:t>
      </w:r>
    </w:p>
    <w:p>
      <w:pPr>
        <w:autoSpaceDN w:val="0"/>
        <w:autoSpaceDE w:val="0"/>
        <w:widowControl/>
        <w:spacing w:line="240" w:lineRule="exact" w:before="10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risk management processes and practices evolve to reflect changes in activities in response to market,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credit, product, operational, and other developments. The Board, particularly the Audit Committee (AC),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periodically reviews trends in IBRD’s risk profiles and performance, and any major developments in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policies and controls. </w:t>
      </w:r>
    </w:p>
    <w:p>
      <w:pPr>
        <w:autoSpaceDN w:val="0"/>
        <w:autoSpaceDE w:val="0"/>
        <w:widowControl/>
        <w:spacing w:line="240" w:lineRule="exact" w:before="2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believes that effective risk management is critical for its overall operations. Accordingly, the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governance structure is designed to manage the principal risks IBRD assumes in its activities,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supports Management in its oversight function, particularly in coordinating different aspects of risk 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in connection with risks that are common across functional areas. </w:t>
      </w:r>
    </w:p>
    <w:p>
      <w:pPr>
        <w:autoSpaceDN w:val="0"/>
        <w:autoSpaceDE w:val="0"/>
        <w:widowControl/>
        <w:spacing w:line="200" w:lineRule="exact" w:before="25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risk governance structure is built on the “three lines model” where: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units, with support from specialized functions, are responsible for directly managing risks in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respective functional areas;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Vice President and WBG Chief Risk Officer (CRO) provides direction, challenge, and oversight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 risk management practices; and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4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Audit provides independent assurance and advice on the effectiveness of risk management. </w:t>
      </w:r>
    </w:p>
    <w:p>
      <w:pPr>
        <w:autoSpaceDN w:val="0"/>
        <w:autoSpaceDE w:val="0"/>
        <w:widowControl/>
        <w:spacing w:line="240" w:lineRule="exact" w:before="2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risk management process comprises of risk identification, assessment, response and risk monitoring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reporting. IBRD has policies and procedures under which risk owners are responsible for identifying, assessing,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responding to, monitoring and reporting risks. </w:t>
      </w:r>
    </w:p>
    <w:p>
      <w:pPr>
        <w:autoSpaceDN w:val="0"/>
        <w:autoSpaceDE w:val="0"/>
        <w:widowControl/>
        <w:spacing w:line="220" w:lineRule="exact" w:before="36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Risk Oversight and Coverage </w:t>
      </w:r>
    </w:p>
    <w:p>
      <w:pPr>
        <w:autoSpaceDN w:val="0"/>
        <w:autoSpaceDE w:val="0"/>
        <w:widowControl/>
        <w:spacing w:line="200" w:lineRule="exact" w:before="1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Financial and Operational Risk Management </w:t>
      </w:r>
    </w:p>
    <w:p>
      <w:pPr>
        <w:autoSpaceDN w:val="0"/>
        <w:autoSpaceDE w:val="0"/>
        <w:widowControl/>
        <w:spacing w:line="240" w:lineRule="exact" w:before="1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CRO (Vice President and WBG Chief Risk Officer) oversees both financial and operational risks.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risks include (i) country credit risks in the core sovereign-lending business, (ii) market and counterparty risks,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liquidity and model risks, and (iii) operational risks relating to people, processes and systems, or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external events. In addition, the CRO works closely with IFC, MIGA, and IDA’s Management, to review,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measure, aggregate, and report on risks, and share best practices across the WBG. The CRO also helps enhance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cooperation between the entities and facilitates knowledge sharing in the risk management function. </w:t>
      </w:r>
    </w:p>
    <w:p>
      <w:pPr>
        <w:autoSpaceDN w:val="0"/>
        <w:autoSpaceDE w:val="0"/>
        <w:widowControl/>
        <w:spacing w:line="200" w:lineRule="exact" w:before="25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three departments report directly to the CRO: </w:t>
      </w:r>
    </w:p>
    <w:p>
      <w:pPr>
        <w:autoSpaceDN w:val="0"/>
        <w:autoSpaceDE w:val="0"/>
        <w:widowControl/>
        <w:spacing w:line="200" w:lineRule="exact" w:before="1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Credit Risk Department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Identifies, measures, monitors, and manages country credit risk faced by IBRD. By agreement with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Board, the individual country credit risk ratings are not shared with the Board and are not made public.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Assesses loan portfolio risk, determines the adequacy of provisions for losses on loans and other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exposures, and monitors borrowers that are vulnerable to crises in the near term. These reviews are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taken into account when determining the overall country programs and lending operations, and they are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included in the assessment of IBRD’s capital adequacy.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4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Reviews proposed new financial products for any implications for country credit risk. </w:t>
      </w:r>
    </w:p>
    <w:p>
      <w:pPr>
        <w:autoSpaceDN w:val="0"/>
        <w:autoSpaceDE w:val="0"/>
        <w:widowControl/>
        <w:spacing w:line="200" w:lineRule="exact" w:before="3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Market and Counterparty Risk Department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Responsible for market, liquidity, and counterparty credit risk oversight, assessment, and reporting. It does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in coordination with IBRD’s financial managers who are responsible for the day-to-day execution of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trades for the liquid asset and derivative portfolios, within applicable policy and guideline limits. 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47 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920" w:val="left"/>
        </w:tabs>
        <w:autoSpaceDE w:val="0"/>
        <w:widowControl/>
        <w:spacing w:line="232" w:lineRule="exact" w:before="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Ensures effective oversight, including: (i) maintaining sound credit assessments, (ii) addressing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transaction and product risk issues, (iii) providing an independent review function, (iv) monitoring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 and counterparty risk in the investment, borrowing and client operation portfolios, and (v)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model risk for financial and capital models. It also provides reports to the Audit Committee and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 on the extent and nature of risks, risk management, and oversight.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Responsible for validation of market data and models used for fair valuation of financial instruments.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Undertakes model verification to ensure robust implementation of the models for fair-valued products. </w:t>
      </w:r>
    </w:p>
    <w:p>
      <w:pPr>
        <w:autoSpaceDN w:val="0"/>
        <w:autoSpaceDE w:val="0"/>
        <w:widowControl/>
        <w:spacing w:line="200" w:lineRule="exact" w:before="34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Operational Risk Department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4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Provides direction and oversight for operational risk activities by business function.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2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Key operational risk management responsibilities include: (i) administering the Operational Risk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 (ORC) for IBRD, (ii) implementing the operational risk management framework which is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aligned with Basel principles and provides direction to business unit partners to ensure consistent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application, (iii) assisting and guiding business units in identifying and prioritizing significant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operational risks and enabling monitoring and reporting of risks through suitable metrics (or risk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indicators), (iv) helping identify emerging risks and trends through monitoring of internal and external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events, (v) supporting risk response and mitigating actions, and preparing a corporate Operational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Report for review and discussion by the ORC.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0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Responsible for the oversight of the enterprise risk, operational risk, business continuity, operational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resilience, corporate insurance, and data privacy functions. </w:t>
      </w:r>
    </w:p>
    <w:p>
      <w:pPr>
        <w:autoSpaceDN w:val="0"/>
        <w:autoSpaceDE w:val="0"/>
        <w:widowControl/>
        <w:spacing w:line="240" w:lineRule="exact" w:before="20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risk of IBRD’s operations not meeting their development outcomes (development outcome risk) in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activities is monitored at the corporate level by Operations Policy and Country Services (OPCS). Where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fraud and corruption risks may impact IBRD-financed projects, OPCS, the regions and practice groups, and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Integrity Vice Presidency jointly address such issues. </w:t>
      </w:r>
    </w:p>
    <w:p>
      <w:pPr>
        <w:autoSpaceDN w:val="0"/>
        <w:autoSpaceDE w:val="0"/>
        <w:widowControl/>
        <w:spacing w:line="200" w:lineRule="exact" w:before="3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Risk Committees </w:t>
      </w:r>
    </w:p>
    <w:p>
      <w:pPr>
        <w:autoSpaceDN w:val="0"/>
        <w:autoSpaceDE w:val="0"/>
        <w:widowControl/>
        <w:spacing w:line="200" w:lineRule="exact" w:before="140" w:after="258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12: Management Risk Committee Structure for Financial and Operational Risks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4680"/>
        <w:gridCol w:w="4680"/>
      </w:tblGrid>
      <w:tr>
        <w:trPr>
          <w:trHeight w:hRule="exact" w:val="342"/>
        </w:trPr>
        <w:tc>
          <w:tcPr>
            <w:tcW w:type="dxa" w:w="5690"/>
            <w:gridSpan w:val="2"/>
            <w:tcBorders/>
            <w:shd w:fill="0449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Financial Risk</w:t>
            </w:r>
          </w:p>
        </w:tc>
      </w:tr>
      <w:tr>
        <w:trPr>
          <w:trHeight w:hRule="exact" w:val="362"/>
        </w:trPr>
        <w:tc>
          <w:tcPr>
            <w:tcW w:type="dxa" w:w="2548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5.99999999999994" w:type="dxa"/>
            </w:tblPr>
            <w:tblGrid>
              <w:gridCol w:w="2548"/>
            </w:tblGrid>
            <w:tr>
              <w:trPr>
                <w:trHeight w:hRule="exact" w:val="270"/>
              </w:trPr>
              <w:tc>
                <w:tcPr>
                  <w:tcW w:type="dxa" w:w="2392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FRC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4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1.9999999999999" w:type="dxa"/>
            </w:tblPr>
            <w:tblGrid>
              <w:gridCol w:w="3142"/>
            </w:tblGrid>
            <w:tr>
              <w:trPr>
                <w:trHeight w:hRule="exact" w:val="270"/>
              </w:trPr>
              <w:tc>
                <w:tcPr>
                  <w:tcW w:type="dxa" w:w="2392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ALCO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4"/>
        </w:trPr>
        <w:tc>
          <w:tcPr>
            <w:tcW w:type="dxa" w:w="2548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Finance and Risk Committee</w:t>
            </w:r>
          </w:p>
        </w:tc>
        <w:tc>
          <w:tcPr>
            <w:tcW w:type="dxa" w:w="314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Asset and Liability Management</w:t>
            </w:r>
          </w:p>
        </w:tc>
      </w:tr>
      <w:tr>
        <w:trPr>
          <w:trHeight w:hRule="exact" w:val="166"/>
        </w:trPr>
        <w:tc>
          <w:tcPr>
            <w:tcW w:type="dxa" w:w="5690"/>
            <w:gridSpan w:val="2"/>
            <w:tcBorders/>
            <w:shd w:fill="e4ee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Committee</w:t>
            </w:r>
          </w:p>
        </w:tc>
      </w:tr>
      <w:tr>
        <w:trPr>
          <w:trHeight w:hRule="exact" w:val="390"/>
        </w:trPr>
        <w:tc>
          <w:tcPr>
            <w:tcW w:type="dxa" w:w="2548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Chair: MDCFO</w:t>
            </w:r>
          </w:p>
        </w:tc>
        <w:tc>
          <w:tcPr>
            <w:tcW w:type="dxa" w:w="314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Chair: MDCFO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0.0" w:type="dxa"/>
      </w:tblPr>
      <w:tblGrid>
        <w:gridCol w:w="9360"/>
      </w:tblGrid>
      <w:tr>
        <w:trPr>
          <w:trHeight w:hRule="exact" w:val="524"/>
        </w:trPr>
        <w:tc>
          <w:tcPr>
            <w:tcW w:type="dxa" w:w="239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NBC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0.0" w:type="dxa"/>
      </w:tblPr>
      <w:tblGrid>
        <w:gridCol w:w="9360"/>
      </w:tblGrid>
      <w:tr>
        <w:trPr>
          <w:trHeight w:hRule="exact" w:val="634"/>
        </w:trPr>
        <w:tc>
          <w:tcPr>
            <w:tcW w:type="dxa" w:w="239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New Business Committee</w:t>
            </w:r>
          </w:p>
        </w:tc>
      </w:tr>
    </w:tbl>
    <w:p>
      <w:pPr>
        <w:autoSpaceDN w:val="0"/>
        <w:autoSpaceDE w:val="0"/>
        <w:widowControl/>
        <w:spacing w:line="200" w:lineRule="exact" w:before="54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Financial Risk Committees: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5942" w:space="0"/>
            <w:col w:w="341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545" w:type="dxa"/>
      </w:tblPr>
      <w:tblGrid>
        <w:gridCol w:w="9360"/>
      </w:tblGrid>
      <w:tr>
        <w:trPr>
          <w:trHeight w:hRule="exact" w:val="342"/>
        </w:trPr>
        <w:tc>
          <w:tcPr>
            <w:tcW w:type="dxa" w:w="3166"/>
            <w:tcBorders/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Operational Risk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360"/>
      </w:tblGrid>
      <w:tr>
        <w:trPr>
          <w:trHeight w:hRule="exact" w:val="398"/>
        </w:trPr>
        <w:tc>
          <w:tcPr>
            <w:tcW w:type="dxa" w:w="3164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0" w:after="0"/>
              <w:ind w:left="0" w:right="1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ERC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7.9999999999995" w:type="dxa"/>
      </w:tblPr>
      <w:tblGrid>
        <w:gridCol w:w="9360"/>
      </w:tblGrid>
      <w:tr>
        <w:trPr>
          <w:trHeight w:hRule="exact" w:val="268"/>
        </w:trPr>
        <w:tc>
          <w:tcPr>
            <w:tcW w:type="dxa" w:w="239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Enterprise Risk Committee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7.9999999999995" w:type="dxa"/>
      </w:tblPr>
      <w:tblGrid>
        <w:gridCol w:w="9360"/>
      </w:tblGrid>
      <w:tr>
        <w:trPr>
          <w:trHeight w:hRule="exact" w:val="422"/>
        </w:trPr>
        <w:tc>
          <w:tcPr>
            <w:tcW w:type="dxa" w:w="239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4"/>
              </w:rPr>
              <w:t>Chair: MDCAO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7.9999999999995" w:type="dxa"/>
      </w:tblPr>
      <w:tblGrid>
        <w:gridCol w:w="9360"/>
      </w:tblGrid>
      <w:tr>
        <w:trPr>
          <w:trHeight w:hRule="exact" w:val="524"/>
        </w:trPr>
        <w:tc>
          <w:tcPr>
            <w:tcW w:type="dxa" w:w="239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ORC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7.9999999999995" w:type="dxa"/>
      </w:tblPr>
      <w:tblGrid>
        <w:gridCol w:w="9360"/>
      </w:tblGrid>
      <w:tr>
        <w:trPr>
          <w:trHeight w:hRule="exact" w:val="620"/>
        </w:trPr>
        <w:tc>
          <w:tcPr>
            <w:tcW w:type="dxa" w:w="239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Operational Risk Committee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730"/>
        <w:ind w:left="0" w:right="0"/>
      </w:pP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5942" w:space="0"/>
            <w:col w:w="3417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The Finance and Risk Committee (FRC)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a Vice President level committee, provides a high-level governance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structure for decisions that may have financial risks. The FRC was created under the authority of the Managing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Director and WBG Chief Financial Officer (MDCFO) to approve, clear, or discuss: (a) risk policy and procedure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documents related to financial integrity, income sustainability and balance sheet strength, and (b) issues and new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initiatives with policy implications related to IBRD’s financial risks, including country credit, market,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counterparty, liquidity and model risks, and operational risks related to the finance business functions. The FRC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48 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helps to integrate individual components of finance and risk management activities by building on mechanisms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processes already in place and provides a forum for discussing and communicating significant risk related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issues. The FRC meets regularly to discuss the financial performance, new products and services, and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of IBRD. </w:t>
      </w:r>
    </w:p>
    <w:p>
      <w:pPr>
        <w:autoSpaceDN w:val="0"/>
        <w:autoSpaceDE w:val="0"/>
        <w:widowControl/>
        <w:spacing w:line="236" w:lineRule="exact" w:before="202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New Business Committee (NBC)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a standing subcommittee of the FRC. The NBC provides advice, guidance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recommendations to the FRC, by performing due diligence over new financial products or services to ensure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Management has a full understanding of the rationale, costs, risks and rewards of the product or service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being considered. </w:t>
      </w:r>
    </w:p>
    <w:p>
      <w:pPr>
        <w:autoSpaceDN w:val="0"/>
        <w:autoSpaceDE w:val="0"/>
        <w:widowControl/>
        <w:spacing w:line="236" w:lineRule="exact" w:before="204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Asset and Liability Management Committee (ALCO)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a Vice President-level committee chaired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MDCFO, provides a high-level forum to ensure prudent balance sheet management of IBRD by: a) monitoring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positions and ALM activities for compliance with its respective guidelines, policies and procedures,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borrowing and investment activities; b) identifying and providing recommendations on emerging ALM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issues for IBRD, as well as those related to capital, balance-sheet planning, and financial sustainability and c)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serving as a reviewing and recommending body for ongoing decisions as part of implementing the ALM policies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procedures of IBRD, including those that impact lending rates and net income. </w:t>
      </w:r>
    </w:p>
    <w:p>
      <w:pPr>
        <w:autoSpaceDN w:val="0"/>
        <w:autoSpaceDE w:val="0"/>
        <w:widowControl/>
        <w:spacing w:line="210" w:lineRule="exact" w:before="3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1"/>
        </w:rPr>
        <w:t xml:space="preserve">Operational Risk Committees: </w:t>
      </w:r>
    </w:p>
    <w:p>
      <w:pPr>
        <w:autoSpaceDN w:val="0"/>
        <w:autoSpaceDE w:val="0"/>
        <w:widowControl/>
        <w:spacing w:line="236" w:lineRule="exact" w:before="98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The Enterprise Risk Committee (ERC)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a Vice President-level committee chaired by the Managing Director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Chief Administrative Officer (MDCAO) that oversees IBRD’s non-financial risks through reviewing,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discussing and/or formulating proposed policies, procedures, directives, guidance, and other matters requested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members. ERC’s scope comprises of: a) operational risk, including business continuity, corporate security,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cyber security, and IT service continuity; b) enterprise risk; c) Integrity Vice Presidency (INT) and Ethics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Conduct (EBC) policies and methodologies; d) shared services; and e) any other matters brought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MDCAO. The ERC leverages existing risk management mechanisms that are in place to provide a corporate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view of operational and non-financial risks. </w:t>
      </w:r>
    </w:p>
    <w:p>
      <w:pPr>
        <w:autoSpaceDN w:val="0"/>
        <w:autoSpaceDE w:val="0"/>
        <w:widowControl/>
        <w:spacing w:line="236" w:lineRule="exact" w:before="204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Operational Risk Committee (ORC)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the main governance committee for operational risk and provides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mechanism for an integrated review and response across IBRD units on operational risks associated with people,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processes, and systems, including business continuity, and recognizing that business units remain responsible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managing operational risks. The Committee’s key responsibilities include monitoring significant operational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matters and events on a quarterly basis to ensure that appropriate risk-response measures are taken and reviewing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concluding on IBRD’s overall operational risk profile. The ORC is chaired by the CROVP and escalates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significant risks and decisions to the FRC and ERC. </w:t>
      </w:r>
    </w:p>
    <w:p>
      <w:pPr>
        <w:autoSpaceDN w:val="0"/>
        <w:autoSpaceDE w:val="0"/>
        <w:widowControl/>
        <w:spacing w:line="200" w:lineRule="exact" w:before="342" w:after="15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Box 5: Summary of IBRD’s Specific Risk Categories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4680"/>
        <w:gridCol w:w="4680"/>
      </w:tblGrid>
      <w:tr>
        <w:trPr>
          <w:trHeight w:hRule="exact" w:val="208"/>
        </w:trPr>
        <w:tc>
          <w:tcPr>
            <w:tcW w:type="dxa" w:w="2998"/>
            <w:tcBorders>
              <w:start w:sz="8.0" w:val="single" w:color="#221F1F"/>
              <w:top w:sz="8.0" w:val="single" w:color="#221F1F"/>
              <w:end w:sz="4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6"/>
              </w:rPr>
              <w:t xml:space="preserve">Types of Risk </w:t>
            </w:r>
          </w:p>
        </w:tc>
        <w:tc>
          <w:tcPr>
            <w:tcW w:type="dxa" w:w="6110"/>
            <w:tcBorders>
              <w:start w:sz="4.0" w:val="single" w:color="#221F1F"/>
              <w:top w:sz="8.0" w:val="single" w:color="#221F1F"/>
              <w:end w:sz="8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6"/>
              </w:rPr>
              <w:t xml:space="preserve">How the Risk is Managed </w:t>
            </w:r>
          </w:p>
        </w:tc>
      </w:tr>
      <w:tr>
        <w:trPr>
          <w:trHeight w:hRule="exact" w:val="986"/>
        </w:trPr>
        <w:tc>
          <w:tcPr>
            <w:tcW w:type="dxa" w:w="2998"/>
            <w:tcBorders>
              <w:start w:sz="8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244" w:right="576" w:hanging="20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Credit Risk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Country Credit Risk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Counterparty Credit Risk </w:t>
            </w:r>
          </w:p>
        </w:tc>
        <w:tc>
          <w:tcPr>
            <w:tcW w:type="dxa" w:w="6110"/>
            <w:tcBorders>
              <w:start w:sz="4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7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IBRD’s credit-risk-bearing capacity and individual country exposure limits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Counterparty credit limits and collateral </w:t>
            </w:r>
          </w:p>
        </w:tc>
      </w:tr>
      <w:tr>
        <w:trPr>
          <w:trHeight w:hRule="exact" w:val="1680"/>
        </w:trPr>
        <w:tc>
          <w:tcPr>
            <w:tcW w:type="dxa" w:w="2998"/>
            <w:tcBorders>
              <w:start w:sz="8.0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" w:after="0"/>
              <w:ind w:left="244" w:right="1008" w:hanging="20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Market Risk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Rate Risk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Exchange Rate Risk </w:t>
            </w:r>
          </w:p>
          <w:p>
            <w:pPr>
              <w:autoSpaceDN w:val="0"/>
              <w:autoSpaceDE w:val="0"/>
              <w:widowControl/>
              <w:spacing w:line="200" w:lineRule="exact" w:before="376" w:after="0"/>
              <w:ind w:left="2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Liquidity Risk </w:t>
            </w:r>
          </w:p>
        </w:tc>
        <w:tc>
          <w:tcPr>
            <w:tcW w:type="dxa" w:w="6110"/>
            <w:tcBorders>
              <w:start w:sz="4.0" w:val="single" w:color="#221F1F"/>
              <w:top w:sz="4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3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rate derivatives to match the sensitivity of assets and liabilities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derivatives to align the currency composition of assets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liabilities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Prudential minimum liquidity level </w:t>
            </w:r>
          </w:p>
        </w:tc>
      </w:tr>
      <w:tr>
        <w:trPr>
          <w:trHeight w:hRule="exact" w:val="515"/>
        </w:trPr>
        <w:tc>
          <w:tcPr>
            <w:tcW w:type="dxa" w:w="2998"/>
            <w:tcBorders>
              <w:start w:sz="8.0" w:val="single" w:color="#221F1F"/>
              <w:top w:sz="4.0" w:val="single" w:color="#221F1F"/>
              <w:end w:sz="4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Operational Risk </w:t>
            </w:r>
          </w:p>
        </w:tc>
        <w:tc>
          <w:tcPr>
            <w:tcW w:type="dxa" w:w="6110"/>
            <w:tcBorders>
              <w:start w:sz="4.0" w:val="single" w:color="#221F1F"/>
              <w:top w:sz="4.0" w:val="single" w:color="#221F1F"/>
              <w:end w:sz="8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Risk assessment and monitoring of key risk indicators and internal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external operational risk events </w:t>
            </w:r>
          </w:p>
        </w:tc>
      </w:tr>
    </w:tbl>
    <w:p>
      <w:pPr>
        <w:autoSpaceDN w:val="0"/>
        <w:autoSpaceDE w:val="0"/>
        <w:widowControl/>
        <w:spacing w:line="200" w:lineRule="exact" w:before="3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49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 xml:space="preserve">Other Risk Councils 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Financial Risk Council and Non-Financial Risk Council facilitate regular coordination and collaboration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across WBG entities in financial and non-financial risk functions, respectively. These councils, chaired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MDCFO and MDCAO, respectively, meet regularly to identify opportunities for collaboration across the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functions that serve to enhance the effectiveness of each of the risk functions while respecting the fiduciary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of each entity and considering the different mandates, clients, products, and business models. They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also provide a common forum for the systematic exchange of information and encourage joint reporting of risks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across the entities to form an overall picture on risk and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purposes of information sharing, identifying interdependencies, connections, and concentrations of risk. </w:t>
      </w:r>
    </w:p>
    <w:p>
      <w:pPr>
        <w:autoSpaceDN w:val="0"/>
        <w:autoSpaceDE w:val="0"/>
        <w:widowControl/>
        <w:spacing w:line="210" w:lineRule="exact" w:before="39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1"/>
        </w:rPr>
        <w:t xml:space="preserve">Management of IBRD’s Risks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assumes financial risks in order to achieve its development and strategic objectives. IBRD’s financial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framework is designed to enable and support the institution in achieving its goals in a financially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sustainable manner. IBRD manages credit, market and operational risks for its financial activities, which include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lending, borrowing and investing (Box 5). The primary financial risk to IBRD is the country credit risk inherent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its loan portfolio. IBRD is also exposed to risks in its liquid asset and derivative portfolios, where the major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risks are interest rate, exchange rate, commercial counterparty credit, and liquidity risks. IBRD’s operational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framework is based on a structured and uniform approach to identify, assess and monitor key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operational risks across business units.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an effort to maximize IBRD’s capacity to lend to member countries for development purposes, IBRD limits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to market and counterparty credit risks. In addition, to ensure that the financial risks associated with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and other exposures do not exceed its risk-bearing capacity, IBRD uses a strategic capital adequacy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framework as a key medium-term capital planning tool. </w:t>
      </w:r>
    </w:p>
    <w:p>
      <w:pPr>
        <w:autoSpaceDN w:val="0"/>
        <w:autoSpaceDE w:val="0"/>
        <w:widowControl/>
        <w:spacing w:line="210" w:lineRule="exact" w:before="39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1"/>
        </w:rPr>
        <w:t xml:space="preserve">Capital Adequacy 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holds capital to cover the credit, market and operational risks inherent in its operating activities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assets. Country credit risk is the most substantive risk covered by IBRD’s equity.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capital adequacy is the degree to which its equity is sufficient to withstand unexpected shocks.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 monitors IBRD’s capital adequacy within a strategic capital adequacy framework and uses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Equity-to-Loans ratio as a key indicator of capital adequacy. The framework seeks to ensure that IBRD’s equity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aligned with the financial risk associated with its loans and other exposures over a medium-term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capital-planning horizon.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shown in Table 33, IBRD’s Equity-to-Loans ratio increased by 0.1% from 21.5% as of June 30, 2024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21.6% as of June 30, 2025, primarily due to the increase in usable equity, mainly driven by the increase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proposed transfer to general reserve out of the FY25 allocable income, which outpaced the increase in total loan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exposure, primarily due to the increase in outstanding loans. In October 2024, as part of the WBG evolution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process, the Board approved establishing the new Framework of Restoration Measures (FRM) for capital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adequacy, which further strengthens the protection for IBRD’s triple-A rating. The FRM includes a set of capital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adequacy-related metrics, along with indicative thresholds, as well as restoration measures. Following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establishment of the FRM, the Board approved a reduction in the policy minimum Equity-to-Loans ratio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19% to 18% based on a review of IBRD’s capital adequacy framework, which became effective immediately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after the Board approval. The minimum Equity-to-Loans ratio policy continues to support IBRD’s triple-A rating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long-term financial sustainability. 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October 2024, the Board also approved the offer of Enhanced Callable Capital (ECC), another shareholder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 instrument to expand IBRD’s financing capacity. Shareholders can convert a portion of their existing </w:t>
      </w:r>
    </w:p>
    <w:p>
      <w:pPr>
        <w:autoSpaceDN w:val="0"/>
        <w:autoSpaceDE w:val="0"/>
        <w:widowControl/>
        <w:spacing w:line="200" w:lineRule="exact" w:before="4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50 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6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callable capital to the enhanced terms so that it could be called earlier in the event that IBRD were to face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imminent threat of a rating downgrade, but had not yet reached a point where it was at risk of defaulting to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bondholders, which is when a call on the current form of callable capital will be made. The ECC conversion is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voluntary basis and upon bilateral agreement between the shareholder and IBRD. There were no signed ECC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agreements as of June 30, 2025.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FY25, IBRD signed bilateral agreements for hybrid capital with 8 member countries for a total notional value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$773 million, expected to be settled over the next 4 years. As of June 30, 2025, $482 million has been settled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reported in the balance sheet. For capital adequacy purposes, hybrid capital is a component of usable equity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the equity-to-loans ratio (Table 33) in accordance with IBRD’s financial policies.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guarantees are risk management instruments that support additional financing capacity for IBRD.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Balance Sheet, effective portfolio guarantees are recorded in Other assets measured based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credit losses on the underlying portfolio. As of June 30, 2025, portfolio guarantee agreements with 2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countries of $1.1 billion notional were effective. For capital adequacy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measures, effective portfolio guarantees are leveraged reductions to loan exposures in the equity-to-loans ratio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capture their first-loss and portfolio-wide loss-absorption features. </w:t>
      </w:r>
    </w:p>
    <w:p>
      <w:pPr>
        <w:autoSpaceDN w:val="0"/>
        <w:autoSpaceDE w:val="0"/>
        <w:widowControl/>
        <w:spacing w:line="200" w:lineRule="exact" w:before="278" w:after="324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13: Equity-to-Loans Ratio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83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158" w:right="58" w:firstLine="0"/>
              <w:jc w:val="both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26% </w:t>
            </w:r>
            <w:r>
              <w:br/>
            </w: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24% </w:t>
            </w:r>
            <w:r>
              <w:br/>
            </w: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22% </w:t>
            </w:r>
            <w:r>
              <w:br/>
            </w: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20% </w:t>
            </w:r>
            <w:r>
              <w:br/>
            </w: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18% </w:t>
            </w:r>
            <w:r>
              <w:br/>
            </w: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>16%</w:t>
            </w:r>
          </w:p>
        </w:tc>
        <w:tc>
          <w:tcPr>
            <w:tcW w:type="dxa" w:w="5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30500" cy="10922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00" cy="109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156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44" w:right="0" w:firstLine="0"/>
              <w:jc w:val="lef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Jun-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598" w:firstLine="0"/>
              <w:jc w:val="righ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Jun- </w:t>
            </w:r>
          </w:p>
        </w:tc>
        <w:tc>
          <w:tcPr>
            <w:tcW w:type="dxa" w:w="382"/>
            <w:tcBorders>
              <w:end w:sz="16.799999999999727" w:val="single" w:color="#9AB6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54" w:right="0" w:firstLine="0"/>
              <w:jc w:val="lef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Jun- </w:t>
            </w:r>
          </w:p>
        </w:tc>
        <w:tc>
          <w:tcPr>
            <w:tcW w:type="dxa" w:w="1298"/>
            <w:tcBorders>
              <w:start w:sz="16.799999999999727" w:val="single" w:color="#9AB6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322" w:firstLine="0"/>
              <w:jc w:val="righ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Jun-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328" w:right="0" w:firstLine="0"/>
              <w:jc w:val="lef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Jun- </w:t>
            </w:r>
          </w:p>
        </w:tc>
      </w:tr>
      <w:tr>
        <w:trPr>
          <w:trHeight w:hRule="exact" w:val="260"/>
        </w:trPr>
        <w:tc>
          <w:tcPr>
            <w:tcW w:type="dxa" w:w="156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422" w:firstLine="0"/>
              <w:jc w:val="righ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>21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698" w:firstLine="0"/>
              <w:jc w:val="righ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>22</w:t>
            </w:r>
          </w:p>
        </w:tc>
        <w:tc>
          <w:tcPr>
            <w:tcW w:type="dxa" w:w="382"/>
            <w:tcBorders>
              <w:end w:sz="16.799999999999727" w:val="single" w:color="#9AB6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>23</w:t>
            </w:r>
          </w:p>
        </w:tc>
        <w:tc>
          <w:tcPr>
            <w:tcW w:type="dxa" w:w="1298"/>
            <w:tcBorders>
              <w:start w:sz="16.799999999999727" w:val="single" w:color="#9AB6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422" w:firstLine="0"/>
              <w:jc w:val="righ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>24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" w:after="0"/>
              <w:ind w:left="394" w:right="0" w:firstLine="0"/>
              <w:jc w:val="lef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231F20"/>
                <w:sz w:val="16"/>
              </w:rPr>
              <w:t>25</w:t>
            </w:r>
          </w:p>
        </w:tc>
      </w:tr>
      <w:tr>
        <w:trPr>
          <w:trHeight w:hRule="exact" w:val="314"/>
        </w:trPr>
        <w:tc>
          <w:tcPr>
            <w:tcW w:type="dxa" w:w="1560"/>
            <w:vMerge/>
            <w:tcBorders/>
          </w:tcPr>
          <w:p/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0" w:right="24" w:firstLine="0"/>
              <w:jc w:val="righ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77787B"/>
                <w:sz w:val="16"/>
              </w:rPr>
              <w:t xml:space="preserve">Equity-to-Loans ratio </w:t>
            </w:r>
          </w:p>
        </w:tc>
        <w:tc>
          <w:tcPr>
            <w:tcW w:type="dxa" w:w="3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496" w:right="0" w:firstLine="0"/>
              <w:jc w:val="left"/>
            </w:pPr>
            <w:r>
              <w:rPr>
                <w:w w:val="97.6530909538269"/>
                <w:rFonts w:ascii="ArialMT" w:hAnsi="ArialMT" w:eastAsia="ArialMT"/>
                <w:b w:val="0"/>
                <w:i w:val="0"/>
                <w:color w:val="77787B"/>
                <w:sz w:val="16"/>
              </w:rPr>
              <w:t>Policy minimum</w:t>
            </w:r>
          </w:p>
        </w:tc>
      </w:tr>
    </w:tbl>
    <w:p>
      <w:pPr>
        <w:autoSpaceDN w:val="0"/>
        <w:autoSpaceDE w:val="0"/>
        <w:widowControl/>
        <w:spacing w:line="200" w:lineRule="exact" w:before="527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51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33: Equity-to-Loans Ratio </w:t>
      </w:r>
    </w:p>
    <w:p>
      <w:pPr>
        <w:autoSpaceDN w:val="0"/>
        <w:autoSpaceDE w:val="0"/>
        <w:widowControl/>
        <w:spacing w:line="16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400" w:after="38"/>
        <w:ind w:left="0" w:right="1030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Variance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03"/>
        </w:trPr>
        <w:tc>
          <w:tcPr>
            <w:tcW w:type="dxa" w:w="473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to 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to </w:t>
            </w:r>
          </w:p>
        </w:tc>
      </w:tr>
      <w:tr>
        <w:trPr>
          <w:trHeight w:hRule="exact" w:val="160"/>
        </w:trPr>
        <w:tc>
          <w:tcPr>
            <w:tcW w:type="dxa" w:w="1337"/>
            <w:vMerge/>
            <w:tcBorders>
              <w:bottom w:sz="8.0" w:val="single" w:color="#221F1F"/>
            </w:tcBorders>
          </w:tcPr>
          <w:p/>
        </w:tc>
        <w:tc>
          <w:tcPr>
            <w:tcW w:type="dxa" w:w="6685"/>
            <w:gridSpan w:val="5"/>
            <w:vMerge/>
            <w:tcBorders/>
          </w:tcPr>
          <w:p/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Translation </w:t>
            </w:r>
          </w:p>
        </w:tc>
      </w:tr>
      <w:tr>
        <w:trPr>
          <w:trHeight w:hRule="exact" w:val="194"/>
        </w:trPr>
        <w:tc>
          <w:tcPr>
            <w:tcW w:type="dxa" w:w="1337"/>
            <w:vMerge/>
            <w:tcBorders>
              <w:bottom w:sz="8.0" w:val="single" w:color="#221F1F"/>
            </w:tcBorders>
          </w:tcPr>
          <w:p/>
        </w:tc>
        <w:tc>
          <w:tcPr>
            <w:tcW w:type="dxa" w:w="101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2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10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88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7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Activities </w:t>
            </w:r>
          </w:p>
        </w:tc>
        <w:tc>
          <w:tcPr>
            <w:tcW w:type="dxa" w:w="80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Adjustment </w:t>
            </w:r>
          </w:p>
        </w:tc>
      </w:tr>
      <w:tr>
        <w:trPr>
          <w:trHeight w:hRule="exact" w:val="310"/>
        </w:trPr>
        <w:tc>
          <w:tcPr>
            <w:tcW w:type="dxa" w:w="473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Usable paid-in capital . . . . . . . . . . . . . . . . . . . . . . .</w:t>
            </w:r>
          </w:p>
        </w:tc>
        <w:tc>
          <w:tcPr>
            <w:tcW w:type="dxa" w:w="2036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21,919 $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21,183 $</w:t>
            </w:r>
          </w:p>
        </w:tc>
        <w:tc>
          <w:tcPr>
            <w:tcW w:type="dxa" w:w="95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736 $</w:t>
            </w:r>
          </w:p>
        </w:tc>
        <w:tc>
          <w:tcPr>
            <w:tcW w:type="dxa" w:w="61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470 </w:t>
            </w:r>
          </w:p>
        </w:tc>
        <w:tc>
          <w:tcPr>
            <w:tcW w:type="dxa" w:w="80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266 </w:t>
            </w:r>
          </w:p>
        </w:tc>
      </w:tr>
      <w:tr>
        <w:trPr>
          <w:trHeight w:hRule="exact" w:val="240"/>
        </w:trPr>
        <w:tc>
          <w:tcPr>
            <w:tcW w:type="dxa" w:w="4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Special reserve . . . . . . . . . . . . . . . . . . . . . . . . . . . . .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293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293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General reserve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35,240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34,058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1,182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1,182 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Cumulative translation adjustment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(224)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(1,126)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902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902 </w:t>
            </w:r>
          </w:p>
        </w:tc>
      </w:tr>
      <w:tr>
        <w:trPr>
          <w:trHeight w:hRule="exact" w:val="240"/>
        </w:trPr>
        <w:tc>
          <w:tcPr>
            <w:tcW w:type="dxa" w:w="4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Hybrid capital . . . . . . . . . . . . . . . . . . . . . . . . . . . . .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482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482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477 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</w:tr>
      <w:tr>
        <w:trPr>
          <w:trHeight w:hRule="exact" w:val="256"/>
        </w:trPr>
        <w:tc>
          <w:tcPr>
            <w:tcW w:type="dxa" w:w="47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adjustments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</w:t>
            </w:r>
          </w:p>
        </w:tc>
        <w:tc>
          <w:tcPr>
            <w:tcW w:type="dxa" w:w="10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168 </w:t>
            </w:r>
          </w:p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247 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(79) </w:t>
            </w:r>
          </w:p>
        </w:tc>
        <w:tc>
          <w:tcPr>
            <w:tcW w:type="dxa" w:w="8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(79) </w:t>
            </w:r>
          </w:p>
        </w:tc>
      </w:tr>
      <w:tr>
        <w:trPr>
          <w:trHeight w:hRule="exact" w:val="320"/>
        </w:trPr>
        <w:tc>
          <w:tcPr>
            <w:tcW w:type="dxa" w:w="473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Equity (usable equity) (Table 34)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</w:t>
            </w:r>
          </w:p>
        </w:tc>
        <w:tc>
          <w:tcPr>
            <w:tcW w:type="dxa" w:w="3600"/>
            <w:gridSpan w:val="5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57,878 $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54,655 $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3,223 $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2,129 </w:t>
            </w:r>
          </w:p>
        </w:tc>
        <w:tc>
          <w:tcPr>
            <w:tcW w:type="dxa" w:w="8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$1,094 </w:t>
            </w:r>
          </w:p>
        </w:tc>
      </w:tr>
      <w:tr>
        <w:trPr>
          <w:trHeight w:hRule="exact" w:val="352"/>
        </w:trPr>
        <w:tc>
          <w:tcPr>
            <w:tcW w:type="dxa" w:w="473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 exposures . . . . . . . . . . . . . . . . . . . . . . . . . . . .</w:t>
            </w:r>
          </w:p>
        </w:tc>
        <w:tc>
          <w:tcPr>
            <w:tcW w:type="dxa" w:w="360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$283,090 $263,190 $19,900 $14,795 </w:t>
            </w:r>
          </w:p>
        </w:tc>
        <w:tc>
          <w:tcPr>
            <w:tcW w:type="dxa" w:w="8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$5,105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Adjustments to reflect third-party guarantees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2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received . . . . . . . . . . . . . . . . . . . . .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(13,620)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(10,658)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(2,962)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(2,901)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(61) </w:t>
            </w:r>
          </w:p>
        </w:tc>
      </w:tr>
      <w:tr>
        <w:trPr>
          <w:trHeight w:hRule="exact" w:val="240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Adjustment for portfolio guarantees received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(4,280)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(4,280)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(4,280)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Present value of guarantees provided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3,818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3,488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206 </w:t>
            </w:r>
          </w:p>
        </w:tc>
      </w:tr>
      <w:tr>
        <w:trPr>
          <w:trHeight w:hRule="exact" w:val="240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Effective but undisbursed DDOs . . . .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2,105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1,261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 </w:t>
            </w:r>
          </w:p>
        </w:tc>
      </w:tr>
      <w:tr>
        <w:trPr>
          <w:trHeight w:hRule="exact" w:val="240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Relevant accumulated provisions . . .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(2,813)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(2,942)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129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(72) </w:t>
            </w:r>
          </w:p>
        </w:tc>
      </w:tr>
      <w:tr>
        <w:trPr>
          <w:trHeight w:hRule="exact" w:val="240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Deferred loan income . . . . . . . . . . . .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(681)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(594)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(87)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(72)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(15) </w:t>
            </w:r>
          </w:p>
        </w:tc>
      </w:tr>
      <w:tr>
        <w:trPr>
          <w:trHeight w:hRule="exact" w:val="280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exposures and adjustments, net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40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Loans (total exposure)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</w:t>
            </w:r>
          </w:p>
        </w:tc>
        <w:tc>
          <w:tcPr>
            <w:tcW w:type="dxa" w:w="3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$267,985 $254,122 $13,863 $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8,662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$5,201 </w:t>
            </w:r>
          </w:p>
        </w:tc>
      </w:tr>
      <w:tr>
        <w:trPr>
          <w:trHeight w:hRule="exact" w:val="336"/>
        </w:trPr>
        <w:tc>
          <w:tcPr>
            <w:tcW w:type="dxa" w:w="46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Equity-to-Loans Ratio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</w:t>
            </w:r>
          </w:p>
        </w:tc>
        <w:tc>
          <w:tcPr>
            <w:tcW w:type="dxa" w:w="11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2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21.6% </w:t>
            </w:r>
          </w:p>
        </w:tc>
        <w:tc>
          <w:tcPr>
            <w:tcW w:type="dxa" w:w="3440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32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21.5% </w:t>
            </w:r>
          </w:p>
        </w:tc>
      </w:tr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transfer to the General Reserve, which for FY25 (FY24) was approved by the Board on August 7,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2025 (August 6, 2024).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Excludes cumulative translation amounts associated with the unrealized mark-to-market gains/losses on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non-trading portfolios, net.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cumulative remeasurement gains on non-functional currencies of $216 million for FY25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($295 million gains for FY24).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The adjustment for portfolio guarantees received is management’s estimate of the benefit of the PGP which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covers losses on the entire portfolio (first loss), and also the counterparty credit risk. </w:t>
      </w:r>
    </w:p>
    <w:p>
      <w:pPr>
        <w:autoSpaceDN w:val="0"/>
        <w:autoSpaceDE w:val="0"/>
        <w:widowControl/>
        <w:spacing w:line="240" w:lineRule="exact" w:before="24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FY25, IBRD received $0.5 billion of paid-in capital subscribed under the 2018 General and Selective Capital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Increases (GCI and SCI), bringing the cumulative amounts received to $6.5 billion, representing 86% of the total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 expected over the subscription period. In line with IBRD’s currency management policy, exchange rate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movements during the year did not have an impact on IBRD’s Equity-to-Loans ratio. Under the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policy, to minimize exchange rate risk, IBRD matches its borrowing obligations in any one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 (after derivatives) with assets in the same currency. In addition, IBRD periodically undertakes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conversions to align the currency composition of its equity with that of its outstanding loans, across major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currencies.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34 provides a reconciliation of IBRD’s total equity (Table 2) to the usable equity amounts presented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discussed in the MD&amp;A (Table 33) as of June 30, 2025. </w:t>
      </w:r>
    </w:p>
    <w:p>
      <w:pPr>
        <w:autoSpaceDN w:val="0"/>
        <w:autoSpaceDE w:val="0"/>
        <w:widowControl/>
        <w:spacing w:line="200" w:lineRule="exact" w:before="13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34: Usable Equity </w:t>
      </w:r>
    </w:p>
    <w:p>
      <w:pPr>
        <w:autoSpaceDN w:val="0"/>
        <w:autoSpaceDE w:val="0"/>
        <w:widowControl/>
        <w:spacing w:line="160" w:lineRule="exact" w:before="134" w:after="14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4"/>
        <w:gridCol w:w="2344"/>
        <w:gridCol w:w="2344"/>
        <w:gridCol w:w="2344"/>
      </w:tblGrid>
      <w:tr>
        <w:trPr>
          <w:trHeight w:hRule="exact" w:val="254"/>
        </w:trPr>
        <w:tc>
          <w:tcPr>
            <w:tcW w:type="dxa" w:w="76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years ended June 30, </w:t>
            </w:r>
          </w:p>
        </w:tc>
        <w:tc>
          <w:tcPr>
            <w:tcW w:type="dxa" w:w="6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92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20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298"/>
        </w:trPr>
        <w:tc>
          <w:tcPr>
            <w:tcW w:type="dxa" w:w="762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8" w:after="0"/>
              <w:ind w:left="10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Equity (Table 2)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Proposed transfer to general reserve (Table 11)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</w:t>
            </w:r>
          </w:p>
        </w:tc>
        <w:tc>
          <w:tcPr>
            <w:tcW w:type="dxa" w:w="159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$72,012 $63,484 </w:t>
            </w:r>
          </w:p>
        </w:tc>
      </w:tr>
      <w:tr>
        <w:trPr>
          <w:trHeight w:hRule="exact" w:val="234"/>
        </w:trPr>
        <w:tc>
          <w:tcPr>
            <w:tcW w:type="dxa" w:w="2344"/>
            <w:vMerge/>
            <w:tcBorders>
              <w:top w:sz="8.0" w:val="single" w:color="#221F1F"/>
            </w:tcBorders>
          </w:tcPr>
          <w:p/>
        </w:tc>
        <w:tc>
          <w:tcPr>
            <w:tcW w:type="dxa" w:w="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1,182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834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Less—adjustments to retained earnings (Table 11):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16"/>
        </w:trPr>
        <w:tc>
          <w:tcPr>
            <w:tcW w:type="dxa" w:w="7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Unallocated Net Income (Loss) . . . . . . . . . . . . . . . .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(2,915)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(2,513) </w:t>
            </w:r>
          </w:p>
        </w:tc>
      </w:tr>
      <w:tr>
        <w:trPr>
          <w:trHeight w:hRule="exact" w:val="240"/>
        </w:trPr>
        <w:tc>
          <w:tcPr>
            <w:tcW w:type="dxa" w:w="7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Pension Reserve . . . . . . . . . . . . . . . . . . . . . . . . . . .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(987)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(681) </w:t>
            </w:r>
          </w:p>
        </w:tc>
      </w:tr>
      <w:tr>
        <w:trPr>
          <w:trHeight w:hRule="exact" w:val="220"/>
        </w:trPr>
        <w:tc>
          <w:tcPr>
            <w:tcW w:type="dxa" w:w="7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Surplus . . . . . . . . . . . . . . . . . . . . . . . . . . . . . . . . . . .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(100) </w:t>
            </w:r>
          </w:p>
        </w:tc>
      </w:tr>
      <w:tr>
        <w:trPr>
          <w:trHeight w:hRule="exact" w:val="240"/>
        </w:trPr>
        <w:tc>
          <w:tcPr>
            <w:tcW w:type="dxa" w:w="7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Cumulative fair value adjustments . . . . . . . . . . . . .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(1,390)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(1,103) </w:t>
            </w:r>
          </w:p>
        </w:tc>
      </w:tr>
      <w:tr>
        <w:trPr>
          <w:trHeight w:hRule="exact" w:val="220"/>
        </w:trPr>
        <w:tc>
          <w:tcPr>
            <w:tcW w:type="dxa" w:w="7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reserves . . . . . . . . . . . . . . . . . . . . . . . . . . . . .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(729)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(11) </w:t>
            </w:r>
          </w:p>
        </w:tc>
      </w:tr>
      <w:tr>
        <w:trPr>
          <w:trHeight w:hRule="exact" w:val="256"/>
        </w:trPr>
        <w:tc>
          <w:tcPr>
            <w:tcW w:type="dxa" w:w="76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Restricted retained earnings . . . . . . . . . . . . . . . . . . . . . . . . . . . . . . . . . . . . . . . . . . . . . . .</w:t>
            </w:r>
          </w:p>
        </w:tc>
        <w:tc>
          <w:tcPr>
            <w:tcW w:type="dxa" w:w="8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(11) </w:t>
            </w:r>
          </w:p>
        </w:tc>
        <w:tc>
          <w:tcPr>
            <w:tcW w:type="dxa" w:w="7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(358) </w:t>
            </w:r>
          </w:p>
        </w:tc>
      </w:tr>
      <w:tr>
        <w:trPr>
          <w:trHeight w:hRule="exact" w:val="327"/>
        </w:trPr>
        <w:tc>
          <w:tcPr>
            <w:tcW w:type="dxa" w:w="76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adjustments to retained earnings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</w:t>
            </w:r>
          </w:p>
        </w:tc>
        <w:tc>
          <w:tcPr>
            <w:tcW w:type="dxa" w:w="8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(6,032) </w:t>
            </w:r>
          </w:p>
        </w:tc>
        <w:tc>
          <w:tcPr>
            <w:tcW w:type="dxa" w:w="7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(4,766) </w:t>
            </w:r>
          </w:p>
        </w:tc>
      </w:tr>
    </w:tbl>
    <w:p>
      <w:pPr>
        <w:autoSpaceDN w:val="0"/>
        <w:autoSpaceDE w:val="0"/>
        <w:widowControl/>
        <w:spacing w:line="200" w:lineRule="exact" w:before="104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Less—adjustments to accumulated other comprehensive income: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16"/>
        </w:trPr>
        <w:tc>
          <w:tcPr>
            <w:tcW w:type="dxa" w:w="7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Accumulated other comprehensive income . . . . . . . . . . . . . . . . . . . . . . . . . . . . . . . . . . .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(9,654)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(3,954) </w:t>
            </w:r>
          </w:p>
        </w:tc>
      </w:tr>
      <w:tr>
        <w:trPr>
          <w:trHeight w:hRule="exact" w:val="258"/>
        </w:trPr>
        <w:tc>
          <w:tcPr>
            <w:tcW w:type="dxa" w:w="76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Cumulative translation adjustment (Table 33) . . . . . . . . . . . . . . . . . . . . . . . . . . . . . . . . .</w:t>
            </w:r>
          </w:p>
        </w:tc>
        <w:tc>
          <w:tcPr>
            <w:tcW w:type="dxa" w:w="8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(224) </w:t>
            </w:r>
          </w:p>
        </w:tc>
        <w:tc>
          <w:tcPr>
            <w:tcW w:type="dxa" w:w="7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(1,126) </w:t>
            </w:r>
          </w:p>
        </w:tc>
      </w:tr>
      <w:tr>
        <w:trPr>
          <w:trHeight w:hRule="exact" w:val="326"/>
        </w:trPr>
        <w:tc>
          <w:tcPr>
            <w:tcW w:type="dxa" w:w="76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adjustments to accumulated other comprehensive income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</w:t>
            </w:r>
          </w:p>
        </w:tc>
        <w:tc>
          <w:tcPr>
            <w:tcW w:type="dxa" w:w="8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(9,878) </w:t>
            </w:r>
          </w:p>
        </w:tc>
        <w:tc>
          <w:tcPr>
            <w:tcW w:type="dxa" w:w="7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(5,080) </w:t>
            </w:r>
          </w:p>
        </w:tc>
      </w:tr>
    </w:tbl>
    <w:p>
      <w:pPr>
        <w:autoSpaceDN w:val="0"/>
        <w:autoSpaceDE w:val="0"/>
        <w:widowControl/>
        <w:spacing w:line="200" w:lineRule="exact" w:before="104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Other adjustments: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4"/>
        <w:gridCol w:w="2344"/>
        <w:gridCol w:w="2344"/>
        <w:gridCol w:w="2344"/>
      </w:tblGrid>
      <w:tr>
        <w:trPr>
          <w:trHeight w:hRule="exact" w:val="216"/>
        </w:trPr>
        <w:tc>
          <w:tcPr>
            <w:tcW w:type="dxa" w:w="7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Hybrid capital . . . . . 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482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7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Cumulative remeasurement gains on non-functional currencies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216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295 </w:t>
            </w:r>
          </w:p>
        </w:tc>
      </w:tr>
      <w:tr>
        <w:trPr>
          <w:trHeight w:hRule="exact" w:val="240"/>
        </w:trPr>
        <w:tc>
          <w:tcPr>
            <w:tcW w:type="dxa" w:w="7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Cumulative PEBP income adjustment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(48)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(48) </w:t>
            </w:r>
          </w:p>
        </w:tc>
      </w:tr>
      <w:tr>
        <w:trPr>
          <w:trHeight w:hRule="exact" w:val="260"/>
        </w:trPr>
        <w:tc>
          <w:tcPr>
            <w:tcW w:type="dxa" w:w="7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Adjustments for unreleased National Currency Paid-In Capital (NCPIC)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(56)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(64) </w:t>
            </w:r>
          </w:p>
        </w:tc>
      </w:tr>
      <w:tr>
        <w:trPr>
          <w:trHeight w:hRule="exact" w:val="340"/>
        </w:trPr>
        <w:tc>
          <w:tcPr>
            <w:tcW w:type="dxa" w:w="7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other adjustments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594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7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183 </w:t>
            </w:r>
          </w:p>
        </w:tc>
      </w:tr>
      <w:tr>
        <w:trPr>
          <w:trHeight w:hRule="exact" w:val="308"/>
        </w:trPr>
        <w:tc>
          <w:tcPr>
            <w:tcW w:type="dxa" w:w="7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Usable Equity (Table 33)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</w:t>
            </w:r>
          </w:p>
        </w:tc>
        <w:tc>
          <w:tcPr>
            <w:tcW w:type="dxa" w:w="9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57,878 </w:t>
            </w:r>
          </w:p>
        </w:tc>
        <w:tc>
          <w:tcPr>
            <w:tcW w:type="dxa" w:w="7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54,655 </w:t>
            </w:r>
          </w:p>
        </w:tc>
      </w:tr>
      <w:tr>
        <w:trPr>
          <w:trHeight w:hRule="exact" w:val="100"/>
        </w:trPr>
        <w:tc>
          <w:tcPr>
            <w:tcW w:type="dxa" w:w="756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4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Reflects a legacy treatment to exclude income earned on PEBP assets, as this income is intended to support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PEBP liabilities only. </w:t>
      </w:r>
    </w:p>
    <w:p>
      <w:pPr>
        <w:autoSpaceDN w:val="0"/>
        <w:autoSpaceDE w:val="0"/>
        <w:widowControl/>
        <w:spacing w:line="220" w:lineRule="exact" w:before="3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Credit Risk </w:t>
      </w:r>
    </w:p>
    <w:p>
      <w:pPr>
        <w:autoSpaceDN w:val="0"/>
        <w:autoSpaceDE w:val="0"/>
        <w:widowControl/>
        <w:spacing w:line="240" w:lineRule="exact" w:before="102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faces two types of credit risk: country credit risk and counterparty credit risk. Country credit risk is the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loss due to a country not meeting its contractual obligations, and counterparty credit risk is the risk of loss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attributable to a counterparty not honoring its contractual obligations. IBRD is exposed to commercial as well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non-commercial counterparty credit risk. </w:t>
      </w:r>
    </w:p>
    <w:p>
      <w:pPr>
        <w:autoSpaceDN w:val="0"/>
        <w:autoSpaceDE w:val="0"/>
        <w:widowControl/>
        <w:spacing w:line="200" w:lineRule="exact" w:before="35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Country Credit Risk </w:t>
      </w:r>
    </w:p>
    <w:p>
      <w:pPr>
        <w:autoSpaceDN w:val="0"/>
        <w:autoSpaceDE w:val="0"/>
        <w:widowControl/>
        <w:spacing w:line="240" w:lineRule="exact" w:before="106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mandate is to take only sovereign credit risk in its lending activities. Within country credit risk, three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distinct types of risks can be identified: idiosyncratic risk, correlation risk, and concentration risk. Idiosyncratic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is the risk of an individual borrowing country’s exposure falling into nonaccrual status for country-specific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reasons (such as policy slippage or political instability). Correlation risk is the risk that exposure to two or more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countries will fall into nonaccrual in response to common global or regional economic, political,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developments. Concentration risk is the risk resulting from having a large portion of exposure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outstanding which, if the exposure fell into nonaccrual, would result in IBRD’s financial health being excessively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impaired. Concentration risk needs to be evaluated both on a stand-alone basis (exposure of one borrowing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country) and when taking into account correlation when more than one borrowing country is affected by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common event, such that when combined, IBRD’s exposure to a common risk is elevated. </w:t>
      </w:r>
    </w:p>
    <w:p>
      <w:pPr>
        <w:autoSpaceDN w:val="0"/>
        <w:autoSpaceDE w:val="0"/>
        <w:widowControl/>
        <w:spacing w:line="240" w:lineRule="exact" w:before="2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 estimate idiosyncratic risk and stand-alone concentration risk, the Credit Risk Department looks at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to each borrowing country and each borrowing country’s expected default to IBRD as captured in its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53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rating. Credit ratings and default probabilities reflect country economic, financial and political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circumstances, and also consider Environmental, Social and Governance (ESG) risk factors. For correlation risk,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Credit Risk Department models the potential common factors that could impact borrowing countries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simultaneously. The existence of correlation increases the likelihood of large nonaccrual events, as most of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events involve the joint default of two or more obligors in the portfolio.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manages country credit risk by using individual country exposure limits and takes into account factors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as population size and the economic situation of the country. In addition, IBRD conducts stress tests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effects of changes in market variables and of potential geopolitical events on its portfolio to complement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adequacy framework.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Portfolio Concentration Risk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concentration risk, which arises when a small group of borrowing countries account for a large share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outstanding, is a key concern for IBRD. It is carefully managed for each borrowing country, in part,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 an exposure limit for the aggregate balance of loans outstanding, the present value of guarantees, and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undisbursed portion of Deferred Drawdown Options (DDOs) that have become effective, among other potential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exposures. Under current guidelines, IBRD’s exposure to a single borrowing country is restricted to the lower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Equitable Access Limit (EAL) or the Single Borrower Limit (SBL).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Equitable Access Limit (EAL) and Statutory Lending Limit (SLL)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EAL is equal to 10% of IBRD’s SLL. Under IBRD’s Articles, as applied, total loans outstanding, including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participations in loans and callable guarantees, may not exceed the sum of unimpaired subscribed capital,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reserves and surplus, referred to as the SLL. As of June 30, 2025, the SLL totaled $361.2 billion. The outstanding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and callable guarantees totaled $286.9 billion, or 79% of the SLL. The EAL was $36.1 billion,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2025. The SLL was originally intended to ensure that sufficient resources are available to meet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to bondholders in the highly unlikely event of substantial and historically unprecedented losses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loans. IBRD has subsequently adopted an internal risk-based capital adequacy framework based on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practices that have evolved significantly since the time the SLL was established. The SLL is not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risk-based metric, and could constrain IBRD’s lending capacity below levels that are consistent with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risk-based framework. Accordingly, IBRD is in the process of amending the Articles to remove the SLL.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 of Governors approved a Resolution to remove the SLL on July 10, 2023. IBRD is now going through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final stage of the amendment process, which requires acceptance by three-fifths of the members having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eighty-five percent of the voting power.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Single Borrower Limit (SBL)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SBL amount is established, in part, by assessing its impact on overall portfolio risk relative to equity.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SBL caps the maximum exposure to IBRD’s most creditworthy and largest borrowing countries in terms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population and economic size. The SBL framework reflects a dual-SBL system, with the SBL for countries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above the Graduation Discussion Income (GDI) threshold set lower than the SBL for countries below GDI. GDI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the level of GNI (Gross National Income) per capita of a member country above which graduation from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starts being discussed. The GDI threshold was $7,895 as of July 1, 2024. Under the dual-SBL system, the SBL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FY25 was $30.9 billion for highly creditworthy countries below the GDI and $22.2 billion for highly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creditworthy countries above the GDI. On July 22, 2025, the Board approved the FY26 SBL of $31.7 billion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$22.6 billion for countries below and above GDI, respectively.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the ten countries with the highest exposures accounted for about 57% of IBRD’s total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(Figure 14). IBRD’s largest exposure to a single borrowing country was $23.1 billion on June 30, 2025.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Monitoring these exposures relative to the limit, however, requires consideration of the repayment profiles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existing loans, as well as disbursement profiles and projected new loans and guarantees.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Sustainable Annual Lending Level (SALL) 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“Financial Sustainability Framework” (FSF) requires IBRD to align its annual lending levels to its long-term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sustainable capacity, while retaining flexibility to respond to crises by maintaining a crisis buffer.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SALL is the maximum annual commitment level sustainable, in real terms, for 10 years in line with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prudential policies. Under the FSF, the Board annually approves a crisis buffer. The crisis buffer- adjusted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sustainable annual lending level (SALL-Adj) serves as the upper bound for regular lending in the next year.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fiscal year ending June 30, 2025, the Board had approved a crisis buffer of $10.0 billion and a SALL-Adj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$39.0 billion. On June 23, 2025, the Board approved a crisis buffer of $10.0 billion for FY26. The corresponding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SALL-Adj, which will be the core lending ceiling for FY26, is $42.0 billion. The total lending capacity also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includes additional capacity from the Global Solutions Accelerator Platform (GSAP) as part of the Framework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Financial Incentives (FFI), as well as additional operations supported by highly rated bilateral guarantees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balance sheet optimization measures. 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14: Country Exposures as of June 30, 2025 </w:t>
      </w:r>
    </w:p>
    <w:p>
      <w:pPr>
        <w:autoSpaceDN w:val="0"/>
        <w:autoSpaceDE w:val="0"/>
        <w:widowControl/>
        <w:spacing w:line="160" w:lineRule="exact" w:before="15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billions of U.S. dollars </w:t>
      </w:r>
    </w:p>
    <w:p>
      <w:pPr>
        <w:autoSpaceDN w:val="0"/>
        <w:autoSpaceDE w:val="0"/>
        <w:widowControl/>
        <w:spacing w:line="202" w:lineRule="exact" w:before="284" w:after="302"/>
        <w:ind w:left="0" w:right="0" w:firstLine="0"/>
        <w:jc w:val="center"/>
      </w:pPr>
      <w:r>
        <w:rPr>
          <w:rFonts w:ascii="Arial" w:hAnsi="Arial" w:eastAsia="Arial"/>
          <w:b/>
          <w:i w:val="0"/>
          <w:color w:val="231F20"/>
          <w:sz w:val="20"/>
        </w:rPr>
        <w:t xml:space="preserve">Top Ten Country Exposures </w:t>
      </w:r>
      <w:r>
        <w:rPr>
          <w:w w:val="96.76167170206705"/>
          <w:rFonts w:ascii="Arial" w:hAnsi="Arial" w:eastAsia="Arial"/>
          <w:b/>
          <w:i w:val="0"/>
          <w:color w:val="231F20"/>
          <w:sz w:val="12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hRule="exact" w:val="150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India</w:t>
            </w:r>
          </w:p>
        </w:tc>
        <w:tc>
          <w:tcPr>
            <w:tcW w:type="dxa" w:w="6654"/>
            <w:gridSpan w:val="1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654"/>
            </w:tblGrid>
            <w:tr>
              <w:trPr>
                <w:trHeight w:hRule="exact" w:val="150"/>
              </w:trPr>
              <w:tc>
                <w:tcPr>
                  <w:tcW w:type="dxa" w:w="6054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0" w:after="0"/>
                    <w:ind w:left="0" w:right="9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>23.1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54"/>
              <w:gridCol w:w="554"/>
              <w:gridCol w:w="554"/>
              <w:gridCol w:w="554"/>
              <w:gridCol w:w="554"/>
              <w:gridCol w:w="554"/>
              <w:gridCol w:w="554"/>
              <w:gridCol w:w="554"/>
              <w:gridCol w:w="554"/>
              <w:gridCol w:w="554"/>
              <w:gridCol w:w="554"/>
              <w:gridCol w:w="554"/>
            </w:tblGrid>
            <w:tr>
              <w:trPr>
                <w:trHeight w:hRule="exact" w:val="200"/>
              </w:trPr>
              <w:tc>
                <w:tcPr>
                  <w:tcW w:type="dxa" w:w="6300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356" w:val="left"/>
                      <w:tab w:pos="3608" w:val="left"/>
                      <w:tab w:pos="3774" w:val="left"/>
                      <w:tab w:pos="4118" w:val="left"/>
                      <w:tab w:pos="4868" w:val="left"/>
                    </w:tabs>
                    <w:autoSpaceDE w:val="0"/>
                    <w:widowControl/>
                    <w:spacing w:line="218" w:lineRule="exact" w:before="82" w:after="64"/>
                    <w:ind w:left="3250" w:right="115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20.0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17.2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15.8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15.2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14.2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 xml:space="preserve">13.9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4"/>
                    </w:rPr>
                    <w:t>13.8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7.999999999999545" w:type="dxa"/>
                  </w:tblPr>
                  <w:tblGrid>
                    <w:gridCol w:w="6300"/>
                  </w:tblGrid>
                  <w:tr>
                    <w:trPr>
                      <w:trHeight w:hRule="exact" w:val="150"/>
                    </w:trPr>
                    <w:tc>
                      <w:tcPr>
                        <w:tcW w:type="dxa" w:w="3266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0" w:lineRule="exact" w:before="10" w:after="0"/>
                          <w:ind w:left="0" w:right="9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4"/>
                          </w:rPr>
                          <w:t>12.5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7.999999999999545" w:type="dxa"/>
                  </w:tblPr>
                  <w:tblGrid>
                    <w:gridCol w:w="6300"/>
                  </w:tblGrid>
                  <w:tr>
                    <w:trPr>
                      <w:trHeight w:hRule="exact" w:val="128"/>
                    </w:trPr>
                    <w:tc>
                      <w:tcPr>
                        <w:tcW w:type="dxa" w:w="3266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8" w:lineRule="exact" w:before="10" w:after="0"/>
                          <w:ind w:left="0" w:right="8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4"/>
                          </w:rPr>
                          <w:t>12.5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4"/>
                  <w:tcBorders>
                    <w:start w:sz="6.0" w:val="single" w:color="#6A6B6D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86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1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" w:after="0"/>
              <w:ind w:left="144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Indonesia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Colombia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Philippines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Brazil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China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Türkiye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Mexico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Argentina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Egypt, Arab Republic of</w:t>
            </w:r>
          </w:p>
        </w:tc>
        <w:tc>
          <w:tcPr>
            <w:tcW w:type="dxa" w:w="8112"/>
            <w:gridSpan w:val="1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624"/>
            <w:vMerge/>
            <w:tcBorders/>
          </w:tcPr>
          <w:p/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4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6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8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10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12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14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16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18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24</w:t>
            </w:r>
          </w:p>
        </w:tc>
      </w:tr>
      <w:tr>
        <w:trPr>
          <w:trHeight w:hRule="exact" w:val="444"/>
        </w:trPr>
        <w:tc>
          <w:tcPr>
            <w:tcW w:type="dxa" w:w="624"/>
            <w:vMerge/>
            <w:tcBorders/>
          </w:tcPr>
          <w:p/>
        </w:tc>
        <w:tc>
          <w:tcPr>
            <w:tcW w:type="dxa" w:w="86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Exposure includes loans outstanding and guarantees provided and are net of guarantees received. 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IBRD’s loans outstanding to Ukraine were $16.9 billion, and guarantees provided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Ukraine were $0.5 billion. Guarantees received from third parties for the benefit of Ukraine were $11.2 billion.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Credit-Risk-Bearing Capacity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uses risk models to estimate the size of a potential nonaccrual shock that IBRD could face over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next three years at a given confidence level. The model-estimated nonaccrual shock is a single measure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quality of the portfolio that combines the following: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country-credit-risk ratings and their associated expected risk of default;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Covariance risks;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outstanding loan’s distribution across risk rating categories; and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exposure concentration. 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shock estimated by this risk model is used in IBRD’s capital adequacy testing to determine the impact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potential nonaccrual events on equity and income earning capacity. </w:t>
      </w:r>
    </w:p>
    <w:p>
      <w:pPr>
        <w:autoSpaceDN w:val="0"/>
        <w:autoSpaceDE w:val="0"/>
        <w:widowControl/>
        <w:spacing w:line="200" w:lineRule="exact" w:before="7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Expected Losses, Overdue Payments, and Non-Performing Loans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loan loss provision is calculated by taking into account IBRD’s total estimated exposure, the Expected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Default Frequency (EDF), i.e. probability of default, and the assumed loss in the event of default. Expected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inherent in the loan portfolio attributable to country credit risk are covered by the accumulated provision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losses on loans and other exposures, while unexpected losses owing to country credit risk are covered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 (see Notes to the Financial Statements, Note A: Summary of Significant Accounting and Related Policies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Note D: Loans and Other Exposures).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When a borrower fails to make payments due to IBRD on any principal, interest, or other charges, IBRD may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suspend disbursements immediately on all loans to that borrower. IBRD’s current practice is to exercise this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option using a graduated approach (Box 6). These practices also apply to member countries eligible to borrow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both IBRD and IDA, and whose payments on IDA loans may become overdue. It is IBRD’s practice not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reschedule interest or principal payments on its loans or participate in debt rescheduling agreements with respect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its loans. As of June 30, 2025, there were no principal or interest amounts on loans in accrual status, that were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overdue by more than three months.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 had $283.1 billion of loans outstanding, of which 0.5% were in nonaccrual status, all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related to Zimbabwe and Belarus. IBRD’s accumulated provision for losses on loans and other exposures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$3.0 billion, which represents a provisioning rate of less than 1% of the underlying exposures ($3.0 billion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2024, less than 1% of the underlying exposures).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year, IBRD received $2 million ($4 million in FY24) from borrowers in non-accrual status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payments towards principal amount overdue. Accordingly, none of these amounts were recognized in the FY25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 of Income ($4 million recognized as interest in the FY24 Statement of Income). The exposure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Zimbabwe was $425 million as of June 30, 2025, compared with $426 million as of June 30, 2024. The exposure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Belarus was $1,012 million as of June 30, 2025, compared with $984 million as of June 30, 2024.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year, no loans to any borrowing country were placed in nonaccrual status or restored to accrual status. </w:t>
      </w:r>
    </w:p>
    <w:p>
      <w:pPr>
        <w:autoSpaceDN w:val="0"/>
        <w:autoSpaceDE w:val="0"/>
        <w:widowControl/>
        <w:spacing w:line="200" w:lineRule="exact" w:before="398" w:after="18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Box 6: Treatment of Overdue Payments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4680"/>
        <w:gridCol w:w="4680"/>
      </w:tblGrid>
      <w:tr>
        <w:trPr>
          <w:trHeight w:hRule="exact" w:val="2992"/>
        </w:trPr>
        <w:tc>
          <w:tcPr>
            <w:tcW w:type="dxa" w:w="1058"/>
            <w:tcBorders>
              <w:start w:sz="8.0" w:val="single" w:color="#221F1F"/>
              <w:top w:sz="8.0" w:val="single" w:color="#221F1F"/>
              <w:end w:sz="4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7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Overdue by </w:t>
            </w: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30 days </w:t>
            </w:r>
          </w:p>
        </w:tc>
        <w:tc>
          <w:tcPr>
            <w:tcW w:type="dxa" w:w="8050"/>
            <w:tcBorders>
              <w:start w:sz="4.0" w:val="single" w:color="#221F1F"/>
              <w:top w:sz="8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0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Where the borrower is the member country, no new loans to the member country, or to any 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borrower in the country, will be presented to the Board for approval, nor will any previously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approved loan be signed, until payments for all amounts 30 days overdue or longer have been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received. Where the borrower is not the member country, no new loans to that borrower will be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signed or approved. In either case, the borrower will lose its eligibility for any waiver of interest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charges in effect at that time for loans signed before May 16, 2007, and those loans signed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between May 16, 2007, and September 27, 2007, if the borrowers elected not to convert the terms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of their loans to the pricing terms effective September 27, 2007. For loans with the pricing terms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applicable from May 16, 2007, an overdue interest penalty will be charged at a rate of 50 basis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points on the overdue principal. That is, if an overdue amount remains unpaid for a period of 30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days, then the borrower will pay a higher interest rate (Reference rate + spread) plus 50 basis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points on the overdue principal amount until the overdue amount is fully paid. </w:t>
            </w:r>
          </w:p>
        </w:tc>
      </w:tr>
      <w:tr>
        <w:trPr>
          <w:trHeight w:hRule="exact" w:val="1799"/>
        </w:trPr>
        <w:tc>
          <w:tcPr>
            <w:tcW w:type="dxa" w:w="1058"/>
            <w:tcBorders>
              <w:start w:sz="8.0" w:val="single" w:color="#221F1F"/>
              <w:top w:sz="4.0" w:val="single" w:color="#221F1F"/>
              <w:end w:sz="4.0" w:val="single" w:color="#221F1F"/>
              <w:bottom w:sz="8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8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Overdue by </w:t>
            </w: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45 days </w:t>
            </w:r>
          </w:p>
        </w:tc>
        <w:tc>
          <w:tcPr>
            <w:tcW w:type="dxa" w:w="8050"/>
            <w:tcBorders>
              <w:start w:sz="4.0" w:val="single" w:color="#221F1F"/>
              <w:top w:sz="4.0" w:val="single" w:color="#221F1F"/>
              <w:end w:sz="8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70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 addition to the provisions cited above for payments overdue by 30 days, to avoid proceeding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further on the notification process leading to suspension of disbursements, the country as borrower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or guarantor and all borrowers in the country must pay not only all payments overdue by 30 days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or more, but also all payments due regardless of the number of days since they have fallen due.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Where the borrower is not the member country, no new loans to, or guaranteed by, the member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country, will be signed or approved. Additionally, all borrowers in the country will lose eligibility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for any waivers of interest in effect at the time. </w:t>
            </w:r>
          </w:p>
        </w:tc>
      </w:tr>
    </w:tbl>
    <w:p>
      <w:pPr>
        <w:autoSpaceDN w:val="0"/>
        <w:autoSpaceDE w:val="0"/>
        <w:widowControl/>
        <w:spacing w:line="200" w:lineRule="exact" w:before="3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56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4680"/>
        <w:gridCol w:w="4680"/>
      </w:tblGrid>
      <w:tr>
        <w:trPr>
          <w:trHeight w:hRule="exact" w:val="1312"/>
        </w:trPr>
        <w:tc>
          <w:tcPr>
            <w:tcW w:type="dxa" w:w="810"/>
            <w:tcBorders>
              <w:start w:sz="8.0" w:val="single" w:color="#221F1F"/>
              <w:top w:sz="8.0" w:val="single" w:color="#221F1F"/>
              <w:end w:sz="4.0" w:val="single" w:color="#221F1F"/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Overdue </w:t>
            </w: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by 60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days </w:t>
            </w:r>
          </w:p>
        </w:tc>
        <w:tc>
          <w:tcPr>
            <w:tcW w:type="dxa" w:w="8298"/>
            <w:tcBorders>
              <w:start w:sz="4.0" w:val="single" w:color="#221F1F"/>
              <w:top w:sz="8.0" w:val="single" w:color="#221F1F"/>
              <w:end w:sz="8.0" w:val="single" w:color="#221F1F"/>
              <w:bottom w:sz="4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68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 addition to the suspension of approval for new loans and signing of previously approved loans,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disbursements on all loans to, or guaranteed by, the member country are suspended until all overdue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amounts are paid. This policy applies even when the borrower is not the member country. Under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exceptional circumstances, disbursements can be made to a member country upon the Board’s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approval. </w:t>
            </w:r>
          </w:p>
        </w:tc>
      </w:tr>
      <w:tr>
        <w:trPr>
          <w:trHeight w:hRule="exact" w:val="2278"/>
        </w:trPr>
        <w:tc>
          <w:tcPr>
            <w:tcW w:type="dxa" w:w="810"/>
            <w:tcBorders>
              <w:start w:sz="8.0" w:val="single" w:color="#221F1F"/>
              <w:top w:sz="4.0" w:val="single" w:color="#221F1F"/>
              <w:end w:sz="4.0" w:val="single" w:color="#221F1F"/>
              <w:bottom w:sz="8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Overdue </w:t>
            </w: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by more </w:t>
            </w: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than six </w:t>
            </w:r>
            <w:r>
              <w:rPr>
                <w:rFonts w:ascii="Times" w:hAnsi="Times" w:eastAsia="Times"/>
                <w:b w:val="0"/>
                <w:i w:val="0"/>
                <w:color w:val="FFFFFF"/>
                <w:sz w:val="20"/>
              </w:rPr>
              <w:t xml:space="preserve">months </w:t>
            </w:r>
          </w:p>
        </w:tc>
        <w:tc>
          <w:tcPr>
            <w:tcW w:type="dxa" w:w="8298"/>
            <w:tcBorders>
              <w:start w:sz="4.0" w:val="single" w:color="#221F1F"/>
              <w:top w:sz="4.0" w:val="single" w:color="#221F1F"/>
              <w:end w:sz="8.0" w:val="single" w:color="#221F1F"/>
              <w:bottom w:sz="8.0" w:val="single" w:color="#221F1F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68" w:right="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 addition to the suspension of disbursements on all loans to, or guaranteed by, the member country,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all loans made to or guaranteed by a member of IBRD are placed in nonaccrual status, unless IBRD’s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management determines that the overdue amount will be collected in the immediate future. Unpaid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and other charges accrued but not yet paid on loans outstanding are deducted from 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revenue for the current period. Interest and other charges on nonaccruing exposures are included in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revenue only to the extent that payments have been received by IBRD. A decision on the restoration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of accrual status is made upon arrears clearance. If collectability risk is considered to be particularly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high at the time of arrears clearance, the member’s exposures may not automatically emerge from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nonaccrual status until a suitable period of payment performance has passed. </w:t>
            </w:r>
          </w:p>
        </w:tc>
      </w:tr>
    </w:tbl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Counterparty Credit Risk </w:t>
      </w:r>
    </w:p>
    <w:p>
      <w:pPr>
        <w:autoSpaceDN w:val="0"/>
        <w:autoSpaceDE w:val="0"/>
        <w:widowControl/>
        <w:spacing w:line="200" w:lineRule="exact" w:before="14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 exposed to commercial and non-commercial counterparty credit risk. </w:t>
      </w:r>
    </w:p>
    <w:p>
      <w:pPr>
        <w:autoSpaceDN w:val="0"/>
        <w:autoSpaceDE w:val="0"/>
        <w:widowControl/>
        <w:spacing w:line="200" w:lineRule="exact" w:before="35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Commercial Counterparty Credit Risk </w:t>
      </w:r>
    </w:p>
    <w:p>
      <w:pPr>
        <w:autoSpaceDN w:val="0"/>
        <w:autoSpaceDE w:val="0"/>
        <w:widowControl/>
        <w:spacing w:line="240" w:lineRule="exact" w:before="1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Commercial counterparty credit risk is the risk that counterparties fail to meet their payment obligations under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terms of the contract or other financial instruments. Effective management of counterparty credit risk is vital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the success of IBRD’s funding, investment, and asset/liability management activities. The monitoring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of these risks is continuous as the market environment evolves. </w:t>
      </w:r>
    </w:p>
    <w:p>
      <w:pPr>
        <w:autoSpaceDN w:val="0"/>
        <w:autoSpaceDE w:val="0"/>
        <w:widowControl/>
        <w:spacing w:line="240" w:lineRule="exact" w:before="21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mitigates the counterparty credit risk from its investment and derivative holdings through the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approval process, the use of collateral agreements and risk limits, and other monitoring procedures. The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approval process involves evaluating counterparty and product-specific creditworthiness, assigning internal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ratings and limits, and determining the risk profile of specific transactions. Credit limits are set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monitored throughout the year. Counterparty exposure is updated daily, considering the current market values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 held, estimates of potential future movements of exposure for derivative instruments, and related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collateral agreements, where collateral posting requirements are based on thresholds driven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public credit ratings. Collateral held includes cash and highly rated liquid investment securities. Commercial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risk management includes ESG related assessments in the approval and monitoring of higher exposure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counterparties for the liquid asset portfolio and for derivative counterparties. In addition, third-party ESG scores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liquid asset portfolio and derivative exposures are monitored. </w:t>
      </w:r>
    </w:p>
    <w:p>
      <w:pPr>
        <w:autoSpaceDN w:val="0"/>
        <w:autoSpaceDE w:val="0"/>
        <w:widowControl/>
        <w:spacing w:line="240" w:lineRule="exact" w:before="2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liquid asset investment portfolio consists mostly of sovereign government bonds, debt instruments issued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sovereign government agencies, corporates and bank time deposits. More than half of these investments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issuers and counterparties rated triple-A and AA (Table 35). </w:t>
      </w:r>
    </w:p>
    <w:p>
      <w:pPr>
        <w:autoSpaceDN w:val="0"/>
        <w:autoSpaceDE w:val="0"/>
        <w:widowControl/>
        <w:spacing w:line="200" w:lineRule="exact" w:before="35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Derivative Instruments </w:t>
      </w:r>
    </w:p>
    <w:p>
      <w:pPr>
        <w:autoSpaceDN w:val="0"/>
        <w:autoSpaceDE w:val="0"/>
        <w:widowControl/>
        <w:spacing w:line="240" w:lineRule="exact" w:before="1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the normal course of its business, IBRD enters into various derivative instruments to manage foreign exchange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interest rate risks. These derivatives are used mainly to meet the financial needs of IBRD borrowers and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 the institution’s exposure to fluctuations in interest and exchange rates. These transactions are conducted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other financial institutions and, by their nature, entail commercial counterparty credit risk. </w:t>
      </w:r>
    </w:p>
    <w:p>
      <w:pPr>
        <w:autoSpaceDN w:val="0"/>
        <w:autoSpaceDE w:val="0"/>
        <w:widowControl/>
        <w:spacing w:line="240" w:lineRule="exact" w:before="2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While the volume of derivative activity can be measured by the contracted notional value of derivatives, notional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is not an accurate measure of credit or market risk. IBRD uses the estimated replacement cost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instrument, or potential future exposure to measure counterparty credit risk with these trading partners.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57 </w:t>
      </w:r>
    </w:p>
    <w:p>
      <w:pPr>
        <w:sectPr>
          <w:pgSz w:w="12240" w:h="15840"/>
          <w:pgMar w:top="71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6350000</wp:posOffset>
            </wp:positionV>
            <wp:extent cx="5791200" cy="2489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8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collateral arrangements, IBRD receives collateral when mark-to-market exposure is greater than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ratings based collateral threshold. As of June 30, 2025, IBRD had received collateral of cash and 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totaling $0.5 billion. </w:t>
      </w:r>
    </w:p>
    <w:p>
      <w:pPr>
        <w:autoSpaceDN w:val="0"/>
        <w:autoSpaceDE w:val="0"/>
        <w:widowControl/>
        <w:spacing w:line="240" w:lineRule="exact" w:before="23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 not required to post collateral under its derivative agreements as long as it maintains a triple-A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rating. (For the contractual value, notional amounts, related credit risk exposure amounts, and the amount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be required to post in the event of a downgrade, see Notes to Financial Statements, Note F: 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Instruments). </w:t>
      </w:r>
    </w:p>
    <w:p>
      <w:pPr>
        <w:autoSpaceDN w:val="0"/>
        <w:autoSpaceDE w:val="0"/>
        <w:widowControl/>
        <w:spacing w:line="200" w:lineRule="exact" w:before="38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Investment Securities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Board-approved General Investment Authorization provides the basic authority for IBRD to invest its liquid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assets. Furthermore, all investment activities are conducted in accordance with a more detailed set of 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Guidelines. The Investment Guidelines are approved by the MDCFO and implemented by the Treasurer.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Guidelines set out detailed trading and operational rules, including instruments eligible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investments, and establish risk parameters relative to benchmarks. These include an overall consultative loss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limit and duration deviation, specifying concentration limits on counterparties and instrument classes, as well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clear lines of responsibility for risk monitoring and compliance. Credit risk is controlled by applying eligibility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criteria (Box 7). </w:t>
      </w:r>
    </w:p>
    <w:p>
      <w:pPr>
        <w:autoSpaceDN w:val="0"/>
        <w:autoSpaceDE w:val="0"/>
        <w:widowControl/>
        <w:spacing w:line="240" w:lineRule="exact" w:before="23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overall market risk of the investment portfolio is subject to a consultative loss limit to reflect a level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tolerance for the risk of underperforming the benchmark in any fiscal year. IBRD has procedures in place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monitor performance against this limit and potential risks, and it takes appropriate actions if the limit is reached. 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investments are subject to additional conditions specified by the Chief Risk Officer, as deemed necessary.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exposure to futures and options and resale agreements is marginal. For futures and options,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generally closes out open positions prior to expiration. Futures are settled on a daily basis. In addition,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monitors the fair value of resale securities received and, if necessary, closes out transactions and enters into new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repriced transactions. </w:t>
      </w:r>
    </w:p>
    <w:p>
      <w:pPr>
        <w:autoSpaceDN w:val="0"/>
        <w:autoSpaceDE w:val="0"/>
        <w:widowControl/>
        <w:spacing w:line="240" w:lineRule="exact" w:before="23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has broadened its universe of investment assets in an effort to achieve greater diversification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and better risk-adjusted investment performance. This exposure is monitored by the Market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Risk Department. </w:t>
      </w:r>
    </w:p>
    <w:p>
      <w:pPr>
        <w:autoSpaceDN w:val="0"/>
        <w:autoSpaceDE w:val="0"/>
        <w:widowControl/>
        <w:spacing w:line="200" w:lineRule="exact" w:before="38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Box 7: Eligibility Criteria for IBRD’s Investments </w:t>
      </w:r>
      <w:r>
        <w:rPr>
          <w:rFonts w:ascii="Times" w:hAnsi="Times" w:eastAsia="Times"/>
          <w:b/>
          <w:i w:val="0"/>
          <w:color w:val="231F20"/>
          <w:sz w:val="13"/>
        </w:rPr>
        <w:t>a</w:t>
      </w:r>
    </w:p>
    <w:p>
      <w:pPr>
        <w:autoSpaceDN w:val="0"/>
        <w:tabs>
          <w:tab w:pos="2820" w:val="left"/>
        </w:tabs>
        <w:autoSpaceDE w:val="0"/>
        <w:widowControl/>
        <w:spacing w:line="160" w:lineRule="exact" w:before="224" w:after="0"/>
        <w:ind w:left="22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16"/>
        </w:rPr>
        <w:t xml:space="preserve">Instrument Securities </w:t>
      </w:r>
      <w:r>
        <w:tab/>
      </w:r>
      <w:r>
        <w:rPr>
          <w:rFonts w:ascii="Times" w:hAnsi="Times" w:eastAsia="Times"/>
          <w:b w:val="0"/>
          <w:i w:val="0"/>
          <w:color w:val="FFFFFF"/>
          <w:sz w:val="16"/>
        </w:rPr>
        <w:t xml:space="preserve">Description </w:t>
      </w:r>
    </w:p>
    <w:p>
      <w:pPr>
        <w:autoSpaceDN w:val="0"/>
        <w:autoSpaceDE w:val="0"/>
        <w:widowControl/>
        <w:spacing w:line="200" w:lineRule="exact" w:before="150" w:after="20"/>
        <w:ind w:left="0" w:right="13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may only invest in obligations issued or unconditionally guaranteed by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Sovereigns 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8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governments of member countries with a minimum credit rating of AA-.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However, no rating is required if government obligations are denominated in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372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national currency of the issuer. </w:t>
      </w:r>
    </w:p>
    <w:p>
      <w:pPr>
        <w:autoSpaceDN w:val="0"/>
        <w:tabs>
          <w:tab w:pos="2820" w:val="left"/>
        </w:tabs>
        <w:autoSpaceDE w:val="0"/>
        <w:widowControl/>
        <w:spacing w:line="240" w:lineRule="exact" w:before="220" w:after="90"/>
        <w:ind w:left="220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may invest only in obligations issued by an agency or instrumentality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Agencies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government of a member country, a multilateral organization, or any other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official entity (other than the government of a member country), with a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minimum credit rating of AA-.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09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Corporates and asset-backed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securities </w:t>
            </w:r>
          </w:p>
          <w:p>
            <w:pPr>
              <w:autoSpaceDN w:val="0"/>
              <w:autoSpaceDE w:val="0"/>
              <w:widowControl/>
              <w:spacing w:line="200" w:lineRule="exact" w:before="38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Time deposits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may only invest in securities with a triple-A credit rating. </w:t>
            </w:r>
          </w:p>
          <w:p>
            <w:pPr>
              <w:autoSpaceDN w:val="0"/>
              <w:autoSpaceDE w:val="0"/>
              <w:widowControl/>
              <w:spacing w:line="200" w:lineRule="exact" w:before="50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may only invest in time deposits issued or guaranteed by financial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0"/>
        <w:ind w:left="0" w:right="1574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institutions, whose senior debt securities are rated at least A-. </w:t>
      </w:r>
    </w:p>
    <w:p>
      <w:pPr>
        <w:autoSpaceDN w:val="0"/>
        <w:autoSpaceDE w:val="0"/>
        <w:widowControl/>
        <w:spacing w:line="200" w:lineRule="exact" w:before="3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901700</wp:posOffset>
            </wp:positionV>
            <wp:extent cx="5791200" cy="22733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73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746"/>
        <w:gridCol w:w="4746"/>
      </w:tblGrid>
      <w:tr>
        <w:trPr>
          <w:trHeight w:hRule="exact" w:val="89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6"/>
              </w:rPr>
              <w:t xml:space="preserve">Instrument Securities </w:t>
            </w:r>
          </w:p>
          <w:p>
            <w:pPr>
              <w:autoSpaceDN w:val="0"/>
              <w:autoSpaceDE w:val="0"/>
              <w:widowControl/>
              <w:spacing w:line="200" w:lineRule="exact" w:before="40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Commercial Paper </w:t>
            </w:r>
          </w:p>
        </w:tc>
        <w:tc>
          <w:tcPr>
            <w:tcW w:type="dxa" w:w="7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6"/>
              </w:rPr>
              <w:t xml:space="preserve">Description </w:t>
            </w:r>
          </w:p>
          <w:p>
            <w:pPr>
              <w:autoSpaceDN w:val="0"/>
              <w:autoSpaceDE w:val="0"/>
              <w:widowControl/>
              <w:spacing w:line="240" w:lineRule="exact" w:before="23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may only invest in short-term borrowings (less than 190 days) from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commercial banks, corporates, and financial institutions with at least two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90"/>
        <w:ind w:left="0" w:right="5332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Prime-1 ratings.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746"/>
        <w:gridCol w:w="4746"/>
      </w:tblGrid>
      <w:tr>
        <w:trPr>
          <w:trHeight w:hRule="exact" w:val="115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20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Securities lending,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borrowing, repurchases,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resales, and reverse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repurchases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320" w:right="13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IBRD may engage in securities lending against adequate collateral,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repurchases and reverse repurchases, against adequate margin protection, 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 securities described under the sovereigns, agencies, and corporates 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asset-backed security categories. </w:t>
            </w:r>
          </w:p>
        </w:tc>
      </w:tr>
    </w:tbl>
    <w:p>
      <w:pPr>
        <w:autoSpaceDN w:val="0"/>
        <w:tabs>
          <w:tab w:pos="2820" w:val="left"/>
        </w:tabs>
        <w:autoSpaceDE w:val="0"/>
        <w:widowControl/>
        <w:spacing w:line="240" w:lineRule="exact" w:before="160" w:after="0"/>
        <w:ind w:left="220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may engage in collateralized forward transactions, such as swap,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Collateral Assets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repurchase, resale, securities lending, or equivalent transactions that involve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certain underlying assets not independently eligible for investment. In each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case, adequate margin protection needs to be received.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98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a.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All investments are subject to approval by the Market and Counterparty Risk Department and must appear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on the “Approved List” created by the department. </w:t>
      </w:r>
    </w:p>
    <w:p>
      <w:pPr>
        <w:autoSpaceDN w:val="0"/>
        <w:tabs>
          <w:tab w:pos="520" w:val="left"/>
        </w:tabs>
        <w:autoSpaceDE w:val="0"/>
        <w:widowControl/>
        <w:spacing w:line="240" w:lineRule="exact" w:before="0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Time deposits include certificates of deposit, bankers’ acceptances, and other obligations issued or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unconditionally guaranteed by banks or other financial institutions.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Commercial Counterparty Credit Risk Exposure </w:t>
      </w:r>
    </w:p>
    <w:p>
      <w:pPr>
        <w:autoSpaceDN w:val="0"/>
        <w:autoSpaceDE w:val="0"/>
        <w:widowControl/>
        <w:spacing w:line="240" w:lineRule="exact" w:before="122" w:after="0"/>
        <w:ind w:left="120" w:right="20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a result of IBRD’s use of collateral arrangements for swap transactions, its residual commercial counterparty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risk is concentrated in the investment portfolio, in instruments issued by sovereign governments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non-sovereign holdings (including agencies, corporates, and asset-backed securities) (Table 35).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35: Commercial Credit Exposure, Net of Collateral Held, by Counterparty Rating </w:t>
      </w:r>
    </w:p>
    <w:p>
      <w:pPr>
        <w:autoSpaceDN w:val="0"/>
        <w:autoSpaceDE w:val="0"/>
        <w:widowControl/>
        <w:spacing w:line="16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240" w:after="0"/>
        <w:ind w:left="0" w:right="2354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p>
      <w:pPr>
        <w:autoSpaceDN w:val="0"/>
        <w:autoSpaceDE w:val="0"/>
        <w:widowControl/>
        <w:spacing w:line="160" w:lineRule="exact" w:before="80" w:after="36"/>
        <w:ind w:left="0" w:right="3870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Investments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5"/>
        <w:gridCol w:w="1055"/>
        <w:gridCol w:w="1055"/>
        <w:gridCol w:w="1055"/>
        <w:gridCol w:w="1055"/>
        <w:gridCol w:w="1055"/>
        <w:gridCol w:w="1055"/>
        <w:gridCol w:w="1055"/>
        <w:gridCol w:w="1055"/>
      </w:tblGrid>
      <w:tr>
        <w:trPr>
          <w:trHeight w:hRule="exact" w:val="203"/>
        </w:trPr>
        <w:tc>
          <w:tcPr>
            <w:tcW w:type="dxa" w:w="393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Counterparty Rating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3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7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159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Swap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of </w:t>
            </w:r>
          </w:p>
        </w:tc>
      </w:tr>
      <w:tr>
        <w:trPr>
          <w:trHeight w:hRule="exact" w:val="194"/>
        </w:trPr>
        <w:tc>
          <w:tcPr>
            <w:tcW w:type="dxa" w:w="1055"/>
            <w:vMerge/>
            <w:tcBorders>
              <w:bottom w:sz="8.0" w:val="single" w:color="#221F1F"/>
            </w:tcBorders>
          </w:tcPr>
          <w:p/>
        </w:tc>
        <w:tc>
          <w:tcPr>
            <w:tcW w:type="dxa" w:w="1055"/>
            <w:vMerge/>
            <w:tcBorders>
              <w:bottom w:sz="8.0" w:val="single" w:color="#221F1F"/>
            </w:tcBorders>
          </w:tcPr>
          <w:p/>
        </w:tc>
        <w:tc>
          <w:tcPr>
            <w:tcW w:type="dxa" w:w="8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Sovereigns </w:t>
            </w:r>
          </w:p>
        </w:tc>
        <w:tc>
          <w:tcPr>
            <w:tcW w:type="dxa" w:w="1456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5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Non-Sovereigns </w:t>
            </w:r>
          </w:p>
        </w:tc>
        <w:tc>
          <w:tcPr>
            <w:tcW w:type="dxa" w:w="112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Exposure </w:t>
            </w:r>
          </w:p>
        </w:tc>
        <w:tc>
          <w:tcPr>
            <w:tcW w:type="dxa" w:w="125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Exposure </w:t>
            </w:r>
          </w:p>
        </w:tc>
        <w:tc>
          <w:tcPr>
            <w:tcW w:type="dxa" w:w="58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393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AAA . . . . . . . . . . . . . . . . . . . . . . . . . . . . . . . . .</w:t>
            </w:r>
          </w:p>
        </w:tc>
        <w:tc>
          <w:tcPr>
            <w:tcW w:type="dxa" w:w="138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42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8,334 $</w:t>
            </w:r>
          </w:p>
        </w:tc>
        <w:tc>
          <w:tcPr>
            <w:tcW w:type="dxa" w:w="124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12,252 $</w:t>
            </w:r>
          </w:p>
        </w:tc>
        <w:tc>
          <w:tcPr>
            <w:tcW w:type="dxa" w:w="8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25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20,586 </w:t>
            </w:r>
          </w:p>
        </w:tc>
        <w:tc>
          <w:tcPr>
            <w:tcW w:type="dxa" w:w="58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21% </w:t>
            </w:r>
          </w:p>
        </w:tc>
      </w:tr>
      <w:tr>
        <w:trPr>
          <w:trHeight w:hRule="exact" w:val="240"/>
        </w:trPr>
        <w:tc>
          <w:tcPr>
            <w:tcW w:type="dxa" w:w="3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AA . . . . . . . . . . . . . . . . . . . . . . . . . . . . . . . . . .</w:t>
            </w:r>
          </w:p>
        </w:tc>
        <w:tc>
          <w:tcPr>
            <w:tcW w:type="dxa" w:w="1055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6,499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49,688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114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56,301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56 </w:t>
            </w:r>
          </w:p>
        </w:tc>
      </w:tr>
      <w:tr>
        <w:trPr>
          <w:trHeight w:hRule="exact" w:val="240"/>
        </w:trPr>
        <w:tc>
          <w:tcPr>
            <w:tcW w:type="dxa" w:w="3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 . . . . . . . . . . . . . . . . . . . . . . . . . . . . . . . . . . .</w:t>
            </w:r>
          </w:p>
        </w:tc>
        <w:tc>
          <w:tcPr>
            <w:tcW w:type="dxa" w:w="1055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7,524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15,541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146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23,211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</w:tr>
      <w:tr>
        <w:trPr>
          <w:trHeight w:hRule="exact" w:val="240"/>
        </w:trPr>
        <w:tc>
          <w:tcPr>
            <w:tcW w:type="dxa" w:w="3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BBB . . . . . . . . . . . . . . . . . . . . . . . . . . . . . . . . .</w:t>
            </w:r>
          </w:p>
        </w:tc>
        <w:tc>
          <w:tcPr>
            <w:tcW w:type="dxa" w:w="1055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* </w:t>
            </w:r>
          </w:p>
        </w:tc>
      </w:tr>
      <w:tr>
        <w:trPr>
          <w:trHeight w:hRule="exact" w:val="256"/>
        </w:trPr>
        <w:tc>
          <w:tcPr>
            <w:tcW w:type="dxa" w:w="39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BB or lower/unrated . . . . . . . . . . . . . . . . . . . .</w:t>
            </w:r>
          </w:p>
        </w:tc>
        <w:tc>
          <w:tcPr>
            <w:tcW w:type="dxa" w:w="1055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4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2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2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5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* </w:t>
            </w:r>
          </w:p>
        </w:tc>
      </w:tr>
      <w:tr>
        <w:trPr>
          <w:trHeight w:hRule="exact" w:val="336"/>
        </w:trPr>
        <w:tc>
          <w:tcPr>
            <w:tcW w:type="dxa" w:w="39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</w:t>
            </w:r>
          </w:p>
        </w:tc>
        <w:tc>
          <w:tcPr>
            <w:tcW w:type="dxa" w:w="13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4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9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22,360 $</w:t>
            </w:r>
          </w:p>
        </w:tc>
        <w:tc>
          <w:tcPr>
            <w:tcW w:type="dxa" w:w="124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77,523 $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260 $</w:t>
            </w:r>
          </w:p>
        </w:tc>
        <w:tc>
          <w:tcPr>
            <w:tcW w:type="dxa" w:w="12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4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100,143 </w:t>
            </w:r>
          </w:p>
        </w:tc>
        <w:tc>
          <w:tcPr>
            <w:tcW w:type="dxa" w:w="5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</w:t>
            </w:r>
          </w:p>
        </w:tc>
      </w:tr>
    </w:tbl>
    <w:p>
      <w:pPr>
        <w:autoSpaceDN w:val="0"/>
        <w:autoSpaceDE w:val="0"/>
        <w:widowControl/>
        <w:spacing w:line="200" w:lineRule="exact" w:before="3196" w:after="0"/>
        <w:ind w:left="0" w:right="4662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59 </w:t>
      </w:r>
    </w:p>
    <w:p>
      <w:pPr>
        <w:sectPr>
          <w:pgSz w:w="12240" w:h="15840"/>
          <w:pgMar w:top="740" w:right="1308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2354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p>
      <w:pPr>
        <w:autoSpaceDN w:val="0"/>
        <w:autoSpaceDE w:val="0"/>
        <w:widowControl/>
        <w:spacing w:line="160" w:lineRule="exact" w:before="80" w:after="40"/>
        <w:ind w:left="0" w:right="3870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Investments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>
        <w:trPr>
          <w:trHeight w:hRule="exact" w:val="200"/>
        </w:trPr>
        <w:tc>
          <w:tcPr>
            <w:tcW w:type="dxa" w:w="753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34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Swap </w:t>
            </w:r>
          </w:p>
        </w:tc>
        <w:tc>
          <w:tcPr>
            <w:tcW w:type="dxa" w:w="1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2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of </w:t>
            </w:r>
          </w:p>
        </w:tc>
      </w:tr>
      <w:tr>
        <w:trPr>
          <w:trHeight w:hRule="exact" w:val="194"/>
        </w:trPr>
        <w:tc>
          <w:tcPr>
            <w:tcW w:type="dxa" w:w="383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Counterparty Rating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120"/>
            <w:gridSpan w:val="3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Sovereigns </w:t>
            </w:r>
          </w:p>
        </w:tc>
        <w:tc>
          <w:tcPr>
            <w:tcW w:type="dxa" w:w="1456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5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Non-Sovereigns </w:t>
            </w:r>
          </w:p>
        </w:tc>
        <w:tc>
          <w:tcPr>
            <w:tcW w:type="dxa" w:w="112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Exposure </w:t>
            </w:r>
          </w:p>
        </w:tc>
        <w:tc>
          <w:tcPr>
            <w:tcW w:type="dxa" w:w="114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Exposure </w:t>
            </w:r>
          </w:p>
        </w:tc>
        <w:tc>
          <w:tcPr>
            <w:tcW w:type="dxa" w:w="698"/>
            <w:gridSpan w:val="3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383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AAA . . . . . . . . . . . . . . . . . . . . . . . . . . . . . . . . .</w:t>
            </w:r>
          </w:p>
        </w:tc>
        <w:tc>
          <w:tcPr>
            <w:tcW w:type="dxa" w:w="462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198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9,583 $</w:t>
            </w:r>
          </w:p>
        </w:tc>
        <w:tc>
          <w:tcPr>
            <w:tcW w:type="dxa" w:w="124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8,844 $</w:t>
            </w:r>
          </w:p>
        </w:tc>
        <w:tc>
          <w:tcPr>
            <w:tcW w:type="dxa" w:w="8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32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18,427 </w:t>
            </w:r>
          </w:p>
        </w:tc>
        <w:tc>
          <w:tcPr>
            <w:tcW w:type="dxa" w:w="5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23% </w:t>
            </w:r>
          </w:p>
        </w:tc>
      </w:tr>
      <w:tr>
        <w:trPr>
          <w:trHeight w:hRule="exact" w:val="240"/>
        </w:trPr>
        <w:tc>
          <w:tcPr>
            <w:tcW w:type="dxa" w:w="3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AA . . . . . . . . . . . . . . . . . . . . . . . . . . . . . . . . . .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6,778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36,481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43,313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 </w:t>
            </w:r>
          </w:p>
        </w:tc>
      </w:tr>
      <w:tr>
        <w:trPr>
          <w:trHeight w:hRule="exact" w:val="240"/>
        </w:trPr>
        <w:tc>
          <w:tcPr>
            <w:tcW w:type="dxa" w:w="3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 . . . . . . . . . . . . . . . . . . . . . . . . . . . . . . . . . . .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7,240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11,505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131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18,876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</w:tr>
      <w:tr>
        <w:trPr>
          <w:trHeight w:hRule="exact" w:val="240"/>
        </w:trPr>
        <w:tc>
          <w:tcPr>
            <w:tcW w:type="dxa" w:w="3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BBB . . . . . . . . . . . . . . . . . . . . . . . . . . . . . . . . .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* </w:t>
            </w:r>
          </w:p>
        </w:tc>
      </w:tr>
      <w:tr>
        <w:trPr>
          <w:trHeight w:hRule="exact" w:val="280"/>
        </w:trPr>
        <w:tc>
          <w:tcPr>
            <w:tcW w:type="dxa" w:w="3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BB or lower/unrated . . . . . . . . . . . . . . . . . . . .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* </w:t>
            </w:r>
          </w:p>
        </w:tc>
      </w:tr>
      <w:tr>
        <w:trPr>
          <w:trHeight w:hRule="exact" w:val="296"/>
        </w:trPr>
        <w:tc>
          <w:tcPr>
            <w:tcW w:type="dxa" w:w="3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</w:t>
            </w:r>
          </w:p>
        </w:tc>
        <w:tc>
          <w:tcPr>
            <w:tcW w:type="dxa" w:w="41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20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248"/>
            <w:gridSpan w:val="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23,605 $</w:t>
            </w:r>
          </w:p>
        </w:tc>
        <w:tc>
          <w:tcPr>
            <w:tcW w:type="dxa" w:w="124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56,865 $</w:t>
            </w:r>
          </w:p>
        </w:tc>
        <w:tc>
          <w:tcPr>
            <w:tcW w:type="dxa" w:w="8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185 $</w:t>
            </w:r>
          </w:p>
        </w:tc>
        <w:tc>
          <w:tcPr>
            <w:tcW w:type="dxa" w:w="1198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8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80,655 </w:t>
            </w:r>
          </w:p>
        </w:tc>
        <w:tc>
          <w:tcPr>
            <w:tcW w:type="dxa" w:w="642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</w:t>
            </w:r>
          </w:p>
        </w:tc>
      </w:tr>
      <w:tr>
        <w:trPr>
          <w:trHeight w:hRule="exact" w:val="100"/>
        </w:trPr>
        <w:tc>
          <w:tcPr>
            <w:tcW w:type="dxa" w:w="38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vMerge/>
            <w:tcBorders>
              <w:bottom w:sz="4.0" w:val="single" w:color="#221F1F"/>
            </w:tcBorders>
          </w:tcPr>
          <w:p/>
        </w:tc>
        <w:tc>
          <w:tcPr>
            <w:tcW w:type="dxa" w:w="2190"/>
            <w:gridSpan w:val="3"/>
            <w:vMerge/>
            <w:tcBorders>
              <w:bottom w:sz="4.0" w:val="single" w:color="#221F1F"/>
            </w:tcBorders>
          </w:tcPr>
          <w:p/>
        </w:tc>
        <w:tc>
          <w:tcPr>
            <w:tcW w:type="dxa" w:w="1460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730"/>
            <w:vMerge/>
            <w:tcBorders>
              <w:bottom w:sz="4.0" w:val="single" w:color="#221F1F"/>
            </w:tcBorders>
          </w:tcPr>
          <w:p/>
        </w:tc>
        <w:tc>
          <w:tcPr>
            <w:tcW w:type="dxa" w:w="1460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460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9060"/>
            <w:gridSpan w:val="1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Average rating is calculated using available ratings from the three major rating agencies; however, if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520" w:right="202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ratings are not available from each of the three rating agencies, IBRD uses the average of the ratings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available from any of such rating agencies or a single rating to the extent that an instrument or issuer (as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applicable) is rated by only one rating agency.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*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Indicates percentage less than 0.5%. </w:t>
      </w:r>
    </w:p>
    <w:p>
      <w:pPr>
        <w:autoSpaceDN w:val="0"/>
        <w:autoSpaceDE w:val="0"/>
        <w:widowControl/>
        <w:spacing w:line="240" w:lineRule="exact" w:before="140" w:after="0"/>
        <w:ind w:left="120" w:right="20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overall commercial counterparty credit exposure, net of collateral held, was $100.1 billion as of June 30,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2025. As shown on Table 35, the credit quality of IBRD’s portfolio remains concentrated in the upper end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spectrum, with 77% of the portfolio rated AA or above and the remaining portfolio primarily rated A.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A-rated counterparties primarily consisted of sovereigns and financial institutions, which include collateralized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 exposures and short-term deposits. </w:t>
      </w:r>
    </w:p>
    <w:p>
      <w:pPr>
        <w:autoSpaceDN w:val="0"/>
        <w:autoSpaceDE w:val="0"/>
        <w:widowControl/>
        <w:spacing w:line="200" w:lineRule="exact" w:before="45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Non-Commercial Counterparty Credit Risk </w:t>
      </w:r>
    </w:p>
    <w:p>
      <w:pPr>
        <w:autoSpaceDN w:val="0"/>
        <w:autoSpaceDE w:val="0"/>
        <w:widowControl/>
        <w:spacing w:line="240" w:lineRule="exact" w:before="140" w:after="0"/>
        <w:ind w:left="120" w:right="20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 to its derivative transactions with commercial counterparties, IBRD offers derivative- intermediation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other services to borrowing member countries, as well as to affiliated and non-affiliated organizations,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help meet their development needs or to carry out their development mandates (Table 36): </w:t>
      </w:r>
    </w:p>
    <w:p>
      <w:pPr>
        <w:autoSpaceDN w:val="0"/>
        <w:autoSpaceDE w:val="0"/>
        <w:widowControl/>
        <w:spacing w:line="200" w:lineRule="exact" w:before="4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36: Non-Commercial Counterparty Credit Risk </w:t>
      </w:r>
    </w:p>
    <w:p>
      <w:pPr>
        <w:autoSpaceDN w:val="0"/>
        <w:autoSpaceDE w:val="0"/>
        <w:widowControl/>
        <w:spacing w:line="160" w:lineRule="exact" w:before="16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Exposures as of June 30, 2025 </w:t>
      </w:r>
    </w:p>
    <w:p>
      <w:pPr>
        <w:autoSpaceDN w:val="0"/>
        <w:autoSpaceDE w:val="0"/>
        <w:widowControl/>
        <w:spacing w:line="160" w:lineRule="exact" w:before="320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Exposures 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202"/>
        </w:trPr>
        <w:tc>
          <w:tcPr>
            <w:tcW w:type="dxa" w:w="32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Non-Commercial </w:t>
            </w:r>
          </w:p>
        </w:tc>
        <w:tc>
          <w:tcPr>
            <w:tcW w:type="dxa" w:w="1226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8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Instrument used </w:t>
            </w:r>
          </w:p>
        </w:tc>
        <w:tc>
          <w:tcPr>
            <w:tcW w:type="dxa" w:w="3034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8" w:after="0"/>
              <w:ind w:left="35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Purpose of derivative transaction </w:t>
            </w:r>
          </w:p>
        </w:tc>
        <w:tc>
          <w:tcPr>
            <w:tcW w:type="dxa" w:w="760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8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Notional </w:t>
            </w:r>
          </w:p>
        </w:tc>
        <w:tc>
          <w:tcPr>
            <w:tcW w:type="dxa" w:w="1016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Exposure </w:t>
            </w:r>
          </w:p>
        </w:tc>
      </w:tr>
      <w:tr>
        <w:trPr>
          <w:trHeight w:hRule="exact" w:val="194"/>
        </w:trPr>
        <w:tc>
          <w:tcPr>
            <w:tcW w:type="dxa" w:w="322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Counterparty </w:t>
            </w:r>
          </w:p>
        </w:tc>
        <w:tc>
          <w:tcPr>
            <w:tcW w:type="dxa" w:w="1898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898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898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898"/>
            <w:vMerge/>
            <w:tcBorders>
              <w:top w:sz="4.0" w:val="single" w:color="#221F1F"/>
              <w:bottom w:sz="8.0" w:val="single" w:color="#221F1F"/>
            </w:tcBorders>
          </w:tcPr>
          <w:p/>
        </w:tc>
      </w:tr>
      <w:tr>
        <w:trPr>
          <w:trHeight w:hRule="exact" w:val="318"/>
        </w:trPr>
        <w:tc>
          <w:tcPr>
            <w:tcW w:type="dxa" w:w="322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 Member Countries . . . . . .</w:t>
            </w:r>
          </w:p>
        </w:tc>
        <w:tc>
          <w:tcPr>
            <w:tcW w:type="dxa" w:w="122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Derivatives </w:t>
            </w:r>
          </w:p>
        </w:tc>
        <w:tc>
          <w:tcPr>
            <w:tcW w:type="dxa" w:w="303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Assist borrowing member </w:t>
            </w:r>
          </w:p>
        </w:tc>
        <w:tc>
          <w:tcPr>
            <w:tcW w:type="dxa" w:w="7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$5,923 </w:t>
            </w:r>
          </w:p>
        </w:tc>
        <w:tc>
          <w:tcPr>
            <w:tcW w:type="dxa" w:w="101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20"/>
        <w:ind w:left="0" w:right="2454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 with managing risks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56"/>
        <w:gridCol w:w="1356"/>
        <w:gridCol w:w="1356"/>
        <w:gridCol w:w="1356"/>
        <w:gridCol w:w="1356"/>
        <w:gridCol w:w="1356"/>
        <w:gridCol w:w="1356"/>
      </w:tblGrid>
      <w:tr>
        <w:trPr>
          <w:trHeight w:hRule="exact" w:val="263"/>
        </w:trPr>
        <w:tc>
          <w:tcPr>
            <w:tcW w:type="dxa" w:w="3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Non-Affiliated Organization . . . . . . .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Derivatives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Assist IFFIm with managing risks </w:t>
            </w:r>
          </w:p>
        </w:tc>
        <w:tc>
          <w:tcPr>
            <w:tcW w:type="dxa" w:w="1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1,844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05"/>
        </w:trPr>
        <w:tc>
          <w:tcPr>
            <w:tcW w:type="dxa" w:w="82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8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 $7,767 </w:t>
            </w:r>
          </w:p>
        </w:tc>
        <w:tc>
          <w:tcPr>
            <w:tcW w:type="dxa" w:w="98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0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$— </w:t>
            </w:r>
          </w:p>
        </w:tc>
      </w:tr>
      <w:tr>
        <w:trPr>
          <w:trHeight w:hRule="exact" w:val="100"/>
        </w:trPr>
        <w:tc>
          <w:tcPr>
            <w:tcW w:type="dxa" w:w="8284"/>
            <w:gridSpan w:val="5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12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2"/>
        </w:trPr>
        <w:tc>
          <w:tcPr>
            <w:tcW w:type="dxa" w:w="6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•</w:t>
            </w:r>
          </w:p>
        </w:tc>
        <w:tc>
          <w:tcPr>
            <w:tcW w:type="dxa" w:w="858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Borrowing Member Countries: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and interest rate swap transactions are executed between 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920" w:right="20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and its borrowers under master derivative agreements. As of June 30, 2025, the notional amounts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$5.9 billion with no net exposure to IBRD under these agreements. Expected losses inherent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exposures due to country credit risk are incorporated in the fair value of these instruments. </w:t>
      </w:r>
    </w:p>
    <w:p>
      <w:pPr>
        <w:autoSpaceDN w:val="0"/>
        <w:tabs>
          <w:tab w:pos="920" w:val="left"/>
        </w:tabs>
        <w:autoSpaceDE w:val="0"/>
        <w:widowControl/>
        <w:spacing w:line="242" w:lineRule="exact" w:before="134" w:after="0"/>
        <w:ind w:left="6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Affiliated Organizations: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contracts were executed between IBRD and IDA, under an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 allowing IBRD to intermediate derivative contracts on behalf of IDA. As of June 30, 2025,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did not have any exposure to IDA under these agreements. </w:t>
      </w:r>
    </w:p>
    <w:p>
      <w:pPr>
        <w:autoSpaceDN w:val="0"/>
        <w:tabs>
          <w:tab w:pos="920" w:val="left"/>
        </w:tabs>
        <w:autoSpaceDE w:val="0"/>
        <w:widowControl/>
        <w:spacing w:line="242" w:lineRule="exact" w:before="136" w:after="0"/>
        <w:ind w:left="6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Non-Affiliated Organizations: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a master derivatives agreement with IFFIm, under which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several transactions have been executed. As of June 30, 2025, the notional amounts were $1.8 billion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no net fair value exposures to IBRD under this agreement. IBRD has the right to call for collateral </w:t>
      </w:r>
    </w:p>
    <w:p>
      <w:pPr>
        <w:autoSpaceDN w:val="0"/>
        <w:autoSpaceDE w:val="0"/>
        <w:widowControl/>
        <w:spacing w:line="200" w:lineRule="exact" w:before="288" w:after="0"/>
        <w:ind w:left="0" w:right="4662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60 </w:t>
      </w:r>
    </w:p>
    <w:p>
      <w:pPr>
        <w:sectPr>
          <w:pgSz w:w="12240" w:h="15840"/>
          <w:pgMar w:top="738" w:right="1308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9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above an agreed specified threshold. As of June 30, 2025, IBRD had not exercised this right, but 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reserves the right under the existing terms of the agreement. Rather than calling for collateral,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IFFIm have agreed to manage IBRD’s exposure by applying a risk management buffer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gearing ratio limit. The gearing ratio limit represents the maximum amount of IFFIm’s net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less cash and liquid assets, as a percentage of the net present value of its financial assets.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Credit and Debit Valuation Adjustments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Most outstanding derivative positions are transacted over the counter and therefore valued using internally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developed valuation models. For commercial and non-commercial counterparties where IBRD has a net exposure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(net receivable position), IBRD calculates a Credit Valuation Adjustment (CVA) to reflect credit risk. For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positions with commercial and non-commercial counterparties where IBRD is in a net payable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position, IBRD calculates a Debit Valuation Adjustment (DVA) to reflect its own credit risk.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CVA is calculated using future projected exposures of the derivative contracts, net of collateral received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credit support agreements, and the probability of counterparty default based on the Credit Default Swaps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(CDS) spread and, where applicable, proxy CDS spreads. IBRD does not currently hedge this exposure.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DVA calculation is generally consistent with the CVA methodology and incorporates IBRD’s own credit spread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observed through the CDS market. As of June 30, 2025, IBRD recorded a CVA on its Balance Sheet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$36 million, and a DVA of $319 million.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Changes in Credit Spreads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IBRD’s own credit risk reflects the cost of funding relative to applicable reference rates.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Changes in IBRD’s credit spreads result in unrealized mark-to-market gains/losses, recorded as Net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 in DVA on Fair Value Option elected liabilities in the Statements of Comprehensive Income.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IBRD’s fair value model mainly represents a hypothetical MDB market exit price of the loans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outstanding. It incorporates CDS spreads as an indicator of the credit risk for each borrower, after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adjusting recovery levels to incorporate IBRD’s institutional experience and assumptions. These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assumptions are reviewed annually. IBRD does not hedge its sovereign credit exposure but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assesses its credit risk through a loan loss provisioning framework. The loan loss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provision represents the expected losses inherent in its accrual and nonaccrual portfolios. IBRD’s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 credit risk is managed by using individual country exposure limits and by monitoring its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credit-risk-bearing capacity.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IBRD purchases investment-grade securities for its liquid asset portfolio. Credit risk is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controlled through appropriate eligibility criteria (Box 7). The overall risk of the investment portfolio is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also constrained by a consultative loss limit. In line with these risk management strategies, the potential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effect of default risk on IBRD’s investment portfolio is therefore small. </w:t>
      </w:r>
    </w:p>
    <w:p>
      <w:pPr>
        <w:autoSpaceDN w:val="0"/>
        <w:tabs>
          <w:tab w:pos="920" w:val="left"/>
        </w:tabs>
        <w:autoSpaceDE w:val="0"/>
        <w:widowControl/>
        <w:spacing w:line="242" w:lineRule="exact" w:before="11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IBRD uses derivatives to manage exposures to currency and interest rate risks in its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investment, loan, other ALM and borrowing portfolios. It is therefore exposed to commercial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credit risk on these instruments. This risk is managed through: </w:t>
      </w:r>
    </w:p>
    <w:p>
      <w:pPr>
        <w:autoSpaceDN w:val="0"/>
        <w:tabs>
          <w:tab w:pos="1320" w:val="left"/>
        </w:tabs>
        <w:autoSpaceDE w:val="0"/>
        <w:widowControl/>
        <w:spacing w:line="200" w:lineRule="exact" w:before="160" w:after="0"/>
        <w:ind w:left="10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Stringent selection of commercial derivative counterparties, </w:t>
      </w:r>
    </w:p>
    <w:p>
      <w:pPr>
        <w:autoSpaceDN w:val="0"/>
        <w:tabs>
          <w:tab w:pos="1320" w:val="left"/>
        </w:tabs>
        <w:autoSpaceDE w:val="0"/>
        <w:widowControl/>
        <w:spacing w:line="200" w:lineRule="exact" w:before="160" w:after="0"/>
        <w:ind w:left="10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Daily marking-to-market of derivative positions, and </w:t>
      </w:r>
    </w:p>
    <w:p>
      <w:pPr>
        <w:autoSpaceDN w:val="0"/>
        <w:tabs>
          <w:tab w:pos="1320" w:val="left"/>
        </w:tabs>
        <w:autoSpaceDE w:val="0"/>
        <w:widowControl/>
        <w:spacing w:line="200" w:lineRule="exact" w:before="160" w:after="0"/>
        <w:ind w:left="10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Use of collateral and collateral thresholds for all commercial counterparties. </w:t>
      </w:r>
    </w:p>
    <w:p>
      <w:pPr>
        <w:autoSpaceDN w:val="0"/>
        <w:autoSpaceDE w:val="0"/>
        <w:widowControl/>
        <w:spacing w:line="240" w:lineRule="exact" w:before="24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sensitivity of IBRD’s portfolios to changes in credit spreads is shown in Table 37, where the amount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represents the dollar change in fair value which corresponds to a one basis point parallel upward shift in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spreads. 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61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37: Effect of Credit on IBRD Portfolios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30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7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Credit Effect on Portfolio </w:t>
            </w:r>
          </w:p>
        </w:tc>
      </w:tr>
      <w:tr>
        <w:trPr>
          <w:trHeight w:hRule="exact" w:val="209"/>
        </w:trPr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2025 </w:t>
            </w:r>
          </w:p>
        </w:tc>
        <w:tc>
          <w:tcPr>
            <w:tcW w:type="dxa" w:w="2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8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Sensitivity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295"/>
        </w:trPr>
        <w:tc>
          <w:tcPr>
            <w:tcW w:type="dxa" w:w="304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 . . . . . . . . . . . . . . . . . . . . . . . . . . . . . . . . . . . . . . . . . .</w:t>
            </w:r>
          </w:p>
        </w:tc>
        <w:tc>
          <w:tcPr>
            <w:tcW w:type="dxa" w:w="2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5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$124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</w:t>
            </w:r>
          </w:p>
        </w:tc>
        <w:tc>
          <w:tcPr>
            <w:tcW w:type="dxa" w:w="2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(5) </w:t>
            </w:r>
          </w:p>
        </w:tc>
      </w:tr>
      <w:tr>
        <w:trPr>
          <w:trHeight w:hRule="exact" w:val="268"/>
        </w:trPr>
        <w:tc>
          <w:tcPr>
            <w:tcW w:type="dxa" w:w="31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Investments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</w:t>
            </w:r>
          </w:p>
        </w:tc>
        <w:tc>
          <w:tcPr>
            <w:tcW w:type="dxa" w:w="2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(3) </w:t>
            </w:r>
          </w:p>
        </w:tc>
      </w:tr>
      <w:tr>
        <w:trPr>
          <w:trHeight w:hRule="exact" w:val="308"/>
        </w:trPr>
        <w:tc>
          <w:tcPr>
            <w:tcW w:type="dxa" w:w="3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9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gains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</w:t>
            </w:r>
          </w:p>
        </w:tc>
        <w:tc>
          <w:tcPr>
            <w:tcW w:type="dxa" w:w="238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$116 </w:t>
            </w:r>
          </w:p>
        </w:tc>
      </w:tr>
      <w:tr>
        <w:trPr>
          <w:trHeight w:hRule="exact" w:val="168"/>
        </w:trPr>
        <w:tc>
          <w:tcPr>
            <w:tcW w:type="dxa" w:w="30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100" w:firstLine="0"/>
              <w:jc w:val="both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c. </w:t>
            </w:r>
          </w:p>
        </w:tc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832"/>
        </w:trPr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  <w:tc>
          <w:tcPr>
            <w:tcW w:type="dxa" w:w="88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Excludes CVA and DVA on derivatives.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0" w:right="2016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If loans were measured at fair value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Excludes PEBP and PCRF holdings and investments related to LPF1 and GFPP. </w:t>
            </w:r>
          </w:p>
        </w:tc>
      </w:tr>
    </w:tbl>
    <w:p>
      <w:pPr>
        <w:autoSpaceDN w:val="0"/>
        <w:autoSpaceDE w:val="0"/>
        <w:widowControl/>
        <w:spacing w:line="220" w:lineRule="exact" w:before="3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Market Risk </w:t>
      </w:r>
    </w:p>
    <w:p>
      <w:pPr>
        <w:autoSpaceDN w:val="0"/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 exposed to changes in interest and exchange rates, and it uses various strategies to minimize its exposure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market risk.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Interest Rate Risk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its current interest rate risk management strategy, IBRD seeks to match the interest rate sensitivity of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 (loan and investment trading portfolios) with those of its liabilities (borrowing portfolio) by using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derivatives, such as interest rate swaps. These derivatives effectively convert IBRD’s financial assets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into variable-rate instruments. Before these derivatives, 90% of the outstanding borrowings had fixed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rates, and 11% of the loans had fixed interest rates as of June 30, 2025. After considering the effects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derivatives, virtually the entire borrowing and loan portfolios are reported at variable interest rates.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Loan and Borrowing Portfolios: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line with IBRD’s financial risk management strategies,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sensitivity of IBRD’s loan and borrowing portfolios to changes in interest rates is managed through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derivatives. As noted earlier, IBRD intends to maintain its positions in these portfolios until maturity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thus manages these instruments on a cash flow basis. The resulting net unrealized mark-to- market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gains and losses on these portfolios, associated with the sensitivity to interest rates, are therefore not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to be realized.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Other ALM: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derivatives to convert the variable rate cash flows on loans funded by equity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back to fixed rate cash flows, thereby stabilizing loan interest revenue over time. Other ALM is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classified as a non-trading portfolio and these derivatives are recorded at fair value. </w:t>
      </w:r>
    </w:p>
    <w:p>
      <w:pPr>
        <w:autoSpaceDN w:val="0"/>
        <w:tabs>
          <w:tab w:pos="920" w:val="left"/>
        </w:tabs>
        <w:autoSpaceDE w:val="0"/>
        <w:widowControl/>
        <w:spacing w:line="242" w:lineRule="exact" w:before="11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Investments: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After the effects of derivatives, the duration of the investment trading portfolio is less than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three months. As a result, the portfolio has a low sensitivity to changes in interest rates, resulting in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small fair value adjustments to income.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sensitivity of these portfolios to interest rate movements, after the effect of derivatives, is shown in Table 38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below where the amount represents the dollar change in fair value corresponding to a one basis point parallel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upward shift in interest rates as of June 30, 2025. </w:t>
      </w:r>
    </w:p>
    <w:p>
      <w:pPr>
        <w:autoSpaceDN w:val="0"/>
        <w:autoSpaceDE w:val="0"/>
        <w:widowControl/>
        <w:spacing w:line="200" w:lineRule="exact" w:before="197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38: Effect of Interest Rates on IBRD’s Portfolios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30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7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Interest Rates Effect on </w:t>
            </w:r>
          </w:p>
        </w:tc>
      </w:tr>
      <w:tr>
        <w:trPr>
          <w:trHeight w:hRule="exact" w:val="209"/>
        </w:trPr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2025 </w:t>
            </w:r>
          </w:p>
        </w:tc>
        <w:tc>
          <w:tcPr>
            <w:tcW w:type="dxa" w:w="2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Portfolio Sensitivity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295"/>
        </w:trPr>
        <w:tc>
          <w:tcPr>
            <w:tcW w:type="dxa" w:w="304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 portfolio . . . . . . . . . . . . . . . . . . . . . . . . . . . . . . . . . .</w:t>
            </w:r>
          </w:p>
        </w:tc>
        <w:tc>
          <w:tcPr>
            <w:tcW w:type="dxa" w:w="2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1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(3)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 portfolio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</w:t>
            </w:r>
          </w:p>
        </w:tc>
        <w:tc>
          <w:tcPr>
            <w:tcW w:type="dxa" w:w="2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ALM . . . . . . . . . . . . . . . . . . . . . . . . . . . . . . . . . . . . . . . . .</w:t>
            </w:r>
          </w:p>
        </w:tc>
        <w:tc>
          <w:tcPr>
            <w:tcW w:type="dxa" w:w="2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(24) </w:t>
            </w:r>
          </w:p>
        </w:tc>
      </w:tr>
      <w:tr>
        <w:trPr>
          <w:trHeight w:hRule="exact" w:val="268"/>
        </w:trPr>
        <w:tc>
          <w:tcPr>
            <w:tcW w:type="dxa" w:w="31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Investment portfolio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</w:t>
            </w:r>
          </w:p>
        </w:tc>
        <w:tc>
          <w:tcPr>
            <w:tcW w:type="dxa" w:w="2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(1) </w:t>
            </w:r>
          </w:p>
        </w:tc>
      </w:tr>
      <w:tr>
        <w:trPr>
          <w:trHeight w:hRule="exact" w:val="308"/>
        </w:trPr>
        <w:tc>
          <w:tcPr>
            <w:tcW w:type="dxa" w:w="3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9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losses . . . . . . . . . . . . . . . . . . . . . . . . . . . . . . . . . . . . . . . . .</w:t>
            </w:r>
          </w:p>
        </w:tc>
        <w:tc>
          <w:tcPr>
            <w:tcW w:type="dxa" w:w="262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1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$(27) </w:t>
            </w:r>
          </w:p>
        </w:tc>
      </w:tr>
      <w:tr>
        <w:trPr>
          <w:trHeight w:hRule="exact" w:val="168"/>
        </w:trPr>
        <w:tc>
          <w:tcPr>
            <w:tcW w:type="dxa" w:w="30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100" w:firstLine="0"/>
              <w:jc w:val="both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c. </w:t>
            </w:r>
          </w:p>
        </w:tc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  <w:tc>
          <w:tcPr>
            <w:tcW w:type="dxa" w:w="312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832"/>
        </w:trPr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  <w:tc>
          <w:tcPr>
            <w:tcW w:type="dxa" w:w="88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00" w:right="5616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After the effects of derivatives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If loans were measured at fair value. 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Excludes PEBP and PCRF holdings and investments related to LPF1 and GFPP. </w:t>
            </w:r>
          </w:p>
        </w:tc>
      </w:tr>
    </w:tbl>
    <w:p>
      <w:pPr>
        <w:autoSpaceDN w:val="0"/>
        <w:autoSpaceDE w:val="0"/>
        <w:widowControl/>
        <w:spacing w:line="240" w:lineRule="exact" w:before="18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Figure 15 depicts the effect of derivatives on the overall sensitivity of borrowing, loan, other ALM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portfolios. It indicates the extent to which each portfolio is economically hedged. For example,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borrowing portfolio, a one basis point increase in interest rates would result in $118 million of unrealized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mark-to-market gains on bonds, which would be offset by the impact of $121 million of unrealized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mark-to-market losses on swaps. Loan sensitivities are illustrative as loans are reported at amortized cost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Balance Sheets. 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15: Sensitivity to Interest Rates </w:t>
      </w:r>
    </w:p>
    <w:p>
      <w:pPr>
        <w:autoSpaceDN w:val="0"/>
        <w:autoSpaceDE w:val="0"/>
        <w:widowControl/>
        <w:spacing w:line="160" w:lineRule="exact" w:before="15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(Dollar change in fair value corresponding to a one-basis-point upward parallel shift in interest rates) In millions of U.S. dollars </w:t>
      </w:r>
    </w:p>
    <w:p>
      <w:pPr>
        <w:autoSpaceDN w:val="0"/>
        <w:autoSpaceDE w:val="0"/>
        <w:widowControl/>
        <w:spacing w:line="160" w:lineRule="exact" w:before="160" w:after="16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rPr>
          <w:trHeight w:hRule="exact" w:val="354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40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>FY25</w:t>
            </w:r>
          </w:p>
        </w:tc>
        <w:tc>
          <w:tcPr>
            <w:tcW w:type="dxa" w:w="2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188" w:right="0" w:firstLine="0"/>
              <w:jc w:val="left"/>
            </w:pPr>
            <w:r>
              <w:rPr>
                <w:w w:val="98.29150199890137"/>
                <w:rFonts w:ascii="Arial" w:hAnsi="Arial" w:eastAsia="Arial"/>
                <w:b/>
                <w:i w:val="0"/>
                <w:color w:val="231F20"/>
                <w:sz w:val="20"/>
              </w:rPr>
              <w:t xml:space="preserve">Borrowing Portfolio </w:t>
            </w:r>
          </w:p>
        </w:tc>
        <w:tc>
          <w:tcPr>
            <w:tcW w:type="dxa" w:w="2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66" w:firstLine="0"/>
              <w:jc w:val="right"/>
            </w:pPr>
            <w:r>
              <w:rPr>
                <w:w w:val="98.29150199890137"/>
                <w:rFonts w:ascii="Arial" w:hAnsi="Arial" w:eastAsia="Arial"/>
                <w:b/>
                <w:i w:val="0"/>
                <w:color w:val="231F20"/>
                <w:sz w:val="20"/>
              </w:rPr>
              <w:t xml:space="preserve">Loan Portfolio </w:t>
            </w:r>
          </w:p>
        </w:tc>
        <w:tc>
          <w:tcPr>
            <w:tcW w:type="dxa" w:w="2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0" w:firstLine="0"/>
              <w:jc w:val="center"/>
            </w:pPr>
            <w:r>
              <w:rPr>
                <w:w w:val="98.29150199890137"/>
                <w:rFonts w:ascii="Arial" w:hAnsi="Arial" w:eastAsia="Arial"/>
                <w:b/>
                <w:i w:val="0"/>
                <w:color w:val="231F20"/>
                <w:sz w:val="20"/>
              </w:rPr>
              <w:t xml:space="preserve">Other ALM </w:t>
            </w:r>
          </w:p>
        </w:tc>
        <w:tc>
          <w:tcPr>
            <w:tcW w:type="dxa" w:w="2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12" w:right="0" w:firstLine="0"/>
              <w:jc w:val="left"/>
            </w:pPr>
            <w:r>
              <w:rPr>
                <w:w w:val="98.29150199890137"/>
                <w:rFonts w:ascii="Arial" w:hAnsi="Arial" w:eastAsia="Arial"/>
                <w:b/>
                <w:i w:val="0"/>
                <w:color w:val="231F20"/>
                <w:sz w:val="20"/>
              </w:rPr>
              <w:t xml:space="preserve">Investment Portfolio </w:t>
            </w:r>
          </w:p>
        </w:tc>
      </w:tr>
      <w:tr>
        <w:trPr>
          <w:trHeight w:hRule="exact" w:val="260"/>
        </w:trPr>
        <w:tc>
          <w:tcPr>
            <w:tcW w:type="dxa" w:w="446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0" w:right="0" w:firstLine="0"/>
              <w:jc w:val="righ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231F20"/>
                <w:sz w:val="16"/>
              </w:rPr>
              <w:t>Swaps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138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Bonds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0" w:right="0" w:firstLine="0"/>
              <w:jc w:val="righ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231F20"/>
                <w:sz w:val="16"/>
              </w:rPr>
              <w:t>Loans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Swaps </w:t>
            </w:r>
          </w:p>
        </w:tc>
        <w:tc>
          <w:tcPr>
            <w:tcW w:type="dxa" w:w="2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0" w:right="1222" w:firstLine="0"/>
              <w:jc w:val="righ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Swaps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0" w:right="0" w:firstLine="0"/>
              <w:jc w:val="righ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231F20"/>
                <w:sz w:val="16"/>
              </w:rPr>
              <w:t>Investments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4" w:after="0"/>
              <w:ind w:left="136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Swaps </w:t>
            </w:r>
          </w:p>
        </w:tc>
      </w:tr>
      <w:tr>
        <w:trPr>
          <w:trHeight w:hRule="exact" w:val="560"/>
        </w:trPr>
        <w:tc>
          <w:tcPr>
            <w:tcW w:type="dxa" w:w="446"/>
            <w:vMerge/>
            <w:tcBorders/>
          </w:tcPr>
          <w:p/>
        </w:tc>
        <w:tc>
          <w:tcPr>
            <w:tcW w:type="dxa" w:w="230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4.00000000000006" w:type="dxa"/>
            </w:tblPr>
            <w:tblGrid>
              <w:gridCol w:w="576"/>
              <w:gridCol w:w="576"/>
              <w:gridCol w:w="576"/>
              <w:gridCol w:w="576"/>
            </w:tblGrid>
            <w:tr>
              <w:trPr>
                <w:trHeight w:hRule="exact" w:val="1078"/>
              </w:trPr>
              <w:tc>
                <w:tcPr>
                  <w:tcW w:type="dxa" w:w="990"/>
                  <w:gridSpan w:val="2"/>
                  <w:tcBorders>
                    <w:end w:sz="5.599999999999909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82" w:after="260"/>
                    <w:ind w:left="242" w:right="0" w:firstLine="0"/>
                    <w:jc w:val="left"/>
                  </w:pPr>
                  <w:r>
                    <w:rPr>
                      <w:w w:val="98.29150199890137"/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-121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7.99999999999983" w:type="dxa"/>
                  </w:tblPr>
                  <w:tblGrid>
                    <w:gridCol w:w="990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670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88" w:after="0"/>
                          <w:ind w:left="58" w:right="0" w:firstLine="0"/>
                          <w:jc w:val="left"/>
                        </w:pPr>
                        <w:r>
                          <w:rPr>
                            <w:w w:val="98.29150199890137"/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-100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8"/>
                  <w:gridSpan w:val="2"/>
                  <w:tcBorders>
                    <w:start w:sz="5.599999999999909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82" w:after="260"/>
                    <w:ind w:left="0" w:right="0" w:firstLine="0"/>
                    <w:jc w:val="center"/>
                  </w:pPr>
                  <w:r>
                    <w:rPr>
                      <w:w w:val="98.29150199890137"/>
                      <w:rFonts w:ascii="Arial" w:hAnsi="Arial" w:eastAsia="Arial"/>
                      <w:b/>
                      <w:i w:val="0"/>
                      <w:color w:val="636466"/>
                      <w:sz w:val="20"/>
                    </w:rPr>
                    <w:t>118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8.000000000000114" w:type="dxa"/>
                  </w:tblPr>
                  <w:tblGrid>
                    <w:gridCol w:w="988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628"/>
                        <w:tcBorders/>
                        <w:shd w:fill="9ab6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88" w:after="0"/>
                          <w:ind w:left="0" w:right="82" w:firstLine="0"/>
                          <w:jc w:val="right"/>
                        </w:pPr>
                        <w:r>
                          <w:rPr>
                            <w:w w:val="98.29150199890137"/>
                            <w:rFonts w:ascii="Arial" w:hAnsi="Arial" w:eastAsia="Arial"/>
                            <w:b/>
                            <w:i w:val="0"/>
                            <w:color w:val="636466"/>
                            <w:sz w:val="20"/>
                          </w:rPr>
                          <w:t>99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5.99999999999966" w:type="dxa"/>
            </w:tblPr>
            <w:tblGrid>
              <w:gridCol w:w="526"/>
              <w:gridCol w:w="526"/>
              <w:gridCol w:w="526"/>
              <w:gridCol w:w="526"/>
            </w:tblGrid>
            <w:tr>
              <w:trPr>
                <w:trHeight w:hRule="exact" w:val="1078"/>
              </w:trPr>
              <w:tc>
                <w:tcPr>
                  <w:tcW w:type="dxa" w:w="910"/>
                  <w:gridSpan w:val="2"/>
                  <w:tcBorders>
                    <w:end w:sz="5.599999999999909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82" w:after="260"/>
                    <w:ind w:left="0" w:right="192" w:firstLine="0"/>
                    <w:jc w:val="right"/>
                  </w:pPr>
                  <w:r>
                    <w:rPr>
                      <w:w w:val="98.29150199890137"/>
                      <w:rFonts w:ascii="Arial" w:hAnsi="Arial" w:eastAsia="Arial"/>
                      <w:b/>
                      <w:i w:val="0"/>
                      <w:color w:val="636466"/>
                      <w:sz w:val="20"/>
                    </w:rPr>
                    <w:t>-35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90.0" w:type="dxa"/>
                  </w:tblPr>
                  <w:tblGrid>
                    <w:gridCol w:w="910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522"/>
                        <w:tcBorders/>
                        <w:shd w:fill="9ab6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88" w:after="0"/>
                          <w:ind w:left="72" w:right="0" w:firstLine="0"/>
                          <w:jc w:val="left"/>
                        </w:pPr>
                        <w:r>
                          <w:rPr>
                            <w:w w:val="98.29150199890137"/>
                            <w:rFonts w:ascii="Arial" w:hAnsi="Arial" w:eastAsia="Arial"/>
                            <w:b/>
                            <w:i w:val="0"/>
                            <w:color w:val="636466"/>
                            <w:sz w:val="20"/>
                          </w:rPr>
                          <w:t>-33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8"/>
                  <w:gridSpan w:val="2"/>
                  <w:tcBorders>
                    <w:start w:sz="5.599999999999909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82" w:after="260"/>
                    <w:ind w:left="0" w:right="470" w:firstLine="0"/>
                    <w:jc w:val="right"/>
                  </w:pPr>
                  <w:r>
                    <w:rPr>
                      <w:w w:val="98.29150199890137"/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36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7.999999999999545" w:type="dxa"/>
                  </w:tblPr>
                  <w:tblGrid>
                    <w:gridCol w:w="928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516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88" w:after="0"/>
                          <w:ind w:left="0" w:right="104" w:firstLine="0"/>
                          <w:jc w:val="right"/>
                        </w:pPr>
                        <w:r>
                          <w:rPr>
                            <w:w w:val="98.29150199890137"/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33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517"/>
              <w:gridCol w:w="517"/>
              <w:gridCol w:w="517"/>
              <w:gridCol w:w="517"/>
            </w:tblGrid>
            <w:tr>
              <w:trPr>
                <w:trHeight w:hRule="exact" w:val="1078"/>
              </w:trPr>
              <w:tc>
                <w:tcPr>
                  <w:tcW w:type="dxa" w:w="912"/>
                  <w:gridSpan w:val="2"/>
                  <w:tcBorders>
                    <w:end w:sz="6.400000000000091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82" w:after="260"/>
                    <w:ind w:left="0" w:right="396" w:firstLine="0"/>
                    <w:jc w:val="right"/>
                  </w:pPr>
                  <w:r>
                    <w:rPr>
                      <w:w w:val="98.29150199890137"/>
                      <w:rFonts w:ascii="ArialMT" w:hAnsi="ArialMT" w:eastAsia="ArialMT"/>
                      <w:b w:val="0"/>
                      <w:i w:val="0"/>
                      <w:color w:val="FFFFFF"/>
                      <w:sz w:val="20"/>
                    </w:rPr>
                    <w:t>-24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67.99999999999955" w:type="dxa"/>
                  </w:tblPr>
                  <w:tblGrid>
                    <w:gridCol w:w="912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736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6" w:lineRule="exact" w:before="88" w:after="0"/>
                          <w:ind w:left="60" w:right="0" w:firstLine="0"/>
                          <w:jc w:val="left"/>
                        </w:pPr>
                        <w:r>
                          <w:rPr>
                            <w:w w:val="98.29150199890137"/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20"/>
                          </w:rPr>
                          <w:t>-24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28"/>
                  <w:gridSpan w:val="2"/>
                  <w:tcBorders>
                    <w:start w:sz="6.400000000000091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2.00000000000045" w:type="dxa"/>
            </w:tblPr>
            <w:tblGrid>
              <w:gridCol w:w="565"/>
              <w:gridCol w:w="565"/>
              <w:gridCol w:w="565"/>
              <w:gridCol w:w="565"/>
            </w:tblGrid>
            <w:tr>
              <w:trPr>
                <w:trHeight w:hRule="exact" w:val="1078"/>
              </w:trPr>
              <w:tc>
                <w:tcPr>
                  <w:tcW w:type="dxa" w:w="948"/>
                  <w:gridSpan w:val="2"/>
                  <w:tcBorders>
                    <w:end w:sz="5.599999999999909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82" w:after="260"/>
                    <w:ind w:left="0" w:right="70" w:firstLine="0"/>
                    <w:jc w:val="right"/>
                  </w:pPr>
                  <w:r>
                    <w:rPr>
                      <w:shd w:val="clear" w:color="auto" w:fill="9ab6c7"/>
                      <w:w w:val="98.29150199890137"/>
                      <w:rFonts w:ascii="Arial" w:hAnsi="Arial" w:eastAsia="Arial"/>
                      <w:b/>
                      <w:i w:val="0"/>
                      <w:color w:val="6A6B6E"/>
                      <w:sz w:val="20"/>
                    </w:rPr>
                    <w:t>-4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55.9999999999991" w:type="dxa"/>
                  </w:tblPr>
                  <w:tblGrid>
                    <w:gridCol w:w="948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384"/>
                        <w:tcBorders/>
                        <w:shd w:fill="9ab6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6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9150199890137"/>
                            <w:rFonts w:ascii="Arial" w:hAnsi="Arial" w:eastAsia="Arial"/>
                            <w:b/>
                            <w:i w:val="0"/>
                            <w:color w:val="6A6B6E"/>
                            <w:sz w:val="20"/>
                          </w:rPr>
                          <w:t xml:space="preserve">-2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gridSpan w:val="2"/>
                  <w:tcBorders>
                    <w:start w:sz="5.599999999999909" w:val="single" w:color="#4C4C4E"/>
                    <w:bottom w:sz="5.599999999999909" w:val="single" w:color="#93959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82" w:after="260"/>
                    <w:ind w:left="48" w:right="0" w:firstLine="0"/>
                    <w:jc w:val="left"/>
                  </w:pPr>
                  <w:r>
                    <w:rPr>
                      <w:shd w:val="clear" w:color="auto" w:fill="044972"/>
                      <w:w w:val="98.29150199890137"/>
                      <w:rFonts w:ascii="Arial" w:hAnsi="Arial" w:eastAsia="Arial"/>
                      <w:b/>
                      <w:i w:val="0"/>
                      <w:color w:val="FFFFFF"/>
                      <w:sz w:val="20"/>
                    </w:rPr>
                    <w:t>3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5.99999999999909" w:type="dxa"/>
                  </w:tblPr>
                  <w:tblGrid>
                    <w:gridCol w:w="960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192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6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9150199890137"/>
                            <w:rFonts w:ascii="Arial" w:hAnsi="Arial" w:eastAsia="Arial"/>
                            <w:b/>
                            <w:i w:val="0"/>
                            <w:color w:val="FFFFFF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>FY24</w:t>
            </w:r>
          </w:p>
        </w:tc>
        <w:tc>
          <w:tcPr>
            <w:tcW w:type="dxa" w:w="2230"/>
            <w:gridSpan w:val="5"/>
            <w:vMerge/>
            <w:tcBorders/>
          </w:tcPr>
          <w:p/>
        </w:tc>
        <w:tc>
          <w:tcPr>
            <w:tcW w:type="dxa" w:w="2230"/>
            <w:gridSpan w:val="5"/>
            <w:vMerge/>
            <w:tcBorders/>
          </w:tcPr>
          <w:p/>
        </w:tc>
        <w:tc>
          <w:tcPr>
            <w:tcW w:type="dxa" w:w="2230"/>
            <w:gridSpan w:val="5"/>
            <w:vMerge/>
            <w:tcBorders/>
          </w:tcPr>
          <w:p/>
        </w:tc>
        <w:tc>
          <w:tcPr>
            <w:tcW w:type="dxa" w:w="2230"/>
            <w:gridSpan w:val="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46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-150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110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-75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6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262" w:firstLine="0"/>
              <w:jc w:val="righ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75 </w:t>
            </w:r>
          </w:p>
        </w:tc>
        <w:tc>
          <w:tcPr>
            <w:tcW w:type="dxa" w:w="6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150 -60 </w:t>
            </w:r>
          </w:p>
        </w:tc>
        <w:tc>
          <w:tcPr>
            <w:tcW w:type="dxa" w:w="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100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-30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14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0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30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60 -30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-15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0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15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righ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30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-5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162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-3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lef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 xml:space="preserve">0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center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>3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60" w:firstLine="0"/>
              <w:jc w:val="right"/>
            </w:pPr>
            <w:r>
              <w:rPr>
                <w:w w:val="97.85062670707703"/>
                <w:rFonts w:ascii="ArialMT" w:hAnsi="ArialMT" w:eastAsia="ArialMT"/>
                <w:b w:val="0"/>
                <w:i w:val="0"/>
                <w:color w:val="636466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0" w:lineRule="exact" w:before="242" w:after="0"/>
        <w:ind w:left="120" w:right="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Alignment of Assets and Liabilities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– IBRD borrows in multiple currency and interest rate bases worldwide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lends the proceeds of those borrowings to eligible member countries. IBRD offers its borrowers the option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converting the currency and interest rate bases on their loans where there is a liquid swap market, thereby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enabling them to select loan terms that are best suited to their circumstances. Such options meet borrowers’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preferences and help mitigate their currency and interest rate risk. In the absence of active risk management,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would be exposed to substantial market risk and asset-liability management imbalances. To address 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imbalances, IBRD uses derivatives to swap its payment obligations on bonds to a currency and interest rate basis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is aligned with its loan portfolio. Likewise, when a borrower exercises a conversion option on a loan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 its currency or interest rate basis, IBRD uses derivatives to convert its exposure back to a currency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 basis, that is aligned with its loan portfolio. Thus, IBRD’s payment obligations on its borrowings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aligned with its loans funded by such borrowings – generally, after the effect of derivatives, IBRD primarily pays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either U.S. dollar or euro, short-term variable rates on its borrowings, and receives either U.S. dollar or euro,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short- term variable rates on its loans. Figure 16 below illustrates the use of derivatives in the loan and borrowing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portfolios. </w:t>
      </w:r>
    </w:p>
    <w:p>
      <w:pPr>
        <w:autoSpaceDN w:val="0"/>
        <w:autoSpaceDE w:val="0"/>
        <w:widowControl/>
        <w:spacing w:line="200" w:lineRule="exact" w:before="56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1206500</wp:posOffset>
            </wp:positionV>
            <wp:extent cx="5765800" cy="25527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55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5270500</wp:posOffset>
            </wp:positionV>
            <wp:extent cx="5765800" cy="2489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48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354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16: Use of Derivatives for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168" w:firstLine="0"/>
              <w:jc w:val="right"/>
            </w:pPr>
            <w:r>
              <w:rPr>
                <w:w w:val="102.29367707905017"/>
                <w:rFonts w:ascii="Arial" w:hAnsi="Arial" w:eastAsia="Arial"/>
                <w:b/>
                <w:i w:val="0"/>
                <w:color w:val="FFFFFF"/>
                <w:sz w:val="19"/>
              </w:rPr>
              <w:t>Market Debt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62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102.29367707905017"/>
                <w:rFonts w:ascii="Arial" w:hAnsi="Arial" w:eastAsia="Arial"/>
                <w:b/>
                <w:i w:val="0"/>
                <w:color w:val="FFFFFF"/>
                <w:sz w:val="19"/>
              </w:rPr>
              <w:t>After Derivatives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62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320" w:right="0" w:firstLine="0"/>
              <w:jc w:val="left"/>
            </w:pPr>
            <w:r>
              <w:rPr>
                <w:w w:val="102.29367707905017"/>
                <w:rFonts w:ascii="Arial" w:hAnsi="Arial" w:eastAsia="Arial"/>
                <w:b/>
                <w:i w:val="0"/>
                <w:color w:val="FFFFFF"/>
                <w:sz w:val="19"/>
              </w:rPr>
              <w:t>Loans</w:t>
            </w:r>
          </w:p>
        </w:tc>
      </w:tr>
      <w:tr>
        <w:trPr>
          <w:trHeight w:hRule="exact" w:val="52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50" w:after="0"/>
              <w:ind w:left="0" w:right="662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Non-US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66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 US dollars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92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 multiple</w:t>
            </w:r>
          </w:p>
        </w:tc>
      </w:tr>
      <w:tr>
        <w:trPr>
          <w:trHeight w:hRule="exact" w:val="42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currencies of</w:t>
            </w:r>
          </w:p>
        </w:tc>
      </w:tr>
      <w:tr>
        <w:trPr>
          <w:trHeight w:hRule="exact" w:val="153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0" w:after="0"/>
              <w:ind w:left="456" w:right="0" w:firstLine="0"/>
              <w:jc w:val="lef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Currencies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63"/>
        </w:trPr>
        <w:tc>
          <w:tcPr>
            <w:tcW w:type="dxa" w:w="187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Swaps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and euros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Swaps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borrowers'</w:t>
            </w:r>
          </w:p>
        </w:tc>
      </w:tr>
    </w:tbl>
    <w:p>
      <w:pPr>
        <w:autoSpaceDN w:val="0"/>
        <w:autoSpaceDE w:val="0"/>
        <w:widowControl/>
        <w:spacing w:line="196" w:lineRule="exact" w:before="8" w:after="388"/>
        <w:ind w:left="0" w:right="882" w:firstLine="0"/>
        <w:jc w:val="right"/>
      </w:pPr>
      <w:r>
        <w:rPr>
          <w:w w:val="102.29367707905017"/>
          <w:rFonts w:ascii="ArialMT" w:hAnsi="ArialMT" w:eastAsia="ArialMT"/>
          <w:b w:val="0"/>
          <w:i w:val="0"/>
          <w:color w:val="FFFFFF"/>
          <w:sz w:val="19"/>
        </w:rPr>
        <w:t>preference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7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380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 multiple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8" w:after="0"/>
              <w:ind w:left="0" w:right="538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74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Reference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2" w:after="0"/>
              <w:ind w:left="0" w:right="352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18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 multiple</w:t>
            </w:r>
          </w:p>
        </w:tc>
      </w:tr>
      <w:tr>
        <w:trPr>
          <w:trHeight w:hRule="exact" w:val="100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0" w:right="310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 rate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rate-based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2" w:after="0"/>
              <w:ind w:left="0" w:right="468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Rate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 rate</w:t>
            </w:r>
          </w:p>
        </w:tc>
      </w:tr>
      <w:tr>
        <w:trPr>
          <w:trHeight w:hRule="exact" w:val="120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386" w:right="0" w:firstLine="0"/>
              <w:jc w:val="lef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bases or fixed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246" w:right="0" w:firstLine="0"/>
              <w:jc w:val="lef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Rate Swaps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floating rate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0" w:right="380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Swaps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bases or fixed</w:t>
            </w:r>
          </w:p>
        </w:tc>
      </w:tr>
      <w:tr>
        <w:trPr>
          <w:trHeight w:hRule="exact" w:val="44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0" w:right="312" w:firstLine="0"/>
              <w:jc w:val="right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coupon rate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0" w:after="0"/>
              <w:ind w:left="0" w:right="0" w:firstLine="0"/>
              <w:jc w:val="center"/>
            </w:pPr>
            <w:r>
              <w:rPr>
                <w:w w:val="102.29367707905017"/>
                <w:rFonts w:ascii="ArialMT" w:hAnsi="ArialMT" w:eastAsia="ArialMT"/>
                <w:b w:val="0"/>
                <w:i w:val="0"/>
                <w:color w:val="FFFFFF"/>
                <w:sz w:val="19"/>
              </w:rPr>
              <w:t>coupon rate</w:t>
            </w:r>
          </w:p>
        </w:tc>
      </w:tr>
    </w:tbl>
    <w:p>
      <w:pPr>
        <w:autoSpaceDN w:val="0"/>
        <w:autoSpaceDE w:val="0"/>
        <w:widowControl/>
        <w:spacing w:line="240" w:lineRule="exact" w:before="93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 are also used to manage market risk in the liquidity portfolio. In line with its development mandate,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maintains a large liquidity balance to ensure that it can make payments on its borrowing obligations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disbursements, even in the event of severe market disruptions. Pending disbursement, the liquidity portfolio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invested on a global basis in multiple currencies and interest rates. Derivatives are also used to align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 and duration of investments with the debt funding the liquidity portfolio. Figure 17 below illustrates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use of derivatives in the liquidity portfolio: </w:t>
      </w:r>
    </w:p>
    <w:p>
      <w:pPr>
        <w:autoSpaceDN w:val="0"/>
        <w:autoSpaceDE w:val="0"/>
        <w:widowControl/>
        <w:spacing w:line="200" w:lineRule="exact" w:before="278" w:after="354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17: Use of Derivatives for Investments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7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108" w:firstLine="0"/>
              <w:jc w:val="right"/>
            </w:pPr>
            <w:r>
              <w:rPr>
                <w:w w:val="102.29737131219161"/>
                <w:rFonts w:ascii="Arial" w:hAnsi="Arial" w:eastAsia="Arial"/>
                <w:b/>
                <w:i w:val="0"/>
                <w:color w:val="FFFFFF"/>
                <w:sz w:val="19"/>
              </w:rPr>
              <w:t>Market Debt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112" w:after="0"/>
              <w:ind w:left="256" w:right="0" w:firstLine="0"/>
              <w:jc w:val="lef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Currency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102.29737131219161"/>
                <w:rFonts w:ascii="Arial" w:hAnsi="Arial" w:eastAsia="Arial"/>
                <w:b/>
                <w:i w:val="0"/>
                <w:color w:val="FFFFFF"/>
                <w:sz w:val="19"/>
              </w:rPr>
              <w:t>After Derivatives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112" w:after="0"/>
              <w:ind w:left="0" w:right="32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Currency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36" w:right="0" w:firstLine="0"/>
              <w:jc w:val="left"/>
            </w:pPr>
            <w:r>
              <w:rPr>
                <w:w w:val="102.29737131219161"/>
                <w:rFonts w:ascii="Arial" w:hAnsi="Arial" w:eastAsia="Arial"/>
                <w:b/>
                <w:i w:val="0"/>
                <w:color w:val="FFFFFF"/>
                <w:sz w:val="19"/>
              </w:rPr>
              <w:t>Liquidity Portfolio</w:t>
            </w:r>
          </w:p>
        </w:tc>
      </w:tr>
      <w:tr>
        <w:trPr>
          <w:trHeight w:hRule="exact" w:val="55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46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Non-US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70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 US dollars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20" w:after="0"/>
              <w:ind w:left="0" w:right="516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 multiple</w:t>
            </w:r>
          </w:p>
        </w:tc>
      </w:tr>
      <w:tr>
        <w:trPr>
          <w:trHeight w:hRule="exact" w:val="182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0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Currencies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1872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0" w:right="450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Swaps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0" w:right="132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Swaps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514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currencies</w:t>
            </w:r>
          </w:p>
        </w:tc>
      </w:tr>
      <w:tr>
        <w:trPr>
          <w:trHeight w:hRule="exact" w:val="141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8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 multiple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8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Reference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54" w:after="0"/>
              <w:ind w:left="0" w:right="510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 multiple</w:t>
            </w:r>
          </w:p>
        </w:tc>
      </w:tr>
      <w:tr>
        <w:trPr>
          <w:trHeight w:hRule="exact" w:val="324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78" w:after="0"/>
              <w:ind w:left="0" w:right="92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440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 rate</w:t>
            </w:r>
          </w:p>
        </w:tc>
      </w:tr>
      <w:tr>
        <w:trPr>
          <w:trHeight w:hRule="exact" w:val="7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 rate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328" w:right="0" w:firstLine="0"/>
              <w:jc w:val="lef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rate-based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0" w:right="362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bases or fixed</w:t>
            </w:r>
          </w:p>
        </w:tc>
      </w:tr>
      <w:tr>
        <w:trPr>
          <w:trHeight w:hRule="exact" w:val="15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0" w:after="0"/>
              <w:ind w:left="0" w:right="208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Rate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bases or fixed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126" w:right="0" w:firstLine="0"/>
              <w:jc w:val="lef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Rate Swaps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floating rate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" w:after="0"/>
              <w:ind w:left="0" w:right="120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Swaps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" w:after="0"/>
              <w:ind w:left="0" w:right="440" w:firstLine="0"/>
              <w:jc w:val="right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coupon rate</w:t>
            </w:r>
          </w:p>
        </w:tc>
      </w:tr>
      <w:tr>
        <w:trPr>
          <w:trHeight w:hRule="exact" w:val="27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0" w:after="0"/>
              <w:ind w:left="0" w:right="0" w:firstLine="0"/>
              <w:jc w:val="center"/>
            </w:pPr>
            <w:r>
              <w:rPr>
                <w:w w:val="102.29737131219161"/>
                <w:rFonts w:ascii="ArialMT" w:hAnsi="ArialMT" w:eastAsia="ArialMT"/>
                <w:b w:val="0"/>
                <w:i w:val="0"/>
                <w:color w:val="FFFFFF"/>
                <w:sz w:val="19"/>
              </w:rPr>
              <w:t>coupon rate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876" w:after="0"/>
        <w:ind w:left="120" w:right="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Other ALM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– Given most loans carry variable rates, for the portion of loans that are funded by equity, loan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revenue, if left unmanaged, would be highly sensitive to fluctuations in short-term interest rates.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Equity-to-Loans ratio of 21.6% indicates the portion of loans funded by equity. To manage this exposure,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has put in place a framework with the primary goal of stabilizing this revenue. Under this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framework, IBRD uses derivatives to convert the variable rate cash flows on loans funded by equity back to fixed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 cash flows, thereby stabilizing loan interest revenue over time. See Figure 18 below. </w:t>
      </w:r>
    </w:p>
    <w:p>
      <w:pPr>
        <w:autoSpaceDN w:val="0"/>
        <w:autoSpaceDE w:val="0"/>
        <w:widowControl/>
        <w:spacing w:line="200" w:lineRule="exact" w:before="3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64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182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18: Use of Derivatives for Other ALM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2.0" w:type="dxa"/>
      </w:tblPr>
      <w:tblGrid>
        <w:gridCol w:w="3120"/>
        <w:gridCol w:w="3120"/>
        <w:gridCol w:w="3120"/>
      </w:tblGrid>
      <w:tr>
        <w:trPr>
          <w:trHeight w:hRule="exact" w:val="626"/>
        </w:trPr>
        <w:tc>
          <w:tcPr>
            <w:tcW w:type="dxa" w:w="4320"/>
            <w:gridSpan w:val="2"/>
            <w:tcBorders/>
            <w:shd w:fill="0449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6" w:after="0"/>
              <w:ind w:left="0" w:right="2016" w:firstLine="0"/>
              <w:jc w:val="center"/>
            </w:pPr>
            <w:r>
              <w:rPr>
                <w:w w:val="102.29947943436473"/>
                <w:rFonts w:ascii="Arial" w:hAnsi="Arial" w:eastAsia="Arial"/>
                <w:b/>
                <w:i w:val="0"/>
                <w:color w:val="FFFFFF"/>
                <w:sz w:val="19"/>
              </w:rPr>
              <w:t xml:space="preserve">Equity-Funded Loans </w:t>
            </w:r>
            <w:r>
              <w:rPr>
                <w:w w:val="102.29947943436473"/>
                <w:rFonts w:ascii="Arial" w:hAnsi="Arial" w:eastAsia="Arial"/>
                <w:b/>
                <w:i w:val="0"/>
                <w:color w:val="FFFFFF"/>
                <w:sz w:val="19"/>
              </w:rPr>
              <w:t>(After Loan Derivatives)</w:t>
            </w:r>
          </w:p>
        </w:tc>
        <w:tc>
          <w:tcPr>
            <w:tcW w:type="dxa" w:w="2036"/>
            <w:tcBorders/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2" w:after="0"/>
              <w:ind w:left="52" w:right="0" w:firstLine="0"/>
              <w:jc w:val="left"/>
            </w:pPr>
            <w:r>
              <w:rPr>
                <w:w w:val="102.29947943436473"/>
                <w:rFonts w:ascii="Arial" w:hAnsi="Arial" w:eastAsia="Arial"/>
                <w:b/>
                <w:i w:val="0"/>
                <w:color w:val="FFFFFF"/>
                <w:sz w:val="19"/>
              </w:rPr>
              <w:t>After Derivatives</w:t>
            </w:r>
          </w:p>
        </w:tc>
      </w:tr>
      <w:tr>
        <w:trPr>
          <w:trHeight w:hRule="exact" w:val="546"/>
        </w:trPr>
        <w:tc>
          <w:tcPr>
            <w:tcW w:type="dxa" w:w="4320"/>
            <w:gridSpan w:val="2"/>
            <w:tcBorders/>
            <w:shd w:fill="e4ee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1.9999999999999" w:type="dxa"/>
            </w:tblPr>
            <w:tblGrid>
              <w:gridCol w:w="4320"/>
            </w:tblGrid>
            <w:tr>
              <w:trPr>
                <w:trHeight w:hRule="exact" w:val="452"/>
              </w:trPr>
              <w:tc>
                <w:tcPr>
                  <w:tcW w:type="dxa" w:w="1536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278" w:after="0"/>
                    <w:ind w:left="0" w:right="0" w:firstLine="0"/>
                    <w:jc w:val="center"/>
                  </w:pPr>
                  <w:r>
                    <w:rPr>
                      <w:w w:val="102.29947943436473"/>
                      <w:rFonts w:ascii="ArialMT" w:hAnsi="ArialMT" w:eastAsia="ArialMT"/>
                      <w:b w:val="0"/>
                      <w:i w:val="0"/>
                      <w:color w:val="FFFFFF"/>
                      <w:sz w:val="19"/>
                    </w:rPr>
                    <w:t>Floating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36"/>
            <w:vMerge w:val="restart"/>
            <w:tcBorders/>
            <w:shd w:fill="e4ee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2036"/>
            </w:tblGrid>
            <w:tr>
              <w:trPr>
                <w:trHeight w:hRule="exact" w:val="606"/>
              </w:trPr>
              <w:tc>
                <w:tcPr>
                  <w:tcW w:type="dxa" w:w="1536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394" w:after="0"/>
                    <w:ind w:left="0" w:right="0" w:firstLine="0"/>
                    <w:jc w:val="center"/>
                  </w:pPr>
                  <w:r>
                    <w:rPr>
                      <w:w w:val="102.29947943436473"/>
                      <w:rFonts w:ascii="ArialMT" w:hAnsi="ArialMT" w:eastAsia="ArialMT"/>
                      <w:b w:val="0"/>
                      <w:i w:val="0"/>
                      <w:color w:val="FFFFFF"/>
                      <w:sz w:val="19"/>
                    </w:rPr>
                    <w:t>Fixed Rate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2036"/>
            </w:tblGrid>
            <w:tr>
              <w:trPr>
                <w:trHeight w:hRule="exact" w:val="254"/>
              </w:trPr>
              <w:tc>
                <w:tcPr>
                  <w:tcW w:type="dxa" w:w="1500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20" w:after="0"/>
                    <w:ind w:left="180" w:right="0" w:firstLine="0"/>
                    <w:jc w:val="left"/>
                  </w:pPr>
                  <w:r>
                    <w:rPr>
                      <w:w w:val="102.29947943436473"/>
                      <w:rFonts w:ascii="ArialMT" w:hAnsi="ArialMT" w:eastAsia="ArialMT"/>
                      <w:b w:val="0"/>
                      <w:i w:val="0"/>
                      <w:color w:val="FFFFFF"/>
                      <w:sz w:val="19"/>
                    </w:rPr>
                    <w:t>Cash Flows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0"/>
        </w:trPr>
        <w:tc>
          <w:tcPr>
            <w:tcW w:type="dxa" w:w="1958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" w:after="0"/>
              <w:ind w:left="0" w:right="220" w:firstLine="0"/>
              <w:jc w:val="right"/>
            </w:pPr>
            <w:r>
              <w:rPr>
                <w:w w:val="102.29947943436473"/>
                <w:rFonts w:ascii="ArialMT" w:hAnsi="ArialMT" w:eastAsia="ArialMT"/>
                <w:b w:val="0"/>
                <w:i w:val="0"/>
                <w:color w:val="FFFFFF"/>
                <w:sz w:val="19"/>
              </w:rPr>
              <w:t>Interest Rate</w:t>
            </w:r>
          </w:p>
        </w:tc>
        <w:tc>
          <w:tcPr>
            <w:tcW w:type="dxa" w:w="2362"/>
            <w:tcBorders/>
            <w:shd w:fill="e4ee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.00000000000023" w:type="dxa"/>
            </w:tblPr>
            <w:tblGrid>
              <w:gridCol w:w="2362"/>
            </w:tblGrid>
            <w:tr>
              <w:trPr>
                <w:trHeight w:hRule="exact" w:val="208"/>
              </w:trPr>
              <w:tc>
                <w:tcPr>
                  <w:tcW w:type="dxa" w:w="2226"/>
                  <w:tcBorders/>
                  <w:shd w:fill="4d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32" w:after="0"/>
                    <w:ind w:left="144" w:right="0" w:firstLine="0"/>
                    <w:jc w:val="left"/>
                  </w:pPr>
                  <w:r>
                    <w:rPr>
                      <w:w w:val="102.29947943436473"/>
                      <w:rFonts w:ascii="ArialMT" w:hAnsi="ArialMT" w:eastAsia="ArialMT"/>
                      <w:b w:val="0"/>
                      <w:i w:val="0"/>
                      <w:color w:val="FFFFFF"/>
                      <w:sz w:val="19"/>
                    </w:rPr>
                    <w:t>Interest Rate Swaps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4320"/>
            <w:gridSpan w:val="2"/>
            <w:tcBorders/>
            <w:shd w:fill="e4ee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682" w:right="0" w:firstLine="0"/>
              <w:jc w:val="left"/>
            </w:pPr>
            <w:r>
              <w:rPr>
                <w:w w:val="102.29947943436473"/>
                <w:rFonts w:ascii="ArialMT" w:hAnsi="ArialMT" w:eastAsia="ArialMT"/>
                <w:b w:val="0"/>
                <w:i w:val="0"/>
                <w:color w:val="FFFFFF"/>
                <w:sz w:val="19"/>
              </w:rPr>
              <w:t>Cash Flows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7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Although interest rates have been rising, low and negative interest rates present a challenge for various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portfolios. </w:t>
      </w:r>
    </w:p>
    <w:p>
      <w:pPr>
        <w:autoSpaceDN w:val="0"/>
        <w:autoSpaceDE w:val="0"/>
        <w:widowControl/>
        <w:spacing w:line="200" w:lineRule="exact" w:before="38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Loans to borrowing countries: </w:t>
      </w:r>
    </w:p>
    <w:p>
      <w:pPr>
        <w:autoSpaceDN w:val="0"/>
        <w:autoSpaceDE w:val="0"/>
        <w:widowControl/>
        <w:spacing w:line="200" w:lineRule="exact" w:before="15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loan agreements, if an interest rate formula yields a negative rate, the interest rate charged is zero. </w:t>
      </w:r>
    </w:p>
    <w:p>
      <w:pPr>
        <w:autoSpaceDN w:val="0"/>
        <w:autoSpaceDE w:val="0"/>
        <w:widowControl/>
        <w:spacing w:line="200" w:lineRule="exact" w:before="38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Liquid Asset Portfolio: </w:t>
      </w:r>
    </w:p>
    <w:p>
      <w:pPr>
        <w:autoSpaceDN w:val="0"/>
        <w:autoSpaceDE w:val="0"/>
        <w:widowControl/>
        <w:spacing w:line="240" w:lineRule="exact" w:before="11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existing guidelines allow for the investment in a wide variety of credit products in both developed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emerging market economies (see investment eligibility criteria in Box 7). In FY25, IBRD’s liquid asset portfolio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incurred unrealized mark-to-market losses due to the sharp increase in interest rates. </w:t>
      </w:r>
    </w:p>
    <w:p>
      <w:pPr>
        <w:autoSpaceDN w:val="0"/>
        <w:autoSpaceDE w:val="0"/>
        <w:widowControl/>
        <w:spacing w:line="240" w:lineRule="exact" w:before="22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interest rate risk on IBRD’s liquid asset portfolio, including the risk that the value of assets in the portfolio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will fluctuate in response to changes in market interest rates, is managed within specified duration-mismatch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limits. The liquid asset portfolio has spread exposure because IBRD holds instruments other than short-term bank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deposits. These investments generally yield positive returns over the risk-free reference rate (Secured Overnight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 Rate - SOFR) but can generate mark-to-market gains or losses if the credit spread moves. </w:t>
      </w:r>
    </w:p>
    <w:p>
      <w:pPr>
        <w:autoSpaceDN w:val="0"/>
        <w:autoSpaceDE w:val="0"/>
        <w:widowControl/>
        <w:spacing w:line="200" w:lineRule="exact" w:before="38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Fixed Spread Loan Refinancing Risk </w:t>
      </w:r>
    </w:p>
    <w:p>
      <w:pPr>
        <w:autoSpaceDN w:val="0"/>
        <w:autoSpaceDE w:val="0"/>
        <w:widowControl/>
        <w:spacing w:line="240" w:lineRule="exact" w:before="1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Refinancing risk for funding fixed-spread loans relates to the potential impact of any future deterioration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funding spread relative to what was computed in the fixed-spread when the loan was initially disbursed.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does not match the maturity of its funding with that of its fixed spread loans as this would result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significantly higher financing costs for all loans. Instead, IBRD targets a shorter average funding maturity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manages the refinancing risk by charging a risk premium. </w:t>
      </w:r>
    </w:p>
    <w:p>
      <w:pPr>
        <w:autoSpaceDN w:val="0"/>
        <w:autoSpaceDE w:val="0"/>
        <w:widowControl/>
        <w:spacing w:line="200" w:lineRule="exact" w:before="27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Effective April 1, 2021, IBRD’s offering of loans on fixed spread terms has been suspended. </w:t>
      </w:r>
    </w:p>
    <w:p>
      <w:pPr>
        <w:autoSpaceDN w:val="0"/>
        <w:autoSpaceDE w:val="0"/>
        <w:widowControl/>
        <w:spacing w:line="200" w:lineRule="exact" w:before="38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044A72"/>
          <w:sz w:val="20"/>
        </w:rPr>
        <w:t xml:space="preserve">Other Interest Rate Risks </w:t>
      </w:r>
    </w:p>
    <w:p>
      <w:pPr>
        <w:autoSpaceDN w:val="0"/>
        <w:autoSpaceDE w:val="0"/>
        <w:widowControl/>
        <w:spacing w:line="240" w:lineRule="exact" w:before="1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 risk also arises from other variables, including differences in timing between the contractual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maturities or re-pricing of IBRD’s assets, liabilities, and derivative instruments. On variable-rate assets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liabilities, IBRD is exposed to timing mismatches between the re-set dates on its variable-rate receivables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payables. IBRD monitors these exposures and may execute overlay interest rates swaps to reduce sizable timing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mismatches. </w:t>
      </w:r>
    </w:p>
    <w:p>
      <w:pPr>
        <w:autoSpaceDN w:val="0"/>
        <w:autoSpaceDE w:val="0"/>
        <w:widowControl/>
        <w:spacing w:line="200" w:lineRule="exact" w:before="3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Exchange Rate Risk </w:t>
      </w:r>
    </w:p>
    <w:p>
      <w:pPr>
        <w:autoSpaceDN w:val="0"/>
        <w:autoSpaceDE w:val="0"/>
        <w:widowControl/>
        <w:spacing w:line="240" w:lineRule="exact" w:before="1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holds the majority of its assets and liabilities in U.S. dollars and euro. However, the reported levels of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assets, liabilities, income, and expenses in the financial statements are affected by exchange rate movements in </w:t>
      </w:r>
    </w:p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the currencies in which IBRD transacts, relative to its reporting currency, the U.S. dollar. IBRD’s functional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currencies are the U.S. dollar and euro. Currency translation adjustments relating to euro-denominated balances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reflected in other comprehensive income, a component of equity. Currency translation adjustments relating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non-euro denominated balances (non-functional currencies) are reported in the Statements of Income. While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equity could be affected by exchange rate movements, IBRD’s risk management policies work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minimize the exchange rate risk in its capital adequacy, by immunizing the Equity-to-Loans ratio against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exchange rate movements.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 minimize exchange risk, IBRD matches its borrowing obligations in any one currency (after derivatives)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 in the same currency. In addition, IBRD undertakes periodic currency conversions to align the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composition of its equity with that of its outstanding loans across major currencies. Together, these policies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designed to minimize the impact of exchange rate fluctuations on the Equity-to-Loans ratio; thereby preserving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ability to better absorb unexpected losses from arrears on loan repayments, regardless of exchange rate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movements. As a result, exchange rate movements during the year generally do not have an impact on the overall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Equity-to-Loans ratio.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currency composition of the Loan portfolio (after the effect of associated derivatives) as of June 30, 2025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mainly consists of 79% U.S. Dollars and 20% euros.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currency composition of the Borrowing portfolio (after the effect of associated derivatives) funding loans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June 30, 2025 mainly consists of 79% U.S. Dollars and 20% euros.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Liquidity Risk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Liquidity risk arises in the general funding of IBRD’s activities and in managing its financial position. It includes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risk of IBRD being unable to fund its portfolio of assets at appropriate maturities and rates, and the risk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being unable to liquidate a position in a timely manner at a reasonable price.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liquidity management guidelines, aggregate liquid asset holdings are kept at or above a specified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Prudential Minimum to safeguard against cash flow interruptions.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Target Liquidity Level represents twelve-months’ coverage as calculated at the start of every fiscal year.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Prudential Minimum is defined as 80% of the Target Liquidity Level. The maximum guideline of 150%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Target Liquidity Level continues to function as a guideline rather than a hard ceiling (Table 39). </w:t>
      </w:r>
    </w:p>
    <w:p>
      <w:pPr>
        <w:autoSpaceDN w:val="0"/>
        <w:autoSpaceDE w:val="0"/>
        <w:widowControl/>
        <w:spacing w:line="200" w:lineRule="exact" w:before="278" w:after="5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39: Liquidity Levels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20"/>
        <w:gridCol w:w="3120"/>
        <w:gridCol w:w="3120"/>
      </w:tblGrid>
      <w:tr>
        <w:trPr>
          <w:trHeight w:hRule="exact" w:val="214"/>
        </w:trPr>
        <w:tc>
          <w:tcPr>
            <w:tcW w:type="dxa" w:w="714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Effective for FY25 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 billions of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% of Target </w:t>
            </w:r>
          </w:p>
        </w:tc>
      </w:tr>
      <w:tr>
        <w:trPr>
          <w:trHeight w:hRule="exact" w:val="194"/>
        </w:trPr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101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U.S. dollars </w:t>
            </w:r>
          </w:p>
        </w:tc>
        <w:tc>
          <w:tcPr>
            <w:tcW w:type="dxa" w:w="105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Liquidity Level </w:t>
            </w:r>
          </w:p>
        </w:tc>
      </w:tr>
      <w:tr>
        <w:trPr>
          <w:trHeight w:hRule="exact" w:val="310"/>
        </w:trPr>
        <w:tc>
          <w:tcPr>
            <w:tcW w:type="dxa" w:w="714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Target Liquidity Level . . . . . . . . . . . . . . . . . . . . . . . . . . . . . . . . . . . . . . . . . . . . . . . . . . .</w:t>
            </w:r>
          </w:p>
        </w:tc>
        <w:tc>
          <w:tcPr>
            <w:tcW w:type="dxa" w:w="101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$65.0 </w:t>
            </w:r>
          </w:p>
        </w:tc>
        <w:tc>
          <w:tcPr>
            <w:tcW w:type="dxa" w:w="1052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150% </w:t>
            </w:r>
          </w:p>
        </w:tc>
      </w:tr>
      <w:tr>
        <w:trPr>
          <w:trHeight w:hRule="exact" w:val="240"/>
        </w:trPr>
        <w:tc>
          <w:tcPr>
            <w:tcW w:type="dxa" w:w="7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Guideline Maximum Liquidity Level . . . . . . . . . . . . . . . . . . . . . . . . . . . . . . . . . . . . . . .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97.5 </w:t>
            </w:r>
          </w:p>
        </w:tc>
        <w:tc>
          <w:tcPr>
            <w:tcW w:type="dxa" w:w="3120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7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Prudential Minimum Liquidity Level . . . . . . . . . . . . . . . . . . . . . . . . . . . . . . . . . . . . . . .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52.0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80% </w:t>
            </w:r>
          </w:p>
        </w:tc>
      </w:tr>
      <w:tr>
        <w:trPr>
          <w:trHeight w:hRule="exact" w:val="272"/>
        </w:trPr>
        <w:tc>
          <w:tcPr>
            <w:tcW w:type="dxa" w:w="7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Liquid Asset Portfolio as of June 30, 2025 . . . . . . . . . . . . . . . . . . . . . . . . . . . . . . . . . . .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$96.0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148% </w:t>
            </w:r>
          </w:p>
        </w:tc>
      </w:tr>
    </w:tbl>
    <w:p>
      <w:pPr>
        <w:autoSpaceDN w:val="0"/>
        <w:autoSpaceDE w:val="0"/>
        <w:widowControl/>
        <w:spacing w:line="240" w:lineRule="exact" w:before="27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FY26 Target Liquidity Level is set at $79.0 billion, $14.0 billion higher than FY25 Target Liquidity Level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due to higher projected debt service and net loan disbursements in FY26.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Operational Risk </w:t>
      </w:r>
    </w:p>
    <w:p>
      <w:pPr>
        <w:autoSpaceDN w:val="0"/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Operational risk is defined as the risk of financial loss or damage to IBRD’s reputation resulting from inadequate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failed internal processes, people and systems, or from external events. </w:t>
      </w:r>
    </w:p>
    <w:p>
      <w:pPr>
        <w:autoSpaceDN w:val="0"/>
        <w:autoSpaceDE w:val="0"/>
        <w:widowControl/>
        <w:spacing w:line="200" w:lineRule="exact" w:before="6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66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recognizes the importance of operational risk management activities, which are embedded in its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operations. As part of its business activities, IBRD is exposed to a range of operational risks including physical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security, staff health and safety, information security and data privacy, business continuity, and third-party risks.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approach to identifying and managing operational risk includes a dedicated program for these risks and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robust process that includes assessing and prioritizing operational risks, monitoring and reporting relevant key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indicators, aggregating and analyzing internal and external events, identifying emerging risks that may affect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units, and developing risk responses and mitigating actions.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Cybersecurity Risk Management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operations rely on the secure processing, storage and transmission of confidential and other information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computer systems and networks. Like other financial institutions, cybersecurity risk continues to be significant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IBRD due to the evolving sophistication and complexity of the cyber threat landscape. These risks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unavoidable and IBRD seeks to manage them on a cost-effective basis consistent with its risk appetite.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 protect the security of its computer systems, software, networks and other technology assets, IBRD has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developed a cybersecurity risk management program, aligned with its Operational Risk Management Framework.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This program consists of cybersecurity policies, procedures, compliance and awareness programs.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multi-layered approach for cybersecurity risk management is employed to prevent and detect malicious activity,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both from within the organization and from external sources. In response to emerging cyber threats such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malware including ransomware, denial of service, phishing attacks and artificial intelligence related risks,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adapts its technical and process-level controls and enhances user awareness to mitigate the risk. When relying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third-party vendors for technology-enabled services, additional meaningful and diligent measures are applied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gain assurance regarding the security of its information and technology assets including, as appropriate, legal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cybersecurity contractual safeguards in third-party vendor agreements and the review and monitoring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third-party control environments.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periodically assesses the maturity and effectiveness of its cyber defenses through risk mitigation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techniques, including but not limited to, targeted testing, internal and external audits, incident response desktop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exercises and industry benchmarking. </w:t>
      </w:r>
    </w:p>
    <w:p>
      <w:pPr>
        <w:autoSpaceDN w:val="0"/>
        <w:autoSpaceDE w:val="0"/>
        <w:widowControl/>
        <w:spacing w:line="200" w:lineRule="exact" w:before="55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X: CONTRACTUAL OBLIGATIONS </w:t>
      </w:r>
    </w:p>
    <w:p>
      <w:pPr>
        <w:autoSpaceDN w:val="0"/>
        <w:autoSpaceDE w:val="0"/>
        <w:widowControl/>
        <w:spacing w:line="240" w:lineRule="exact" w:before="11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conducting its business, IBRD takes on contractual obligations that may require future payments. These </w:t>
      </w:r>
      <w:r>
        <w:rPr>
          <w:rFonts w:ascii="Times" w:hAnsi="Times" w:eastAsia="Times"/>
          <w:b w:val="0"/>
          <w:i w:val="0"/>
          <w:color w:val="231F20"/>
          <w:sz w:val="20"/>
        </w:rPr>
        <w:t>include borrowings, operating and finance leases, contractual purchases, capital expenditures, and other long-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 liabilities. Table 40 shows IBRD’s contractual obligations for the next five years and thereafter; it excludes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obligations reflected on IBRD’s Balance Sheets: undisbursed loans, amounts payable for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interest rate swaps, amounts payable for investment securities purchased, guarantees, and cash received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agency arrangements. </w:t>
      </w:r>
    </w:p>
    <w:p>
      <w:pPr>
        <w:autoSpaceDN w:val="0"/>
        <w:tabs>
          <w:tab w:pos="920" w:val="left"/>
        </w:tabs>
        <w:autoSpaceDE w:val="0"/>
        <w:widowControl/>
        <w:spacing w:line="202" w:lineRule="exact" w:before="15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IBRD issues debt in the form of securities to private and governmental buyers.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Finance Leases: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reclassified a land lease as a finance lease following the execution of a purchase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sale agreement during the fiscal year ended June 30, 2025. The amount due in one year represents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future cash payments for real estate-related obligations based on the contractual amounts payable until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purchase is completed in June 2026 as planned.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Operating Leases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IBRD leases real estate and equipment under lease agreements for varying periods.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Operating lease expenditures represents future cash payments for real estate-related obligations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equipment, based on contractual amounts. </w:t>
      </w:r>
    </w:p>
    <w:p>
      <w:pPr>
        <w:autoSpaceDN w:val="0"/>
        <w:tabs>
          <w:tab w:pos="920" w:val="left"/>
        </w:tabs>
        <w:autoSpaceDE w:val="0"/>
        <w:widowControl/>
        <w:spacing w:line="242" w:lineRule="exact" w:before="11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Contractual Purchases: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 a party to various obligations to purchase products and services,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are purchase commitments in the ordinary course of business.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Other Long-Term 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IBRD provides a variety of benefits to its employees. As some of these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benefits are of a long-term nature, IBRD records the associated liability on its Balance Sheets.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payable represents expected benefit payments as well as contributions to the pension plans.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include future service and pay accruals for current staff and new staff projections for the next 10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Operating leases, contractual purchases and capital expenditures, and other long-term obligations include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shared with IDA, IFC, and MIGA under cost-sharing and service arrangements. These arrangements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reflect the WBG strategy of maximizing synergies, to best leverage resources for development (see Notes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Statements, Note H for Transactions with Affiliated Organizations).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40: Contractual Obligations </w:t>
      </w:r>
    </w:p>
    <w:p>
      <w:pPr>
        <w:autoSpaceDN w:val="0"/>
        <w:autoSpaceDE w:val="0"/>
        <w:widowControl/>
        <w:spacing w:line="16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240" w:after="36"/>
        <w:ind w:left="0" w:right="176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3"/>
        </w:trPr>
        <w:tc>
          <w:tcPr>
            <w:tcW w:type="dxa" w:w="454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in 1 year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after 1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after 3 </w:t>
            </w:r>
          </w:p>
        </w:tc>
        <w:tc>
          <w:tcPr>
            <w:tcW w:type="dxa" w:w="17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7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After </w:t>
            </w:r>
          </w:p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up to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up to 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7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1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or Less </w:t>
            </w:r>
          </w:p>
        </w:tc>
        <w:tc>
          <w:tcPr>
            <w:tcW w:type="dxa" w:w="92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3 Years </w:t>
            </w:r>
          </w:p>
        </w:tc>
        <w:tc>
          <w:tcPr>
            <w:tcW w:type="dxa" w:w="92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5 Years </w:t>
            </w:r>
          </w:p>
        </w:tc>
        <w:tc>
          <w:tcPr>
            <w:tcW w:type="dxa" w:w="9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5 years </w:t>
            </w:r>
          </w:p>
        </w:tc>
        <w:tc>
          <w:tcPr>
            <w:tcW w:type="dxa" w:w="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454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 . . . . . . . . . . . . . . . . . . . . . . . . . . . . . . . . .</w:t>
            </w:r>
          </w:p>
        </w:tc>
        <w:tc>
          <w:tcPr>
            <w:tcW w:type="dxa" w:w="107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$47,162 </w:t>
            </w:r>
          </w:p>
        </w:tc>
        <w:tc>
          <w:tcPr>
            <w:tcW w:type="dxa" w:w="92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$74,298 </w:t>
            </w:r>
          </w:p>
        </w:tc>
        <w:tc>
          <w:tcPr>
            <w:tcW w:type="dxa" w:w="92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$71,827 </w:t>
            </w:r>
          </w:p>
        </w:tc>
        <w:tc>
          <w:tcPr>
            <w:tcW w:type="dxa" w:w="179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$112,874 $306,161 </w:t>
            </w:r>
          </w:p>
        </w:tc>
      </w:tr>
      <w:tr>
        <w:trPr>
          <w:trHeight w:hRule="exact" w:val="24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Finance leases . . . . . . . . . . . . . . . . . . . . . . . . . . . . . . .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</w:p>
        </w:tc>
      </w:tr>
      <w:tr>
        <w:trPr>
          <w:trHeight w:hRule="exact" w:val="24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Operating leases . . . . . . . . . . . . . . . . . . . . . . . . . . . . .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57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155 </w:t>
            </w:r>
          </w:p>
        </w:tc>
      </w:tr>
      <w:tr>
        <w:trPr>
          <w:trHeight w:hRule="exact" w:val="24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Contractual purchases . . . . . . . . . . . . . . . . . . . . . . . . .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644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676 </w:t>
            </w:r>
          </w:p>
        </w:tc>
      </w:tr>
      <w:tr>
        <w:trPr>
          <w:trHeight w:hRule="exact" w:val="256"/>
        </w:trPr>
        <w:tc>
          <w:tcPr>
            <w:tcW w:type="dxa" w:w="4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long-term liabilities . . . . . . . . . . . . . . . . . . . . .</w:t>
            </w:r>
          </w:p>
        </w:tc>
        <w:tc>
          <w:tcPr>
            <w:tcW w:type="dxa" w:w="10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777 </w:t>
            </w:r>
          </w:p>
        </w:tc>
        <w:tc>
          <w:tcPr>
            <w:tcW w:type="dxa" w:w="9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201 </w:t>
            </w:r>
          </w:p>
        </w:tc>
        <w:tc>
          <w:tcPr>
            <w:tcW w:type="dxa" w:w="9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115 </w:t>
            </w:r>
          </w:p>
        </w:tc>
        <w:tc>
          <w:tcPr>
            <w:tcW w:type="dxa" w:w="9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224 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1,317 </w:t>
            </w:r>
          </w:p>
        </w:tc>
      </w:tr>
      <w:tr>
        <w:trPr>
          <w:trHeight w:hRule="exact" w:val="336"/>
        </w:trPr>
        <w:tc>
          <w:tcPr>
            <w:tcW w:type="dxa" w:w="45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</w:t>
            </w:r>
          </w:p>
        </w:tc>
        <w:tc>
          <w:tcPr>
            <w:tcW w:type="dxa" w:w="10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$48,655 </w:t>
            </w:r>
          </w:p>
        </w:tc>
        <w:tc>
          <w:tcPr>
            <w:tcW w:type="dxa" w:w="9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5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$74,576 </w:t>
            </w:r>
          </w:p>
        </w:tc>
        <w:tc>
          <w:tcPr>
            <w:tcW w:type="dxa" w:w="9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5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$71,974 </w:t>
            </w:r>
          </w:p>
        </w:tc>
        <w:tc>
          <w:tcPr>
            <w:tcW w:type="dxa" w:w="179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$113,115 $308,320 </w:t>
            </w:r>
          </w:p>
        </w:tc>
      </w:tr>
    </w:tbl>
    <w:p>
      <w:pPr>
        <w:autoSpaceDN w:val="0"/>
        <w:autoSpaceDE w:val="0"/>
        <w:widowControl/>
        <w:spacing w:line="200" w:lineRule="exact" w:before="21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68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XI: PENSION &amp; OTHER POST-RETIREMENT BENEFITS </w:t>
      </w:r>
    </w:p>
    <w:p>
      <w:pPr>
        <w:autoSpaceDN w:val="0"/>
        <w:autoSpaceDE w:val="0"/>
        <w:widowControl/>
        <w:spacing w:line="220" w:lineRule="exact" w:before="1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Governance </w:t>
      </w:r>
    </w:p>
    <w:p>
      <w:pPr>
        <w:autoSpaceDN w:val="0"/>
        <w:autoSpaceDE w:val="0"/>
        <w:widowControl/>
        <w:spacing w:line="230" w:lineRule="exact" w:before="9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participates, along with IFC and MIGA, in pension and post-retirement benefit plans. The Staff Retirement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 and Trust (SRP), Retired Staff Benefits Plan and Trust (RSBP), and PEBP (collectively called the “Plans”)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defined benefit plans and cover all WBG employees, retirees and their beneficiaries. Costs, assets,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associated with the Plans are allocated among IBRD, IFC, and MIGA, based on their employees’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respective participation in the Plans. Costs allocated to IBRD are subsequently shared with IDA, based on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agreed cost-sharing ratio (see Notes to Financial Statements, Note K: Pension and Other Post-Retirement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Benefits). </w:t>
      </w:r>
    </w:p>
    <w:p>
      <w:pPr>
        <w:autoSpaceDN w:val="0"/>
        <w:autoSpaceDE w:val="0"/>
        <w:widowControl/>
        <w:spacing w:line="230" w:lineRule="exact" w:before="19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benefits of the Plans at retirement are determined pursuant to the Plan Documents adopted by the Board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(Plan Document). IBRD has a contractual obligation to make benefit payments to the Plans’ beneficiaries.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governance mechanism of the Plans, including the funding and investment policies described here, are designed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support this objective. </w:t>
      </w:r>
    </w:p>
    <w:p>
      <w:pPr>
        <w:autoSpaceDN w:val="0"/>
        <w:autoSpaceDE w:val="0"/>
        <w:widowControl/>
        <w:spacing w:line="230" w:lineRule="exact" w:before="1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There are two committees that govern the Plans. From a governance standpoint, both committees are independent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IBRD and the Board. </w:t>
      </w:r>
    </w:p>
    <w:p>
      <w:pPr>
        <w:autoSpaceDN w:val="0"/>
        <w:tabs>
          <w:tab w:pos="920" w:val="left"/>
        </w:tabs>
        <w:autoSpaceDE w:val="0"/>
        <w:widowControl/>
        <w:spacing w:line="230" w:lineRule="exact" w:before="96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Pension Finance Committee (PFC), which is responsible for the financial management of the Plans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is supported by the Pension Finance Administrator. </w:t>
      </w:r>
    </w:p>
    <w:p>
      <w:pPr>
        <w:autoSpaceDN w:val="0"/>
        <w:tabs>
          <w:tab w:pos="920" w:val="left"/>
        </w:tabs>
        <w:autoSpaceDE w:val="0"/>
        <w:widowControl/>
        <w:spacing w:line="230" w:lineRule="exact" w:before="9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Pension Benefits Administration Committee (PBAC), which is responsible for the administration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benefits of the Plans. </w:t>
      </w:r>
    </w:p>
    <w:p>
      <w:pPr>
        <w:autoSpaceDN w:val="0"/>
        <w:autoSpaceDE w:val="0"/>
        <w:widowControl/>
        <w:spacing w:line="230" w:lineRule="exact" w:before="19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Contributions to the SRP and RSBP are irrevocable, with assets held in separate trusts, and the PEBP assets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included in IBRD’s investment portfolio. IBRD acts as trustee for the Plans and the assets are used for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exclusive benefit of the participants and their beneficiaries. The objective of the Plans is to accumulate sufficient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 to meet future pension benefit obligations. As of June 30, 2025, IBRD and IDA’s share of the assets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amounted to $34.7 billion (Table 41). This represents the accumulated contributions paid into the plans net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benefit payments, together with the accumulated value of investment earnings, net of related expenses. </w:t>
      </w:r>
    </w:p>
    <w:p>
      <w:pPr>
        <w:autoSpaceDN w:val="0"/>
        <w:autoSpaceDE w:val="0"/>
        <w:widowControl/>
        <w:spacing w:line="220" w:lineRule="exact" w:before="33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Funding and Investment Policies </w:t>
      </w:r>
    </w:p>
    <w:p>
      <w:pPr>
        <w:autoSpaceDN w:val="0"/>
        <w:autoSpaceDE w:val="0"/>
        <w:widowControl/>
        <w:spacing w:line="230" w:lineRule="exact" w:before="9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key policies underpinning the financial management of the Plans, including the determination of WBG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contributions and the investment of Plan assets, are the funding and investment policies. The objective of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policies is to ensure that the Plans have sufficient assets to meet benefit payments over the long term.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funding policy, as approved by the PFC, establishes the rules that determine the WBG’s contributions. The policy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seeks to fund the Plans in a consistent and timely manner, while at the same time avoiding excessive volatility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WBG contributions. The funding policy determines how much the WBG must contribute annually to sustain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ensure the accumulation of sufficient assets over time to meet the expected benefit payments. Under the Plan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Document, the PFC determines the WBG contribution based on actuarial valuations. IBRD is required to make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contribution determined by the PFC. In FY25, the WBG’s rate for contributions to the Plans was 12.71%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salaries. </w:t>
      </w:r>
    </w:p>
    <w:p>
      <w:pPr>
        <w:autoSpaceDN w:val="0"/>
        <w:autoSpaceDE w:val="0"/>
        <w:widowControl/>
        <w:spacing w:line="230" w:lineRule="exact" w:before="1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Projected Benefit Obligation (PBO) is derived from AA-rated corporate bonds, as required by U.S. GAAP.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selection of this rate as the basis for the discount rate is to establish a liability equivalent to an amount that if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invested in high-quality fixed income securities would match the benefit payment stream. While this measure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on an objective, observable market rate, it does not necessarily reflect the realized or expected returns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Plan which depend on how the Plans are managed and invested. The PBO for funding purposes is discounted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using a 3.5% real discount rate since the funding strategy for the Plans is based on a target of 3.5% real return on 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investments. This rate constitutes the long-term return objective for the Plan’s assets, referred to as the Long-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 Real Return Objective (LTRRO), which Management has followed since the year ended June 30, 1999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last reaffirmed under the strategic asset allocation review in April 2024. If the return on pension assets is 3.5%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real terms and contributions are made at the actuarially required rates (which reflect the long-term cost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 benefit), the Plan benefits will be funded over time.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69 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assets of the Plans are diversified across a variety of asset classes, with the objective of achieving returns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consistent with the LTRRO over the long term without taking undue risks. The returns on investments for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Plans have met or exceeded the LTRRO on a consistent basis in the long term as well as in recent years. The PFC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periodically reviews the LTRRO for realism and appropriateness. See Notes to Financial Statements, Note K: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Pension and Other Post-Retirement Benefits for asset allocation, expected return on Plan assets and assumptions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used to determine the PBO. </w:t>
      </w:r>
    </w:p>
    <w:p>
      <w:pPr>
        <w:autoSpaceDN w:val="0"/>
        <w:autoSpaceDE w:val="0"/>
        <w:widowControl/>
        <w:spacing w:line="240" w:lineRule="exact" w:before="194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Plan has a long-standing Environmental, Social and Governance (ESG) policy that reflects the latest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developments in and understanding of responsible investments and ESG integration. The ESG policy is based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principled and pragmatic approach in accordance with and subject to the fiduciary standard applicable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administration and investment of Plan assets. The Plan’s ESG policy outlines a practical approach to ESG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integration and responsible ownership, providing an operational framework for a consistent consideration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relevant ESG issues applicable to each asset class, as well as for the conduct of corporate engagement and proxy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voting on the Plan’s applicable equity holdings. </w:t>
      </w:r>
    </w:p>
    <w:p>
      <w:pPr>
        <w:autoSpaceDN w:val="0"/>
        <w:autoSpaceDE w:val="0"/>
        <w:widowControl/>
        <w:spacing w:line="220" w:lineRule="exact" w:before="3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Projected Benefit Obligations </w:t>
      </w:r>
    </w:p>
    <w:p>
      <w:pPr>
        <w:autoSpaceDN w:val="0"/>
        <w:autoSpaceDE w:val="0"/>
        <w:widowControl/>
        <w:spacing w:line="240" w:lineRule="exact" w:before="96" w:after="0"/>
        <w:ind w:left="120" w:right="84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Given that pension plan liabilities can be defined and measured in different ways, it is possible to have different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funded status measures for the same plans. The most widely used and publicly disclosed measure of pension plan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is the PBO measure required under U.S. GAAP. It reflects the present value of all retirement benefits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earned by participants (adjusted for assumed inflation) as of a given date, including projected salary increases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retirement. Therefore, the PBO measure is an appropriate metric for assessing the ability of the Plans to cover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benefits as of a certain date. The underlying actuarial assumptions used to determine the PBO,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accumulated benefit obligations, and funded status associated with the Plans are based on financial market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rates, experience, and Management’s best estimate of future benefit changes, economic conditions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earnings from plan assets. </w:t>
      </w:r>
    </w:p>
    <w:p>
      <w:pPr>
        <w:autoSpaceDN w:val="0"/>
        <w:autoSpaceDE w:val="0"/>
        <w:widowControl/>
        <w:spacing w:line="200" w:lineRule="exact" w:before="2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41: Funded Status of the Plans </w:t>
      </w:r>
    </w:p>
    <w:p>
      <w:pPr>
        <w:autoSpaceDN w:val="0"/>
        <w:autoSpaceDE w:val="0"/>
        <w:widowControl/>
        <w:spacing w:line="160" w:lineRule="exact" w:before="12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194" w:after="38"/>
        <w:ind w:left="0" w:right="1096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37"/>
        </w:trPr>
        <w:tc>
          <w:tcPr>
            <w:tcW w:type="dxa" w:w="590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35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9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7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7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5902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6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PBO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Plan assets . . . . . . . . . . . . . . . . . . . . . . . . . . . . . . . . . . . . . . . . . . . . . . .</w:t>
            </w:r>
          </w:p>
        </w:tc>
        <w:tc>
          <w:tcPr>
            <w:tcW w:type="dxa" w:w="3398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$(21,555) $(2,725) $(2,070) $(26,350) </w:t>
            </w:r>
          </w:p>
        </w:tc>
      </w:tr>
      <w:tr>
        <w:trPr>
          <w:trHeight w:hRule="exact" w:val="262"/>
        </w:trPr>
        <w:tc>
          <w:tcPr>
            <w:tcW w:type="dxa" w:w="1563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89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27,400 </w:t>
            </w:r>
          </w:p>
        </w:tc>
        <w:tc>
          <w:tcPr>
            <w:tcW w:type="dxa" w:w="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4,921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2,359 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34,680 </w:t>
            </w:r>
          </w:p>
        </w:tc>
      </w:tr>
      <w:tr>
        <w:trPr>
          <w:trHeight w:hRule="exact" w:val="329"/>
        </w:trPr>
        <w:tc>
          <w:tcPr>
            <w:tcW w:type="dxa" w:w="59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position . . . . . . . . . . . . . . . . . . . . . . . . . . . . . . . . . . . . . . . . . .</w:t>
            </w:r>
          </w:p>
        </w:tc>
        <w:tc>
          <w:tcPr>
            <w:tcW w:type="dxa" w:w="1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66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5,845 $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2,196 $</w:t>
            </w:r>
          </w:p>
        </w:tc>
        <w:tc>
          <w:tcPr>
            <w:tcW w:type="dxa" w:w="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289 $</w:t>
            </w:r>
          </w:p>
        </w:tc>
        <w:tc>
          <w:tcPr>
            <w:tcW w:type="dxa" w:w="7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8,330 </w:t>
            </w:r>
          </w:p>
        </w:tc>
      </w:tr>
      <w:tr>
        <w:trPr>
          <w:trHeight w:hRule="exact" w:val="327"/>
        </w:trPr>
        <w:tc>
          <w:tcPr>
            <w:tcW w:type="dxa" w:w="59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funded status . . . . . . . . . . . . . . . . . . . . . . . . . . . . . . . . . . . . . . .</w:t>
            </w:r>
          </w:p>
        </w:tc>
        <w:tc>
          <w:tcPr>
            <w:tcW w:type="dxa" w:w="26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3,908 </w:t>
            </w:r>
          </w:p>
        </w:tc>
      </w:tr>
    </w:tbl>
    <w:p>
      <w:pPr>
        <w:autoSpaceDN w:val="0"/>
        <w:autoSpaceDE w:val="0"/>
        <w:widowControl/>
        <w:spacing w:line="160" w:lineRule="exact" w:before="218" w:after="36"/>
        <w:ind w:left="0" w:right="1096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As of 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37"/>
        </w:trPr>
        <w:tc>
          <w:tcPr>
            <w:tcW w:type="dxa" w:w="590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35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9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7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7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5902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6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PBO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Plan assets . . . . . . . . . . . . . . . . . . . . . . . . . . . . . . . . . . . . . . . . . . . . . . .</w:t>
            </w:r>
          </w:p>
        </w:tc>
        <w:tc>
          <w:tcPr>
            <w:tcW w:type="dxa" w:w="3398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$(22,166) $(3,408) $(2,097) $(27,671) </w:t>
            </w:r>
          </w:p>
        </w:tc>
      </w:tr>
      <w:tr>
        <w:trPr>
          <w:trHeight w:hRule="exact" w:val="256"/>
        </w:trPr>
        <w:tc>
          <w:tcPr>
            <w:tcW w:type="dxa" w:w="1563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89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25,689 </w:t>
            </w:r>
          </w:p>
        </w:tc>
        <w:tc>
          <w:tcPr>
            <w:tcW w:type="dxa" w:w="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4,540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2,135 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32,364 </w:t>
            </w:r>
          </w:p>
        </w:tc>
      </w:tr>
      <w:tr>
        <w:trPr>
          <w:trHeight w:hRule="exact" w:val="332"/>
        </w:trPr>
        <w:tc>
          <w:tcPr>
            <w:tcW w:type="dxa" w:w="59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position . . . . . . . . . . . . . . . . . . . . . . . . . . . . . . . . . . . . . . . . . .</w:t>
            </w:r>
          </w:p>
        </w:tc>
        <w:tc>
          <w:tcPr>
            <w:tcW w:type="dxa" w:w="1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66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3,523 $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1,132 $</w:t>
            </w:r>
          </w:p>
        </w:tc>
        <w:tc>
          <w:tcPr>
            <w:tcW w:type="dxa" w:w="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38 $</w:t>
            </w:r>
          </w:p>
        </w:tc>
        <w:tc>
          <w:tcPr>
            <w:tcW w:type="dxa" w:w="7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4,693 </w:t>
            </w:r>
          </w:p>
        </w:tc>
      </w:tr>
      <w:tr>
        <w:trPr>
          <w:trHeight w:hRule="exact" w:val="324"/>
        </w:trPr>
        <w:tc>
          <w:tcPr>
            <w:tcW w:type="dxa" w:w="59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funded status . . . . . . . . . . . . . . . . . . . . . . . . . . . . . . . . . . . . . . .</w:t>
            </w:r>
          </w:p>
        </w:tc>
        <w:tc>
          <w:tcPr>
            <w:tcW w:type="dxa" w:w="26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2,235 </w:t>
            </w:r>
          </w:p>
        </w:tc>
      </w:tr>
    </w:tbl>
    <w:p>
      <w:pPr>
        <w:autoSpaceDN w:val="0"/>
        <w:autoSpaceDE w:val="0"/>
        <w:widowControl/>
        <w:spacing w:line="240" w:lineRule="exact" w:before="230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discount rate used to convert future obligations into today’s dollars is derived from high-grade, AA- rated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corporate bond yields as required by U.S. GAAP. The overfunded status of the pension plans for IBRD and IDA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$8,330 million as of June 30, 2025, net of PEBP assets, primarily reflects the actuarial gains in the projected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benefit obligations as a result of the decrease in the expected inflation rate and the increase in the nominal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discount rate, as well as the increase in the value of the Plan Assets due to higher-than-expected asset returns.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Plans are managed with a long-term horizon, results over shorter time periods may be impacted positively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negatively by market fluctuations.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70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XII: CRITICAL ACCOUNTING POLICIES AND THE USE OF ESTIMATES </w:t>
      </w:r>
    </w:p>
    <w:p>
      <w:pPr>
        <w:autoSpaceDN w:val="0"/>
        <w:autoSpaceDE w:val="0"/>
        <w:widowControl/>
        <w:spacing w:line="240" w:lineRule="exact" w:before="1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significant accounting policies, as well as estimates made by Management, are integral to its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reporting. While all of these policies require a certain level of judgment and estimates, significant policies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 Management to make highly difficult, complex, and subjective judgments as these relate to matters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inherently uncertain and susceptible to change. Note A to the financial statements contains a summary of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significant accounting policies including a discussion of recently issued accounting pronouncements.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Fair Value of Financial Instruments </w:t>
      </w:r>
    </w:p>
    <w:p>
      <w:pPr>
        <w:autoSpaceDN w:val="0"/>
        <w:autoSpaceDE w:val="0"/>
        <w:widowControl/>
        <w:spacing w:line="240" w:lineRule="exact" w:before="118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fair values of financial instruments are based on a three-level hierarchy. For financial instruments classified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Level 1 or 2, less judgment is applied in arriving at fair value measures as the inputs are based on observable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 data. For financial instruments classified as Level 3, unobservable inputs are used. These require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to make important assumptions and judgments in determining fair value measures. Investments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measured at net asset value per share (or its equivalent) are not classified in the fair value hierarchy.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Most of IBRD’s financial instruments which are recorded at fair value are classified as Levels 1 and 2. Table 42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presents the summary of the fair value of financial instruments recorded at fair value on a recurring basis, and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amounts measured using significant Level 3 inputs. IBRD’s level 3 instruments are mainly structured bonds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related swaps held in the borrowing portfolio; these use market observable inputs and unobservable inputs 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correlations, interest rate volatilities, and equity index volatilities. There were no Level 3 instruments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investment or loan portfolios as of June 30, 2025. All of IBRD’s loans were reported at amortized cost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June 30, 2025.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42: Fair Value Level 3 Summary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4"/>
        </w:trPr>
        <w:tc>
          <w:tcPr>
            <w:tcW w:type="dxa" w:w="59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 ended June 30, </w:t>
            </w:r>
          </w:p>
        </w:tc>
        <w:tc>
          <w:tcPr>
            <w:tcW w:type="dxa" w:w="159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170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206"/>
        </w:trPr>
        <w:tc>
          <w:tcPr>
            <w:tcW w:type="dxa" w:w="592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170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87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6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3 </w:t>
            </w:r>
          </w:p>
        </w:tc>
        <w:tc>
          <w:tcPr>
            <w:tcW w:type="dxa" w:w="9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 </w:t>
            </w:r>
          </w:p>
        </w:tc>
        <w:tc>
          <w:tcPr>
            <w:tcW w:type="dxa" w:w="82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3 </w:t>
            </w:r>
          </w:p>
        </w:tc>
        <w:tc>
          <w:tcPr>
            <w:tcW w:type="dxa" w:w="87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 </w:t>
            </w:r>
          </w:p>
        </w:tc>
      </w:tr>
      <w:tr>
        <w:trPr>
          <w:trHeight w:hRule="exact" w:val="310"/>
        </w:trPr>
        <w:tc>
          <w:tcPr>
            <w:tcW w:type="dxa" w:w="592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0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Assets at fair value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As a percentage of total assets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Liabilities at fair value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a percentage of total liabilities . . . . . . . . . . . . . . . . . . . . . . . . . . . . . .</w:t>
            </w:r>
          </w:p>
        </w:tc>
        <w:tc>
          <w:tcPr>
            <w:tcW w:type="dxa" w:w="3290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356 $115,364 $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263 $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94,842 </w:t>
            </w:r>
          </w:p>
        </w:tc>
      </w:tr>
      <w:tr>
        <w:trPr>
          <w:trHeight w:hRule="exact" w:val="240"/>
        </w:trPr>
        <w:tc>
          <w:tcPr>
            <w:tcW w:type="dxa" w:w="1872"/>
            <w:vMerge/>
            <w:tcBorders>
              <w:top w:sz="8.0" w:val="single" w:color="#221F1F"/>
            </w:tcBorders>
          </w:tcPr>
          <w:p/>
        </w:tc>
        <w:tc>
          <w:tcPr>
            <w:tcW w:type="dxa" w:w="1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0.31%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0.28% </w:t>
            </w:r>
          </w:p>
        </w:tc>
      </w:tr>
      <w:tr>
        <w:trPr>
          <w:trHeight w:hRule="exact" w:val="240"/>
        </w:trPr>
        <w:tc>
          <w:tcPr>
            <w:tcW w:type="dxa" w:w="1872"/>
            <w:vMerge/>
            <w:tcBorders>
              <w:top w:sz="8.0" w:val="single" w:color="#221F1F"/>
            </w:tcBorders>
          </w:tcPr>
          <w:p/>
        </w:tc>
        <w:tc>
          <w:tcPr>
            <w:tcW w:type="dxa" w:w="32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$5,121 $330,706 $4,349 $296,712 </w:t>
            </w:r>
          </w:p>
        </w:tc>
      </w:tr>
      <w:tr>
        <w:trPr>
          <w:trHeight w:hRule="exact" w:val="288"/>
        </w:trPr>
        <w:tc>
          <w:tcPr>
            <w:tcW w:type="dxa" w:w="1872"/>
            <w:vMerge/>
            <w:tcBorders>
              <w:top w:sz="8.0" w:val="single" w:color="#221F1F"/>
            </w:tcBorders>
          </w:tcPr>
          <w:p/>
        </w:tc>
        <w:tc>
          <w:tcPr>
            <w:tcW w:type="dxa" w:w="1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1.55%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1.47% 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reviews the methodology, inputs, and assumptions on a quarterly basis to assess the appropriateness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 hierarchy classification of each financial instrument.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Some financial instruments are valued using pricing models. The valuation group, independent of the treasury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financial reporting functions, reviews all financial instrument models affecting financial reporting through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 and assesses model appropriateness and consistency. The review looks at whether the models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accurately reflect the characteristics of the transaction and its risks, the suitability and convergence properties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numerical algorithms, the reliability of data sources, the consistency of the treatment with models for similar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products, and sensitivity to input parameters and assumptions that cannot be priced from the market.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Reviews are conducted of new and/or changed models, as well as previously validated models, to assess whether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changes in the product or market may have affected the model’s continued validity and whether any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theoretical or competitive developments may require reassessment of the model’s adequacy.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financial models used for input to IBRD’s financial statements are subject to both internal and periodic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external verification and review by qualified personnel. </w:t>
      </w:r>
    </w:p>
    <w:p>
      <w:pPr>
        <w:autoSpaceDN w:val="0"/>
        <w:autoSpaceDE w:val="0"/>
        <w:widowControl/>
        <w:spacing w:line="200" w:lineRule="exact" w:before="5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71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cases where Management relies on instrument valuations supplied by external pricing vendors, procedures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place to validate the appropriateness of the models used, as well as the inputs applied in determining those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values.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Provision for Losses on Loans and Other Exposures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evaluates estimated exposures over the life of loans and other exposures, to incorporate undisbursed loan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commitments in the measure of exposure, and to incorporate estimations of future market conditions for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reasonable and supportable forecast period along with historical experience. The overall provision for expected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is the sum of the computed annual losses, taking into account borrower risk ratings and associated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default frequencies, estimates of exposure, and severity of loss given default.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loans reported at fair value, if any, the credit risk assessment is a determinant of fair value. All of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were reported at amortized cost as of June 30, 2025.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determination of a borrower’s risk rating is based on complex variables such as: political risk, external debt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liquidity, fiscal policy and the public debt burden, balance of payments risks, economic structure and growth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prospects, monetary and exchange rate policy, and financial sector risks and corporate sector debt and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vulnerabilities. Additionally, estimations of disbursements and repayments of exposures are made, as well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estimations of future interest cash flows based on forward looking market variables, and the impact of any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enhancement arrangements IBRD has received. </w:t>
      </w:r>
    </w:p>
    <w:p>
      <w:pPr>
        <w:autoSpaceDN w:val="0"/>
        <w:autoSpaceDE w:val="0"/>
        <w:widowControl/>
        <w:spacing w:line="240" w:lineRule="exact" w:before="24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periodically reviews these variables and reassesses the adequacy of the accumulated provision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accordingly. Actual losses may differ from expected losses owing to unforeseen changes in any of the variables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affecting the creditworthiness or estimates inherent in the exposure measurements of borrowers.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Credit Risk Committee monitors aspects of country credit risk, in particular, reviewing the provision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on loans and guarantees taking into account, among other factors, any changes in exposure, risk ratings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member countries, or changes between the accrual and nonaccrual portfolios.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accumulated provision for loan losses is reported separately in the Balance Sheets as a reduction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total loans outstanding. The accumulated provision for losses on loan commitments and other exposures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included in accounts payable and miscellaneous liabilities. Increases or decreases in the accumulated provision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losses on loans and other exposures are reported in the Statements of Income as a Provision for losses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and other exposures (see Notes to Financial Statements: Note A: Summary of Significant Accounting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Related Policies and Note D: Loans and Other Exposures).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Pension and Other Post-Retirement Benefits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underlying actuarial assumptions used to determine the PBO, accumulated benefit obligations, and funded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 associated with IBRD pension and other post-retirement benefit plans are based on financial market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rates, experience, and Management’s best estimate of future benefit changes and economic conditions.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 costs, assets and liabilities associated with these plans are allocated between IBRD, IFC, and MIGA based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upon their employees’ respective participation in the plans. Costs allocated to IBRD are then shared between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and IDA based on an agreed cost-sharing ratio. IDA, IFC and MIGA reimburse IBRD for their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proportionate share of any contributions made to these plans by IBRD. Contributions to the plans are calculated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a percentage of salary (see Notes to Financial Statements, Note K: Pension and Other Post-Retirement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Benefits). </w:t>
      </w:r>
    </w:p>
    <w:p>
      <w:pPr>
        <w:autoSpaceDN w:val="0"/>
        <w:autoSpaceDE w:val="0"/>
        <w:widowControl/>
        <w:spacing w:line="200" w:lineRule="exact" w:before="12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3594100</wp:posOffset>
            </wp:positionV>
            <wp:extent cx="5765800" cy="21209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120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XIII: GOVERNANCE AND CONTROLS </w:t>
      </w:r>
    </w:p>
    <w:p>
      <w:pPr>
        <w:autoSpaceDN w:val="0"/>
        <w:autoSpaceDE w:val="0"/>
        <w:widowControl/>
        <w:spacing w:line="220" w:lineRule="exact" w:before="1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Business Conduct </w:t>
      </w:r>
    </w:p>
    <w:p>
      <w:pPr>
        <w:autoSpaceDN w:val="0"/>
        <w:autoSpaceDE w:val="0"/>
        <w:widowControl/>
        <w:spacing w:line="240" w:lineRule="exact" w:before="10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WBG promotes a positive work environment in which staff members understand their ethical obligations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institution. In support of this commitment, the institution has in place a Code of Conduct. The WBG has both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Ethics Help Line and a Fraud and Corruption hotline. A third-party service offers many methods of worldwide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communication. Reporting channels include telephone, mail, email, or confidential submission through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website. </w:t>
      </w:r>
    </w:p>
    <w:p>
      <w:pPr>
        <w:autoSpaceDN w:val="0"/>
        <w:autoSpaceDE w:val="0"/>
        <w:widowControl/>
        <w:spacing w:line="240" w:lineRule="exact" w:before="20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procedures in place for receiving, retaining, and handling recommendations and concerns relating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conduct identified during the accounting, internal control, and auditing processes. </w:t>
      </w:r>
    </w:p>
    <w:p>
      <w:pPr>
        <w:autoSpaceDN w:val="0"/>
        <w:autoSpaceDE w:val="0"/>
        <w:widowControl/>
        <w:spacing w:line="240" w:lineRule="exact" w:before="21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WBG staff rules clarify and codify the staff’s obligations in reporting suspected fraud, corruption, or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misconduct that may threaten the operations or governance of the WBG. These rules also offer protection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retaliation. </w:t>
      </w:r>
    </w:p>
    <w:p>
      <w:pPr>
        <w:autoSpaceDN w:val="0"/>
        <w:autoSpaceDE w:val="0"/>
        <w:widowControl/>
        <w:spacing w:line="200" w:lineRule="exact" w:before="24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19: Governance Structure </w:t>
      </w:r>
    </w:p>
    <w:p>
      <w:pPr>
        <w:autoSpaceDN w:val="0"/>
        <w:autoSpaceDE w:val="0"/>
        <w:widowControl/>
        <w:spacing w:line="216" w:lineRule="exact" w:before="434" w:after="810"/>
        <w:ind w:left="0" w:right="0" w:firstLine="0"/>
        <w:jc w:val="center"/>
      </w:pPr>
      <w:r>
        <w:rPr>
          <w:w w:val="98.01363511518998"/>
          <w:rFonts w:ascii="Arial" w:hAnsi="Arial" w:eastAsia="Arial"/>
          <w:b w:val="0"/>
          <w:i w:val="0"/>
          <w:color w:val="FFFFFF"/>
          <w:sz w:val="22"/>
        </w:rPr>
        <w:t>Board of Governors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8" w:after="0"/>
              <w:ind w:left="398" w:right="0" w:firstLine="0"/>
              <w:jc w:val="lef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Audit Committee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694" w:firstLine="0"/>
              <w:jc w:val="right"/>
            </w:pPr>
            <w:r>
              <w:rPr>
                <w:w w:val="98.01363511518998"/>
                <w:rFonts w:ascii="Arial" w:hAnsi="Arial" w:eastAsia="Arial"/>
                <w:b w:val="0"/>
                <w:i w:val="0"/>
                <w:color w:val="FFFFFF"/>
                <w:sz w:val="22"/>
              </w:rPr>
              <w:t>Executive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78" w:after="0"/>
              <w:ind w:left="718" w:right="0" w:firstLine="0"/>
              <w:jc w:val="lef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Committee on Development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8" w:after="0"/>
              <w:ind w:left="0" w:right="736" w:firstLine="0"/>
              <w:jc w:val="right"/>
            </w:pPr>
            <w:r>
              <w:rPr>
                <w:w w:val="98.01363511518998"/>
                <w:rFonts w:ascii="Arial" w:hAnsi="Arial" w:eastAsia="Arial"/>
                <w:b w:val="0"/>
                <w:i w:val="0"/>
                <w:color w:val="FFFFFF"/>
                <w:sz w:val="22"/>
              </w:rPr>
              <w:t>Directors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2" w:after="0"/>
              <w:ind w:left="0" w:right="758" w:firstLine="0"/>
              <w:jc w:val="righ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Effectiveness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0"/>
        <w:ind w:left="0" w:right="0"/>
      </w:pP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672" w:right="0" w:firstLine="0"/>
        <w:jc w:val="left"/>
      </w:pP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>Budget Committee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 w:num="2" w:equalWidth="0">
            <w:col w:w="4502" w:space="0"/>
            <w:col w:w="485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14"/>
        <w:ind w:left="2160" w:right="288" w:firstLine="0"/>
        <w:jc w:val="center"/>
      </w:pP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 xml:space="preserve">Committee on Governance </w:t>
      </w:r>
      <w:r>
        <w:br/>
      </w: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>and Executive Directors’</w:t>
      </w:r>
    </w:p>
    <w:p>
      <w:pPr>
        <w:sectPr>
          <w:type w:val="nextColumn"/>
          <w:pgSz w:w="12240" w:h="15840"/>
          <w:pgMar w:top="768" w:right="1440" w:bottom="696" w:left="1440" w:header="720" w:footer="720" w:gutter="0"/>
          <w:cols w:num="2" w:equalWidth="0">
            <w:col w:w="4502" w:space="0"/>
            <w:col w:w="48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120"/>
        <w:gridCol w:w="3120"/>
        <w:gridCol w:w="3120"/>
      </w:tblGrid>
      <w:tr>
        <w:trPr>
          <w:trHeight w:hRule="exact" w:val="33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16" w:after="0"/>
              <w:ind w:left="352" w:right="0" w:firstLine="0"/>
              <w:jc w:val="lef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Human Resources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788" w:firstLine="0"/>
              <w:jc w:val="right"/>
            </w:pPr>
            <w:r>
              <w:rPr>
                <w:w w:val="98.01363511518998"/>
                <w:rFonts w:ascii="Arial" w:hAnsi="Arial" w:eastAsia="Arial"/>
                <w:b w:val="0"/>
                <w:i w:val="0"/>
                <w:color w:val="FFFFFF"/>
                <w:sz w:val="22"/>
              </w:rPr>
              <w:t>President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0" w:right="254" w:firstLine="0"/>
              <w:jc w:val="righ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Administrative Matters</w:t>
            </w:r>
          </w:p>
        </w:tc>
      </w:tr>
    </w:tbl>
    <w:p>
      <w:pPr>
        <w:autoSpaceDN w:val="0"/>
        <w:autoSpaceDE w:val="0"/>
        <w:widowControl/>
        <w:spacing w:line="194" w:lineRule="exact" w:before="18" w:after="0"/>
        <w:ind w:left="1006" w:right="0" w:firstLine="0"/>
        <w:jc w:val="left"/>
      </w:pP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>Committee</w:t>
      </w:r>
    </w:p>
    <w:p>
      <w:pPr>
        <w:autoSpaceDN w:val="0"/>
        <w:autoSpaceDE w:val="0"/>
        <w:widowControl/>
        <w:spacing w:line="220" w:lineRule="exact" w:before="5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General Governance </w:t>
      </w:r>
    </w:p>
    <w:p>
      <w:pPr>
        <w:autoSpaceDN w:val="0"/>
        <w:autoSpaceDE w:val="0"/>
        <w:widowControl/>
        <w:spacing w:line="240" w:lineRule="exact" w:before="10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decision-making structure consists of the Board of Governors, Executive Directors (the Board),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President, Management, and staff. The Board of Governors is the highest decision-making authority. Governors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appointed by their member governments for a five-year term, which is renewable. The Board of Governors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may delegate authority to the Executive Directors to exercise any of its powers, except for certain powers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enumerated in IBRD’s Articles. IBRD has its own policies and frameworks that are carried out by staff that share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responsibilities over both IBRD and IDA. </w:t>
      </w:r>
    </w:p>
    <w:p>
      <w:pPr>
        <w:autoSpaceDN w:val="0"/>
        <w:autoSpaceDE w:val="0"/>
        <w:widowControl/>
        <w:spacing w:line="240" w:lineRule="exact" w:before="21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IBRD and IDA have joint internal institutional oversight units which play an assurance role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shareholders and management that IBRD’s work is impactful and accountable, informed by best practices,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delivered to the highest ethical standards with risk management controls and governance processes that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functioning effectively. </w:t>
      </w:r>
    </w:p>
    <w:p>
      <w:pPr>
        <w:autoSpaceDN w:val="0"/>
        <w:autoSpaceDE w:val="0"/>
        <w:widowControl/>
        <w:spacing w:line="220" w:lineRule="exact" w:before="3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Executive Directors </w:t>
      </w:r>
    </w:p>
    <w:p>
      <w:pPr>
        <w:autoSpaceDN w:val="0"/>
        <w:autoSpaceDE w:val="0"/>
        <w:widowControl/>
        <w:spacing w:line="240" w:lineRule="exact" w:before="10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accordance with IBRD’s Articles, Executive Directors are appointed or elected every two years by their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governments. The Board currently has 25 Executive Directors, who represent all 189 member countries.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Executive Directors are neither officers nor staff of IBRD. The President is the only member of the Board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management, and he serves as a non-voting member and as Chairman of the Board. </w:t>
      </w:r>
    </w:p>
    <w:p>
      <w:pPr>
        <w:autoSpaceDN w:val="0"/>
        <w:autoSpaceDE w:val="0"/>
        <w:widowControl/>
        <w:spacing w:line="200" w:lineRule="exact" w:before="2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73 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Board is required to consider proposals made by the President on IBRD loans, grants and guarantees and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policies that affect its general operations. The Board is also responsible for presenting to the Governors, 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Annual Meetings, audited accounts, an administrative budget, and an annual report on operations and policies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other matters. </w:t>
      </w:r>
    </w:p>
    <w:p>
      <w:pPr>
        <w:autoSpaceDN w:val="0"/>
        <w:autoSpaceDE w:val="0"/>
        <w:widowControl/>
        <w:spacing w:line="240" w:lineRule="exact" w:before="23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Board and its committees are in continuous sessions based in Washington DC, as business requires. Each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committee’s terms of reference establish its respective roles and responsibilities. As committees do not vote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issues, their role is primarily to serve the Board in discharging its responsibilities. </w:t>
      </w:r>
    </w:p>
    <w:p>
      <w:pPr>
        <w:autoSpaceDN w:val="0"/>
        <w:autoSpaceDE w:val="0"/>
        <w:widowControl/>
        <w:spacing w:line="240" w:lineRule="exact" w:before="23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committees are made up of eight members and function under their respective stipulated terms of reference.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committees are as follows: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 Committee—assists the Board in overseeing IBRD’s finances, accounting, risk management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internal controls (</w:t>
      </w:r>
      <w:r>
        <w:rPr>
          <w:rFonts w:ascii="Times" w:hAnsi="Times" w:eastAsia="Times"/>
          <w:b w:val="0"/>
          <w:i/>
          <w:color w:val="231F20"/>
          <w:sz w:val="20"/>
        </w:rPr>
        <w:t>see further explanation below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).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Budget Committee—assists the Board in approving the World Bank’s budget and in overseeing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preparation and execution of IBRD’s business plans. The committee provides guidance to management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strategic directions of IBRD.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 on Development Effectiveness—supports the Board in assessing IBRD’s development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effectiveness, providing guidance on strategic directions of IBRD, and monitoring the quality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results of operations.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 on Governance and Executive Directors’ Administrative Matters—assists the Board on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issues related to the governance of IBRD, the Board’s own effectiveness, and the administrative policy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applicable to Executive Directors’ offices.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1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Human Resources Committee—strengthens the efficiency and effectiveness of the Board in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discharging its oversight responsibility on the World Bank’s human resources strategy, policies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practices, and their alignment with the business needs of the organization. </w:t>
      </w:r>
    </w:p>
    <w:p>
      <w:pPr>
        <w:autoSpaceDN w:val="0"/>
        <w:autoSpaceDE w:val="0"/>
        <w:widowControl/>
        <w:spacing w:line="220" w:lineRule="exact" w:before="4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Audit Committee </w:t>
      </w:r>
    </w:p>
    <w:p>
      <w:pPr>
        <w:autoSpaceDN w:val="0"/>
        <w:autoSpaceDE w:val="0"/>
        <w:widowControl/>
        <w:spacing w:line="200" w:lineRule="exact" w:before="15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Membership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Audit Committee consists of eight Executive Directors. Membership in the Committee is determined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Board, based on nominations by the Chairman of the Board, following informal consultation with Executive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Directors. </w:t>
      </w:r>
    </w:p>
    <w:p>
      <w:pPr>
        <w:autoSpaceDN w:val="0"/>
        <w:autoSpaceDE w:val="0"/>
        <w:widowControl/>
        <w:spacing w:line="200" w:lineRule="exact" w:before="39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Key Responsibilities </w:t>
      </w:r>
    </w:p>
    <w:p>
      <w:pPr>
        <w:autoSpaceDN w:val="0"/>
        <w:autoSpaceDE w:val="0"/>
        <w:widowControl/>
        <w:spacing w:line="240" w:lineRule="exact" w:before="12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Audit Committee is appointed by the Board for the primary purpose of assisting the Board in overseeing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finances, accounting, risk management, internal controls and institutional integrity. Specific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responsibilities include: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5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Oversight of the integrity of IBRD’s financial statements.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Appointment, qualifications, independence and performance of the External Auditor.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5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Performance of the Group Internal Audit.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Adequacy and effectiveness of financial and accounting policies and internal controls and 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mechanisms to deter, prevent and penalize fraud and corruption in IBRD operations and corporate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procurement.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58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Effective management of financial, fiduciary and compliance risks in IBRD.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Oversight of the institutional arrangements and processes for risk management across IBRD.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carrying out its role, the Audit Committee discusses financial issues and policies that affect IBRD’s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 and capital adequacy with Management, external auditors, and internal auditors. It recommends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annual audited financial statements for approval to the Board. The Audit Committee monitors and reviews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developments in corporate governance and its own role on an ongoing basis.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Executive Sessions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 Audit Committee’s terms of reference, it may convene in executive session at any time, without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Management’s presence. The Audit Committee meets separately in executive session with the external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auditors.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Access to Resources and to Management </w:t>
      </w:r>
    </w:p>
    <w:p>
      <w:pPr>
        <w:autoSpaceDN w:val="0"/>
        <w:autoSpaceDE w:val="0"/>
        <w:widowControl/>
        <w:spacing w:line="240" w:lineRule="exact" w:before="12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Throughout the year, the Audit Committee receives a large volume of information to enable it to carry out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duties and meets both formally and informally throughout the year to discuss relevant matters. It has complete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access to Management, and reviews and discusses with Management topics considered in its terms of reference. 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Audit Committee has the authority to seek advice and assistance from outside legal, accounting, or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advisors as it deems necessary.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Auditor Independence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appointment of the external auditor for IBRD is governed by a set of Board-approved principles.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Limits on the external auditor’s provision of non-audit-related services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Requiring all audit-related services to be pre-approved on a case-by-case basis by the Board, upon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recommendation of the Audit Committee, and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Renewal of the external audit contract every five years, with a limit of two consecutive terms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mandatory rotation thereafter.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external auditor may provide non-prohibited, non-audit related services subject to monetary limits. Broadly,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list of prohibited non-audit services include those that would put the external auditor in the roles typically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performed by management and in a position of auditing their own work, such as accounting services, internal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 services, and provision of investment advice. The total non-audit services fees over the term of the relevant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external audit contract shall not exceed 70% of the audit fees over the same period.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Communication between the external auditor and the Audit Committee is ongoing and carried out as often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deemed necessary by either party. The Audit Committee meets periodically with the external auditor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individual committee members have independent access to the external auditor. IBRD’s external auditors also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follow the communication requirements with the Audit Committee set out under generally accepted auditing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standards in the United States.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External Auditors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external auditor is appointed to a five-year term, with a limit of two consecutive terms, and is subject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annual reappointment based on the recommendation of the Audit Committee and approval of a resolution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May 2022, IBRD’s Board approved Deloitte &amp; Touche LLP as IBRD’s external auditor for a second five- year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 commencing in FY24. 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Senior Management Changes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Lakshmi Shyam-Sunder, WBG Chief Risk Officer and Vice President, retired in January 2025. Dennis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McLaughlin was appointed to this role effective January 2, 2025.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Pamela O’Connell, Vice President and WBG Controller, will be retiring and leaving the Bank in September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2025. </w:t>
      </w:r>
    </w:p>
    <w:p>
      <w:pPr>
        <w:autoSpaceDN w:val="0"/>
        <w:autoSpaceDE w:val="0"/>
        <w:widowControl/>
        <w:spacing w:line="22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 xml:space="preserve">Internal Control </w:t>
      </w:r>
    </w:p>
    <w:p>
      <w:pPr>
        <w:autoSpaceDN w:val="0"/>
        <w:autoSpaceDE w:val="0"/>
        <w:widowControl/>
        <w:spacing w:line="200" w:lineRule="exact" w:before="1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Internal Control Over Financial Reporting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Each fiscal year, Management evaluates the internal controls over financial reporting to determine whether any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changes made in these controls during the fiscal year materially affect, or would be reasonably likely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materially affect, IBRD’s internal control over financial reporting. The internal control framework promulgated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the Committee of Sponsoring Organizations of the Treadway Commission (COSO), “Internal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Control—Integrated Framework (2013)” provides guidance for designing, implementing and conducting internal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 and assessing its effectiveness. IBRD uses the 2013 COSO framework to assess the effectiveness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control over financial reporting. As of June 30, 2025, management maintained effective internal control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 financial reporting. See “Management’s report regarding effectiveness of Internal Control over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Reporting” on page 92.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internal control over financial reporting as of June 30, 2025, has been audited by Deloitte &amp; Touche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LLP, an independent auditor, as stated in their report, which is included herein.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Disclosure Controls and Procedures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Disclosure controls and procedures are designed to ensure that information required to be disclosed is gathered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communicated to Management, as appropriate, to allow timely decisions regarding required disclosure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IBRD. Management conducted an evaluation of the effectiveness of such controls and procedures and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 and the MDCFO have concluded that these controls and procedures were effective as of June 30, 2025. </w:t>
      </w:r>
    </w:p>
    <w:p>
      <w:pPr>
        <w:autoSpaceDN w:val="0"/>
        <w:autoSpaceDE w:val="0"/>
        <w:widowControl/>
        <w:spacing w:line="200" w:lineRule="exact" w:before="55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76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576" w:right="432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XIV: RECONCILIATIONS OF COMPONENTS OF ALLOCABLE </w:t>
      </w:r>
      <w:r>
        <w:rPr>
          <w:rFonts w:ascii="Times" w:hAnsi="Times" w:eastAsia="Times"/>
          <w:b/>
          <w:i w:val="0"/>
          <w:color w:val="044A72"/>
          <w:sz w:val="24"/>
        </w:rPr>
        <w:t xml:space="preserve">INCOME </w:t>
      </w:r>
    </w:p>
    <w:p>
      <w:pPr>
        <w:autoSpaceDN w:val="0"/>
        <w:autoSpaceDE w:val="0"/>
        <w:widowControl/>
        <w:spacing w:line="240" w:lineRule="exact" w:before="234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discussed in Section I: Overview and Section III: Financial Results, in addition to reported financial measures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determined in accordance with U.S. GAAP, IBRD also uses certain non-GAAP financial measures to evaluate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performance, make operating decisions, determine business strategy, develop targeted financial goals,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allocate resources.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tables below provide a reconciliation of key components of allocable income referenced in the MD&amp;A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most directly comparable U.S. GAAP reported measures.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Statements of Income </w:t>
      </w:r>
    </w:p>
    <w:p>
      <w:pPr>
        <w:autoSpaceDN w:val="0"/>
        <w:autoSpaceDE w:val="0"/>
        <w:widowControl/>
        <w:spacing w:line="240" w:lineRule="exact" w:before="122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presents interest revenue on loans, investments and other assets, interest expense on borrowings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certain other items on a gross basis on its reported statements of income. However, IBRD assesses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performance of its lending, investing and other activities on a net basis, which takes into consideration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 on borrowings to fund these activities, the impact of realized gains and losses on derivatives designated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economic hedges to manage interest rate and currency risk and other costs. The presentation of amounts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3 is intended to reflect how IBRD manages its lending, investing and other activities and assesses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performance of these activities.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43 and Table 44 provide reconciliations of the components of IBRD’s statements of income (Table 3)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specified periods to the non-GAAP amounts presented and discussed in the MD&amp;A (Table 5).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43: Interest Revenue, Net of Borrowings Expenses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344"/>
        <w:gridCol w:w="2344"/>
        <w:gridCol w:w="2344"/>
        <w:gridCol w:w="2344"/>
      </w:tblGrid>
      <w:tr>
        <w:trPr>
          <w:trHeight w:hRule="exact" w:val="254"/>
        </w:trPr>
        <w:tc>
          <w:tcPr>
            <w:tcW w:type="dxa" w:w="748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years ended June 30, </w:t>
            </w:r>
          </w:p>
        </w:tc>
        <w:tc>
          <w:tcPr>
            <w:tcW w:type="dxa" w:w="102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0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10"/>
        </w:trPr>
        <w:tc>
          <w:tcPr>
            <w:tcW w:type="dxa" w:w="7486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0" w:right="190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Interest revenue—Loans, net (Table 3—Reported Basis)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Less: Borrowing expenses funding loans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Add: Others . . . . . . . . . . . . . . . . . . . . . . . . . . . . . . . . . . . . . . . . . . . . . . . . . . . . . . . . . . . . . . .</w:t>
            </w:r>
          </w:p>
        </w:tc>
        <w:tc>
          <w:tcPr>
            <w:tcW w:type="dxa" w:w="1764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15,301 $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15,831 </w:t>
            </w:r>
          </w:p>
        </w:tc>
      </w:tr>
      <w:tr>
        <w:trPr>
          <w:trHeight w:hRule="exact" w:val="240"/>
        </w:trPr>
        <w:tc>
          <w:tcPr>
            <w:tcW w:type="dxa" w:w="2344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(10,484)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(10,957) </w:t>
            </w:r>
          </w:p>
        </w:tc>
      </w:tr>
      <w:tr>
        <w:trPr>
          <w:trHeight w:hRule="exact" w:val="256"/>
        </w:trPr>
        <w:tc>
          <w:tcPr>
            <w:tcW w:type="dxa" w:w="2344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0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20"/>
        </w:trPr>
        <w:tc>
          <w:tcPr>
            <w:tcW w:type="dxa" w:w="74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Loan interest revenue, net of funding costs (Table 5)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</w:t>
            </w:r>
          </w:p>
        </w:tc>
        <w:tc>
          <w:tcPr>
            <w:tcW w:type="dxa" w:w="1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9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4,821 $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7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4,874 </w:t>
            </w:r>
          </w:p>
        </w:tc>
      </w:tr>
      <w:tr>
        <w:trPr>
          <w:trHeight w:hRule="exact" w:val="352"/>
        </w:trPr>
        <w:tc>
          <w:tcPr>
            <w:tcW w:type="dxa" w:w="74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Interest revenue—Investments-Trading, net (Table 3—Reported Basis)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</w:t>
            </w:r>
          </w:p>
        </w:tc>
        <w:tc>
          <w:tcPr>
            <w:tcW w:type="dxa" w:w="1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4,444 $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4,337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Add: Reclassification of unrealized mark-to-market gains on investments-trading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125"/>
        <w:gridCol w:w="3125"/>
        <w:gridCol w:w="3125"/>
      </w:tblGrid>
      <w:tr>
        <w:trPr>
          <w:trHeight w:hRule="exact" w:val="240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portfolio, net (Table 3) . . . . . . . . . . . . . . . . . . . . . . . . . . . . . . . . . . . . . .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Less: Unrealized mark-to-market (gains) losses attributable to PEBP, PCRF, LPF1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4"/>
        <w:gridCol w:w="2344"/>
        <w:gridCol w:w="2344"/>
        <w:gridCol w:w="2344"/>
      </w:tblGrid>
      <w:tr>
        <w:trPr>
          <w:trHeight w:hRule="exact" w:val="232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GFPP investment holdings reclassified to non-interest revenue, net (Table 44) . . . . . . . .</w:t>
            </w:r>
          </w:p>
        </w:tc>
        <w:tc>
          <w:tcPr>
            <w:tcW w:type="dxa" w:w="1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(158)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(112) </w:t>
            </w:r>
          </w:p>
        </w:tc>
      </w:tr>
      <w:tr>
        <w:trPr>
          <w:trHeight w:hRule="exact" w:val="256"/>
        </w:trPr>
        <w:tc>
          <w:tcPr>
            <w:tcW w:type="dxa" w:w="7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Less: Borrowing expenses funding investment-trading . . . . . . . . . . . . . . . . . . . . . . . . . . . . .</w:t>
            </w:r>
          </w:p>
        </w:tc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(4,435) 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(4,255) </w:t>
            </w:r>
          </w:p>
        </w:tc>
      </w:tr>
      <w:tr>
        <w:trPr>
          <w:trHeight w:hRule="exact" w:val="336"/>
        </w:trPr>
        <w:tc>
          <w:tcPr>
            <w:tcW w:type="dxa" w:w="75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Investment revenue, net of funding costs (Table 5)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</w:t>
            </w:r>
          </w:p>
        </w:tc>
        <w:tc>
          <w:tcPr>
            <w:tcW w:type="dxa" w:w="1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9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65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02" w:lineRule="exact" w:before="114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Borrowing Expenses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. . . . . . . . . . . . . . . . . . . . . . . . . 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32"/>
        </w:trPr>
        <w:tc>
          <w:tcPr>
            <w:tcW w:type="dxa" w:w="75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0" w:right="194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 expenses funding loans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 expenses funding investment-trading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Add: Others . . . . . . . . . . . . 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10,484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10,957 </w:t>
            </w:r>
          </w:p>
        </w:tc>
      </w:tr>
      <w:tr>
        <w:trPr>
          <w:trHeight w:hRule="exact" w:val="24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4,435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4,255 </w:t>
            </w:r>
          </w:p>
        </w:tc>
      </w:tr>
      <w:tr>
        <w:trPr>
          <w:trHeight w:hRule="exact" w:val="256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</w:tr>
      <w:tr>
        <w:trPr>
          <w:trHeight w:hRule="exact" w:val="336"/>
        </w:trPr>
        <w:tc>
          <w:tcPr>
            <w:tcW w:type="dxa" w:w="75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Borrowing expense, net (Table 3—Reported Basis)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</w:t>
            </w:r>
          </w:p>
        </w:tc>
        <w:tc>
          <w:tcPr>
            <w:tcW w:type="dxa" w:w="17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14,920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15,215</w:t>
            </w:r>
          </w:p>
        </w:tc>
      </w:tr>
    </w:tbl>
    <w:p>
      <w:pPr>
        <w:autoSpaceDN w:val="0"/>
        <w:autoSpaceDE w:val="0"/>
        <w:widowControl/>
        <w:spacing w:line="200" w:lineRule="exact" w:before="15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77 </w:t>
      </w:r>
    </w:p>
    <w:p>
      <w:pPr>
        <w:sectPr>
          <w:pgSz w:w="12240" w:h="15840"/>
          <w:pgMar w:top="766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44: Total Revenue on Interest Earning Assets, Net </w:t>
      </w:r>
    </w:p>
    <w:p>
      <w:pPr>
        <w:autoSpaceDN w:val="0"/>
        <w:autoSpaceDE w:val="0"/>
        <w:widowControl/>
        <w:spacing w:line="160" w:lineRule="exact" w:before="150" w:after="18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25"/>
        <w:gridCol w:w="3125"/>
        <w:gridCol w:w="3125"/>
      </w:tblGrid>
      <w:tr>
        <w:trPr>
          <w:trHeight w:hRule="exact" w:val="254"/>
        </w:trPr>
        <w:tc>
          <w:tcPr>
            <w:tcW w:type="dxa" w:w="7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 the fiscal years ended June 30, </w:t>
            </w:r>
          </w:p>
        </w:tc>
        <w:tc>
          <w:tcPr>
            <w:tcW w:type="dxa" w:w="5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18"/>
        </w:trPr>
        <w:tc>
          <w:tcPr>
            <w:tcW w:type="dxa" w:w="78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Interest revenue, net of borrowings expense (Table 3—Reported Basis)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</w:t>
            </w:r>
          </w:p>
        </w:tc>
        <w:tc>
          <w:tcPr>
            <w:tcW w:type="dxa" w:w="139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$3,534 $3,229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Add: Reclassification of unrealized mark-to-market gains (losses) on investments-trading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125"/>
        <w:gridCol w:w="3125"/>
        <w:gridCol w:w="3125"/>
      </w:tblGrid>
      <w:tr>
        <w:trPr>
          <w:trHeight w:hRule="exact" w:val="240"/>
        </w:trPr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portfolio, net (Table 3)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214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Less: Unrealized mark-to-market (gains) losses attributable to PEBP, PCRF, LPF1 and GFPP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32"/>
        </w:trPr>
        <w:tc>
          <w:tcPr>
            <w:tcW w:type="dxa" w:w="78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0" w:right="144" w:firstLine="20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investment holdings reclassified to non-interest revenue, net (Table 43)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Add: Others . . . . . . . . . . . . . . . . . . . . . . . . . . . . . . . . . . . . . . . . . . . . . . . . . . . . . . . . . . . . . . . . . .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(158)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(112) </w:t>
            </w:r>
          </w:p>
        </w:tc>
      </w:tr>
      <w:tr>
        <w:trPr>
          <w:trHeight w:hRule="exact" w:val="256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7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</w:tr>
      <w:tr>
        <w:trPr>
          <w:trHeight w:hRule="exact" w:val="336"/>
        </w:trPr>
        <w:tc>
          <w:tcPr>
            <w:tcW w:type="dxa" w:w="7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revenue on interest earning assets, net (Table 5)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</w:t>
            </w:r>
          </w:p>
        </w:tc>
        <w:tc>
          <w:tcPr>
            <w:tcW w:type="dxa" w:w="14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$3,593 $3,209 </w:t>
            </w:r>
          </w:p>
        </w:tc>
      </w:tr>
    </w:tbl>
    <w:p>
      <w:pPr>
        <w:autoSpaceDN w:val="0"/>
        <w:autoSpaceDE w:val="0"/>
        <w:widowControl/>
        <w:spacing w:line="200" w:lineRule="exact" w:before="99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78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XV: AFFILIATED ORGANIZATIONS—IDA, IFC AND MIGA </w:t>
      </w:r>
    </w:p>
    <w:p>
      <w:pPr>
        <w:autoSpaceDN w:val="0"/>
        <w:autoSpaceDE w:val="0"/>
        <w:widowControl/>
        <w:spacing w:line="240" w:lineRule="exact" w:before="1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purpose is to promote economic development in the less developed areas of the world included in IDA’s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membership by providing a combination of grants and financing on concessionary and non-concessionary terms.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may not borrow from IBRD.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has financed its operations over the years with its own equity, including regular additions to equity provided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member countries as part of the replenishment process. As a result of the strong support of member countries,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has built up a substantial equity base of $204.2 billion as of June 30, 2025. By prudently leveraging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 and blending market debt with equity contributions from members, IDA has increased its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efficiency, and scaled up its financing to support the escalating demand for its resources while ensuring its long-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 financial sustainability through a prudent risk management framework.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a statement of policy of IBRD’s Board of Governors, IBRD may make transfers to IDA only out of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that (a) accrued during the fiscal year in respect of which the transfer is made and (b) is not needed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to reserves or otherwise required to be retained in IBRD’s business. Transfers may also be made out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income previously transferred to surplus, upon the approval of the Board of Governors. In FY25, IDA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received $515 million from IBRD, resulting in cumulative transfers to IDA from IBRD of $17.3 billion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2025. For additional information on transfers of IBRD’s net income to IDA, see Section III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MD&amp;A Income Allocation and the Notes to Financial Statements—Note G—Retained Earnings and Board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 Approved Transfers.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IFC helps developing countries achieve sustainable growth by financing private sector investments, mobilizing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in international financial markets and providing advisory services to businesses and governments. Under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Articles, IBRD is permitted to make loans to IFC (without a guarantee), subject to the limitation that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may not lend IFC any amount which would increase its total outstanding debt beyond a certain threshold.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has a Local Currency Loan Facility Agreement with IFC, which is capped at $300 million. As of June 30, 2025,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there were no loans outstanding under this facility.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MIGA was established to encourage the flow of investments for productive purposes by providing guarantees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against noncommercial risks for foreign investment in its developing member countries. IBRD may not lend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MIGA.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details of transactions with affiliated organizations, see the Notes to the Financial Statements—Note H—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Transactions with Affiliated Organizations. </w:t>
      </w:r>
    </w:p>
    <w:p>
      <w:pPr>
        <w:autoSpaceDN w:val="0"/>
        <w:autoSpaceDE w:val="0"/>
        <w:widowControl/>
        <w:spacing w:line="200" w:lineRule="exact" w:before="44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79 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XVI: ADMINISTRATION OF IBRD </w:t>
      </w:r>
    </w:p>
    <w:p>
      <w:pPr>
        <w:autoSpaceDN w:val="0"/>
        <w:autoSpaceDE w:val="0"/>
        <w:widowControl/>
        <w:spacing w:line="240" w:lineRule="exact" w:before="9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administration is composed of the Board of Governors, the Executive Directors, the President,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officers, and staff. </w:t>
      </w:r>
    </w:p>
    <w:p>
      <w:pPr>
        <w:autoSpaceDN w:val="0"/>
        <w:autoSpaceDE w:val="0"/>
        <w:widowControl/>
        <w:spacing w:line="240" w:lineRule="exact" w:before="2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the powers of IBRD are vested in the Board of Governors, which consists of a Governor and an Alternate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 appointed by each member of IBRD, who exercise the voting power to which that member is entitled.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Each member is entitled to an equal number of basic votes (representing 5.55 percent of the total voting power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aggregate) plus one vote for each share held. The Board of Governors holds regular annual meetings. </w:t>
      </w:r>
    </w:p>
    <w:p>
      <w:pPr>
        <w:autoSpaceDN w:val="0"/>
        <w:autoSpaceDE w:val="0"/>
        <w:widowControl/>
        <w:spacing w:line="240" w:lineRule="exact" w:before="2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There are 25 Executive Directors. Five of these are appointed, one by each of the five members having the largest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number of shares of capital stock at the time of such appointment (the United States, Japan, China, Germany,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France and the United Kingdom (tied for fifth)), and the remainder are elected by the Governors representing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members. The Board of Governors has delegated to the Executive Directors authority to exercise all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powers of IBRD except those reserved to the Governors under the Articles. The Executive Directors function as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board, and each Executive Director is entitled to cast the number of votes of the member or members by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person is appointed or elected. </w:t>
      </w:r>
    </w:p>
    <w:p>
      <w:pPr>
        <w:autoSpaceDN w:val="0"/>
        <w:autoSpaceDE w:val="0"/>
        <w:widowControl/>
        <w:spacing w:line="240" w:lineRule="exact" w:before="208" w:after="146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is an alphabetical list of the Executive Directors of IBRD and the member countries by which they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appointed or elected: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4680"/>
        <w:gridCol w:w="4680"/>
      </w:tblGrid>
      <w:tr>
        <w:trPr>
          <w:trHeight w:hRule="exact" w:val="284"/>
        </w:trPr>
        <w:tc>
          <w:tcPr>
            <w:tcW w:type="dxa" w:w="30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Name </w:t>
            </w:r>
          </w:p>
        </w:tc>
        <w:tc>
          <w:tcPr>
            <w:tcW w:type="dxa" w:w="581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Countries </w:t>
            </w:r>
          </w:p>
        </w:tc>
      </w:tr>
      <w:tr>
        <w:trPr>
          <w:trHeight w:hRule="exact" w:val="618"/>
        </w:trPr>
        <w:tc>
          <w:tcPr>
            <w:tcW w:type="dxa" w:w="304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Zainab S. Ahmed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Abdulaziz Al-Mulla . . . . . . . . . . .</w:t>
            </w:r>
          </w:p>
        </w:tc>
        <w:tc>
          <w:tcPr>
            <w:tcW w:type="dxa" w:w="581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Angola, Nigeria, South Africa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Bahrain, Egypt (Arab Republic of), Iraq, Jordan, Kuwait, Lebanon,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61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Maldives, Oman, Qatar, United Arab Emirates, Yemen (Republic of)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Abdelhak Bedjaoui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Afghanistan, Algeria, Ghana, Iran (Islamic Republic of), Libya, Morocco,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Pakistan, Tunisia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Matteo Bugamelli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Albania, Greece, Italy, Malta, Portugal, San Marino, Timor-Leste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Arnaud Buissé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France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86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Marcos V. Chiliatto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Brazil, Colombia, Dominican Republic, Ecuador, Haiti, Panama,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Philippines, Suriname, Trinidad and Tobago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576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Nathalie Francken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Austria, Belgium, Czechia, Hungary, Kosovo, Luxembourg, Slovak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Republic, Slovenia, Türkiye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Olga Fuentes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Argentina, Bolivia, Chile, Paraguay, Peru, Uruguay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Vel Gnanendran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Kingdom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Param Iyer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Bangladesh, Bhutan, India, Sri Lanka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Naoya Jinda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Japan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Zarau Wendeline Kibwe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Botswana, Burundi, Eritrea, Eswatini, Ethiopia, Gambia (The), Kenya,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Lesotho, Liberia, Malawi, Mozambique, Namibia, Rwanda, Seychelles,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Sierra Leone, Somalia (Federal Republic of), South Sudan, Sudan,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Tanzania, Uganda, Zambia, Zimbabwe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Michael Krake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Germany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Beatrice Maser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Azerbaijan, Kazakhstan, Kyrgyz Republic, Poland, Serbia, Switzerland,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Tajikistan, Turkmenistan, Uzbekistan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2016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Alexey Morozov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(Alternate)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Belarus, Russian Federation, Syrian Arab Republic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Robert Nicholl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Australia, Cambodia, Kiribati, Korea (Republic of), Marshall Islands,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Micronesia (Federated States of), Mongolia, Nauru, New Zealand, Palau,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Papua New Guinea, Samoa, Solomon Islands, Tuvalu, Vanuatu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80 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4680"/>
        <w:gridCol w:w="4680"/>
      </w:tblGrid>
      <w:tr>
        <w:trPr>
          <w:trHeight w:hRule="exact" w:val="224"/>
        </w:trPr>
        <w:tc>
          <w:tcPr>
            <w:tcW w:type="dxa" w:w="30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Name </w:t>
            </w:r>
          </w:p>
        </w:tc>
        <w:tc>
          <w:tcPr>
            <w:tcW w:type="dxa" w:w="603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Countries </w:t>
            </w:r>
          </w:p>
        </w:tc>
      </w:tr>
      <w:tr>
        <w:trPr>
          <w:trHeight w:hRule="exact" w:val="618"/>
        </w:trPr>
        <w:tc>
          <w:tcPr>
            <w:tcW w:type="dxa" w:w="304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Sigrún Rawet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Katharine Rechico . . . . . . . . . . . . .</w:t>
            </w:r>
          </w:p>
        </w:tc>
        <w:tc>
          <w:tcPr>
            <w:tcW w:type="dxa" w:w="603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Denmark, Estonia, Finland, Iceland, Latvia, Lithuania, Norway, Sweden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Antigua and Barbuda, Bahamas (The), Barbados, Belize, Canada,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160" w:right="432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Dominica, Grenada, Guyana, Ireland, Jamaica, St. Kitts and Nevis, St.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Lucia, St. Vincent and the Grenadines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Eugene Philip Rhuggenaath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Armenia, Bosnia and Herzegovina, Bulgaria, Croatia, Cyprus, Georgia,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Israel, Moldova, Montenegro, Netherlands, North Macedonia, Romania,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Ukraine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Suhail A. Saeed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Saudi Arabia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Wempi Saputra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Brunei Darussalam, Fiji, Indonesia, Lao People’s Democratic Republic,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Malaysia, Myanmar, Nepal, Singapore, Thailand, Tonga, Viet Nam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Teresa Solbes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Costa Rica, El Salvador, Guatemala, Honduras, Mexico, Nicaragua, Spain,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Venezuela (Republica Bolivariana de) </w:t>
      </w:r>
    </w:p>
    <w:p>
      <w:pPr>
        <w:autoSpaceDN w:val="0"/>
        <w:tabs>
          <w:tab w:pos="3160" w:val="left"/>
        </w:tabs>
        <w:autoSpaceDE w:val="0"/>
        <w:widowControl/>
        <w:spacing w:line="240" w:lineRule="exact" w:before="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Harold Tavares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Benin, Burkina Faso, Cabo Verde, Cameroon, Central African Republic,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Chad, Comoros, Congo (Democratic Republic of), Congo (Republic of),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Cote d’Ivoire, Djibouti, Equatorial Guinea, Gabon, Guinea, Guinea-Bissau,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Madagascar, Mali, Mauritania, Mauritius, Niger, Sao Tome and Principe,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Senegal, Togo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Peter Wisner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States </w:t>
      </w:r>
    </w:p>
    <w:p>
      <w:pPr>
        <w:autoSpaceDN w:val="0"/>
        <w:tabs>
          <w:tab w:pos="3160" w:val="left"/>
        </w:tabs>
        <w:autoSpaceDE w:val="0"/>
        <w:widowControl/>
        <w:spacing w:line="20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Jiandi Ye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China </w:t>
      </w:r>
    </w:p>
    <w:p>
      <w:pPr>
        <w:autoSpaceDN w:val="0"/>
        <w:autoSpaceDE w:val="0"/>
        <w:widowControl/>
        <w:spacing w:line="240" w:lineRule="exact" w:before="13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President is selected by the Executive Directors. Subject to their direction on questions of policy,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 is responsible for the conduct of the ordinary business of IBRD and for the organization, appointment,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dismissal of its officers and staff. </w:t>
      </w:r>
    </w:p>
    <w:p>
      <w:pPr>
        <w:autoSpaceDN w:val="0"/>
        <w:autoSpaceDE w:val="0"/>
        <w:widowControl/>
        <w:spacing w:line="200" w:lineRule="exact" w:before="31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is a list of the principal officers of the Bank: </w:t>
      </w:r>
    </w:p>
    <w:p>
      <w:pPr>
        <w:autoSpaceDN w:val="0"/>
        <w:tabs>
          <w:tab w:pos="320" w:val="left"/>
          <w:tab w:pos="6826" w:val="left"/>
        </w:tabs>
        <w:autoSpaceDE w:val="0"/>
        <w:widowControl/>
        <w:spacing w:line="240" w:lineRule="exact" w:before="27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Ajay Banga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Senior Managing Director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Axel van Trotsenburg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Managing Director of Operations 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Anna Bjerde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Managing Director &amp; WBG Chief Financial Officer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Anshula Kant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Managing Director &amp; WBG Chief Administrative Officer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Wencai Zhang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Senior Vice President &amp; WBG General Counsel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Christopher Stephens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WBG Chief Economist &amp; Senior Vice President for Development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Economics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Indermit Gill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Development Finance . . . . . . . . . . . . . . . . . . . . . . . . . . . . . . . . . .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Akihiko Nishio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Chief Information Officer &amp; Vice President, Information &amp; Technology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Solutions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Amy Doherty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 &amp; Auditor-General, Internal Audit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Anke D’Angelo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Europe, and Central Asia.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Antonella Bassani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 &amp; Corporate Secretary for WBG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Aradhana Kumar-Capoor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East Asia and Pacific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Carlos Felipe Jaramillo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 &amp; WBG Chief Risk Officer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Dennis McLaughlin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Operations Policy and Country Services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Gallina Andronova Vincelette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Infrastructure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Guangzhe Chen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Chairperson, Inspection Panel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Ibrahim James Pam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WBG External and Corporate Relations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James Heimbach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South Asia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Johannes M.C. Zutt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 &amp; Treasurer, WB and Pension Finance Administrator, WBG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Jorge Familiar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Planet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Juergen Voegele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81 </w:t>
      </w:r>
    </w:p>
    <w:p>
      <w:pPr>
        <w:sectPr>
          <w:pgSz w:w="12240" w:h="15840"/>
          <w:pgMar w:top="74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6826" w:val="left"/>
        </w:tabs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Ethics &amp; Internal Justice Services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Lisa Rosen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People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Mamta Murthi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East Asia and Pacific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Manuela Ferro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Integrity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Mouhamadou Diagne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Eastern and Southern Africa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Ndiame Diop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Secretary, World Bank Accountability Mechanism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Orsolya Melinda Szekely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Western and Central Africa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Ousmane Diagana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Middle East and North Africa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Ousmane Dione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Prosperity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Pablo Saaverdra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 &amp; WBG Human Resources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Radi Anguelova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Director-General, Independent Evaluation Group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Sabine Bernabe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Budget, Performance Review and Strategic Planning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Samuel Munzele Maimbo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Digital Transformation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Sangbu Kim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President, Latin America and Caribbean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Susana Cordeiro Guerra </w:t>
      </w:r>
    </w:p>
    <w:p>
      <w:pPr>
        <w:autoSpaceDN w:val="0"/>
        <w:tabs>
          <w:tab w:pos="6826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 for Finance and WBG Controller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Zinga Venner (effective </w:t>
      </w:r>
    </w:p>
    <w:p>
      <w:pPr>
        <w:autoSpaceDN w:val="0"/>
        <w:autoSpaceDE w:val="0"/>
        <w:widowControl/>
        <w:spacing w:line="200" w:lineRule="exact" w:before="40" w:after="0"/>
        <w:ind w:left="0" w:right="1122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October 1, 2025) </w:t>
      </w:r>
    </w:p>
    <w:p>
      <w:pPr>
        <w:autoSpaceDN w:val="0"/>
        <w:autoSpaceDE w:val="0"/>
        <w:widowControl/>
        <w:spacing w:line="200" w:lineRule="exact" w:before="89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XVII: THE ARTICLES OF AGREEMENT </w:t>
      </w:r>
    </w:p>
    <w:p>
      <w:pPr>
        <w:autoSpaceDN w:val="0"/>
        <w:autoSpaceDE w:val="0"/>
        <w:widowControl/>
        <w:spacing w:line="240" w:lineRule="exact" w:before="1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Articles constitute IBRD’s governing charter. They establish the status, privileges and immunities of IBRD,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prescribe IBRD’s purposes, capital structure and organization, authorize the operations in which it may engage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impose limitations on the conduct of those operations. The Articles also contain, among other things,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provisions with respect to the admission of additional members, the increase of the authorized capital stock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IBRD, the terms and conditions under which IBRD may make or guarantee loans, the use of currencies held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IBRD, the distribution of net income of IBRD to its members, the withdrawal and suspension of members,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suspension of operations of IBRD.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Articles provide that they may be amended (except for certain provisions the amendment of which requires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acceptance by all members) by consent of three-fifths of the members having 85% of the total voting power.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Articles further provide that questions of interpretation of provisions of the Articles arising between any member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IBRD or between members of IBRD shall be decided by the Executive Directors. Their decisions may be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referred by any member to the Board of Governors, whose decision is final. Pending the result of such reference,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may act on the basis of the decision of the Executive Directors.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Articles and the decisions made by the Executive Directors on questions of interpretation may be obtained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IBRD. </w:t>
      </w:r>
    </w:p>
    <w:p>
      <w:pPr>
        <w:autoSpaceDN w:val="0"/>
        <w:autoSpaceDE w:val="0"/>
        <w:widowControl/>
        <w:spacing w:line="240" w:lineRule="exact" w:before="40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XVIII: LEGAL STATUS, PRIVILEGES AND IMMUNITIES </w:t>
      </w:r>
    </w:p>
    <w:p>
      <w:pPr>
        <w:autoSpaceDN w:val="0"/>
        <w:autoSpaceDE w:val="0"/>
        <w:widowControl/>
        <w:spacing w:line="240" w:lineRule="exact" w:before="11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Articles contain provisions which accord to IBRD, in the territories of each of its members, legal status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certain privileges and immunities. The following is a summary of the more important of these provisions.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full juridical personality with capacity to make contracts, to acquire and dispose of property and to sue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be sued. Actions may be brought against IBRD in a court of competent jurisdiction in territories of any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in which IBRD has an office, has appointed an agent for accepting service or notice of process or has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issued or guaranteed securities, but no actions against IBRD may be brought by its members or persons acting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deriving claims from its members.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Governors and Executive Directors, and their Alternates, and the officers and employees of IBRD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immune from legal process for acts performed by them in their official capacity, except when IBRD waives 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immunity.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archives of IBRD are inviolable. The assets of IBRD are immune from seizure, attachment or execution prior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delivery of final judgment against IBRD. </w:t>
      </w:r>
    </w:p>
    <w:p>
      <w:pPr>
        <w:autoSpaceDN w:val="0"/>
        <w:autoSpaceDE w:val="0"/>
        <w:widowControl/>
        <w:spacing w:line="240" w:lineRule="exact" w:before="24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IBRD, its assets, property and income, and its operations and transactions authorized by the Articles, are immune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all taxation and from all customs duties. IBRD is also immune from liability for the collection or payment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any tax or duty.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securities issued by IBRD, and the interest thereon are not exempt from taxation generally.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 Articles, securities issued by IBRD and the interest thereon are not subject to any tax by a member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(a) which tax discriminates against such securities solely because they are issued by IBRD, or (b) if the sole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jurisdictional basis for the tax is the place or currency in which such securities are issued, made payable or paid,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the location of any office or place of business maintained by IBRD. Also, under the Articles, IBRD is not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any obligation to withhold or pay any tax on any interest on such securities. </w:t>
      </w:r>
    </w:p>
    <w:p>
      <w:pPr>
        <w:autoSpaceDN w:val="0"/>
        <w:autoSpaceDE w:val="0"/>
        <w:widowControl/>
        <w:spacing w:line="200" w:lineRule="exact" w:before="10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83 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144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XIX: FISCAL YEAR, ANNOUNCEMENTS, AND ALLOCATION OF NET </w:t>
      </w:r>
      <w:r>
        <w:rPr>
          <w:rFonts w:ascii="Times" w:hAnsi="Times" w:eastAsia="Times"/>
          <w:b/>
          <w:i w:val="0"/>
          <w:color w:val="044A72"/>
          <w:sz w:val="24"/>
        </w:rPr>
        <w:t xml:space="preserve">INCOME </w:t>
      </w:r>
    </w:p>
    <w:p>
      <w:pPr>
        <w:autoSpaceDN w:val="0"/>
        <w:autoSpaceDE w:val="0"/>
        <w:widowControl/>
        <w:spacing w:line="200" w:lineRule="exact" w:before="1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FISCAL YEAR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fiscal year runs from July 1 to June 30.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ANNOUNCEMENTS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Pursuant to the Articles, IBRD published an annual report containing its audited financial statements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distributed quarterly financial statements to its members.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ALLOCATION OF NET INCOME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Board of Governors determines annually what part of IBRD’s net income, after making provisions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reserves, shall be allocated to surplus and what part, if any, shall be distributed. Since its inception, IBRD has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neither declared nor paid any dividend to its member countries. However, IBRD has periodically transferred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portion of its net income to IDA or to other uses that promote the purpose of IBRD (see Section III of the MD&amp;A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Allocation and the Notes to Financial Statements—Note G—Retained Earnings and Board of Governors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Approved Transfers). </w:t>
      </w:r>
    </w:p>
    <w:p>
      <w:pPr>
        <w:autoSpaceDN w:val="0"/>
        <w:autoSpaceDE w:val="0"/>
        <w:widowControl/>
        <w:spacing w:line="240" w:lineRule="exact" w:before="40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SECTION XX: FEES TO EXTERNAL AUDITORS </w:t>
      </w:r>
    </w:p>
    <w:p>
      <w:pPr>
        <w:autoSpaceDN w:val="0"/>
        <w:autoSpaceDE w:val="0"/>
        <w:widowControl/>
        <w:spacing w:line="240" w:lineRule="exact" w:before="11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external auditor is appointed to a five-year term, with a limit of two consecutive terms, and is subject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annual reappointment based on the recommendation of the Audit Committee and approval of a resolution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May 2022, IBRD’s Board approved Deloitte &amp; Touche LLP (Deloitte) as IBRD’s external auditor for a second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five-year term commencing in FY24. </w:t>
      </w:r>
    </w:p>
    <w:p>
      <w:pPr>
        <w:autoSpaceDN w:val="0"/>
        <w:autoSpaceDE w:val="0"/>
        <w:widowControl/>
        <w:spacing w:line="240" w:lineRule="exact" w:before="240" w:after="2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FY25 and FY24, Deloitte served as IBRD’s independent external auditors. The aggregate fees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professional services rendered for IBRD and IDA by Deloitte for FY25 and FY24 are as follows: $2.9 million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FY25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audit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services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($2.8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million—FY24)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$0.6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million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FY25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audit-related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services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($0.9 million—FY24). Audit-related services include accounting consultations concerning financial accounting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reporting standards. The external auditors may also provide non-prohibited non-audit services subject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monetary limits. Fees related to non-audit services amounted to $2.2 million for FY25 ($4.2 million for FY24).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records its share of these fees as part of administrative expenses based on an agreed cost sharing formula.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(See the Notes to the Financial Statements—Note H—Transactions with Affiliated Organizations, for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description of the allocation of administrative expenses between IBRD and IDA.)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See the Governance section of this Information Statement for additional discussion of auditor independence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matters. </w:t>
      </w:r>
    </w:p>
    <w:p>
      <w:pPr>
        <w:autoSpaceDN w:val="0"/>
        <w:autoSpaceDE w:val="0"/>
        <w:widowControl/>
        <w:spacing w:line="200" w:lineRule="exact" w:before="28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84 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 xml:space="preserve">XXI: APPENDIX </w:t>
      </w:r>
    </w:p>
    <w:p>
      <w:pPr>
        <w:autoSpaceDN w:val="0"/>
        <w:autoSpaceDE w:val="0"/>
        <w:widowControl/>
        <w:spacing w:line="200" w:lineRule="exact" w:before="1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Glossary of Terms </w:t>
      </w:r>
    </w:p>
    <w:p>
      <w:pPr>
        <w:autoSpaceDN w:val="0"/>
        <w:autoSpaceDE w:val="0"/>
        <w:widowControl/>
        <w:spacing w:line="202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Articles: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Articles of Agreement 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Below GDI Country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Country whose Gross National Income per capita is below the Graduation Discussion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as published in the Per Capita Income Guidelines for Operational Purposes. </w:t>
      </w:r>
    </w:p>
    <w:p>
      <w:pPr>
        <w:autoSpaceDN w:val="0"/>
        <w:autoSpaceDE w:val="0"/>
        <w:widowControl/>
        <w:spacing w:line="20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Board: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Executive Directors as established by IBRD’s Articles of Agreement.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Budget Anchor: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Efficiency measure that IBRD uses to monitor the coverage of its net administrative expenses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its loan interest margin.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Capital Adequacy: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measure of IBRD’s ability to withstand unexpected shocks and is based on the amount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usable equity expressed as a percentage of its loans and other related exposures.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Credit Default Swaps (CDS):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derivative contract that provides protection against deteriorating credit quality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allows one party to receive payment in the event of a default or specified credit event by a third party.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Credit Valuation Adjustment (CVA):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CVA represents the counterparty credit risk exposure and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reflected in the fair value of derivative instruments.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Debit Valuation Adjustment (DVA):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DVA on Fair Value Option (FVO) Elected Liabilities that corresponds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change in fair value of the liability presented under the FVO that relate to the instrument specific credit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(“own- credit risk”). </w:t>
      </w:r>
    </w:p>
    <w:p>
      <w:pPr>
        <w:autoSpaceDN w:val="0"/>
        <w:autoSpaceDE w:val="0"/>
        <w:widowControl/>
        <w:spacing w:line="20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Duration: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Provides an indication of the sensitivity of underlying yield to changes in interest rates.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Equity-to-Loans Ratio: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Board monitors IBRD’s capital adequacy within a Strategic Capital Adequacy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Framework, using the Equity-to-Loans ratio as a key indicator of IBRD’s capital adequacy. For details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ratio, see Table 33.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Lending Operations: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Total projects from a fiscal year based on project approval date as of June 30 of the fiscal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year. </w:t>
      </w:r>
    </w:p>
    <w:p>
      <w:pPr>
        <w:autoSpaceDN w:val="0"/>
        <w:autoSpaceDE w:val="0"/>
        <w:widowControl/>
        <w:spacing w:line="20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Loan Interest Margin: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difference between loan returns and associated debt cost.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Lower-Middle-Income Countries: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FY25, income groups are classified according to the 2023 gross national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(GNI) per capita. For lower-middle-income countries, the GNI range was $1,146-$4,515.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Maintenance of Value (MOV):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Articles, members are required to maintain the value of their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subscriptions of national currency paid-in, which is subject to certain restrictions. MOV is determined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measuring the foreign exchange value of a member’s national currency against the standard of value of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based on the 1974 SDR.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Net Commitments: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Commitments net of full terminations and cancellations approved in the same fiscal year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include guarantee commitments that have been approved by the Executive Directors. </w:t>
      </w:r>
    </w:p>
    <w:p>
      <w:pPr>
        <w:autoSpaceDN w:val="0"/>
        <w:autoSpaceDE w:val="0"/>
        <w:widowControl/>
        <w:spacing w:line="20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Net Loan Disbursements: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disbursements net of repayments and prepayments.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Prudential Minimum: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minimum amount of liquidity that IBRD is required to hold and is defined as 80%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Target Liquidity Level. </w:t>
      </w:r>
    </w:p>
    <w:p>
      <w:pPr>
        <w:autoSpaceDN w:val="0"/>
        <w:autoSpaceDE w:val="0"/>
        <w:widowControl/>
        <w:spacing w:line="200" w:lineRule="exact" w:before="3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85 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Single Borrower Limit (SBL):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maximum authorized exposure to IBRD’s most creditworthy and largest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countries in terms of population and economic size.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Strategic Capital Adequacy Framework: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Evaluates IBRD’s capital adequacy as measured by stress tests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appropriate minimum level for the long-term Equity-to-Loans ratio. The Equity-to-Loans ratio provides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background framework in the context of annual net income allocation decisions, as well as in the assessment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initiatives for the use of capital. The framework has been approved by the Board.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Statutory Lending Limit (SLL):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Articles, as applied, the total amount outstanding of loans,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participations in loans, and callable guarantees may not exceed the sum of unimpaired subscribed capital,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reserves and surplus.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Sustainable Annual Lending Level (SALL):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level of lending that can be sustained in real terms over 10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Target Liquidity Level (TLL):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twelve- month Target Liquidity Level is calculated before the end of each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fiscal year based on Management’s estimates of projected net loan disbursements approved at the time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projection and twelve-month of debt-service for the upcoming fiscal year. This twelve-month estimate becomes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target for the upcoming fiscal year. </w:t>
      </w:r>
    </w:p>
    <w:p>
      <w:pPr>
        <w:autoSpaceDN w:val="0"/>
        <w:autoSpaceDE w:val="0"/>
        <w:widowControl/>
        <w:spacing w:line="20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U.S. GAAP: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principles generally accepted in the United States of America. </w:t>
      </w:r>
    </w:p>
    <w:p>
      <w:pPr>
        <w:autoSpaceDN w:val="0"/>
        <w:autoSpaceDE w:val="0"/>
        <w:widowControl/>
        <w:spacing w:line="20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World Bank: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World Bank consists of IBRD and IDA. </w:t>
      </w:r>
    </w:p>
    <w:p>
      <w:pPr>
        <w:autoSpaceDN w:val="0"/>
        <w:autoSpaceDE w:val="0"/>
        <w:widowControl/>
        <w:spacing w:line="202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World Bank Group (WBG):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World Bank Group consists of IBRD, IDA, IFC, MIGA, and ICSID. </w:t>
      </w:r>
    </w:p>
    <w:p>
      <w:pPr>
        <w:autoSpaceDN w:val="0"/>
        <w:autoSpaceDE w:val="0"/>
        <w:widowControl/>
        <w:spacing w:line="200" w:lineRule="exact" w:before="6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86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16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Abbreviations and Acronyms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AfDB: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African Development Bank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AOCI: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Accumulated Other Comprehensive Income 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BOG: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 of Governors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COSO: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 of Sponsoring Organizations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Treadway Commission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CDS: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Default Swaps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CVA: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Valuation Adjustment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CRO: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Vice President and WBG Chief Risk Officer 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DDO: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Deferred Drawdown Option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DPF: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Project Financing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DVA: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Debit Valuation Adjustment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EAL: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Equitable Access Limit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EDF: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default frequency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EEA: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Exchange Agreement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EFOs: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Externally Financed Outputs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ESG: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Environmental, Social and Governance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FIFs: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Intermediary Funds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FRC: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Finance and Risk Committee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GCI: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General Capital Increase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>GDI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Graduation Discussion Income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GNI: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Gross National Income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GMFs: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Grant-Making Facilities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IADB: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Inter-American Development Bank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IBRD: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Bank for Reconstruction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ICSID: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Centre for Settlement of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Disputes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IFC: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Finance Corporation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IDA: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Development Association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IFFIm: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Finance Facility for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Immunization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IFLs: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Flexible Loans </w:t>
      </w:r>
    </w:p>
    <w:p>
      <w:pPr>
        <w:sectPr>
          <w:type w:val="continuous"/>
          <w:pgSz w:w="12240" w:h="15840"/>
          <w:pgMar w:top="762" w:right="1440" w:bottom="696" w:left="1440" w:header="720" w:footer="720" w:gutter="0"/>
          <w:cols w:num="2" w:equalWidth="0">
            <w:col w:w="4460" w:space="0"/>
            <w:col w:w="490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87 </w:t>
      </w:r>
    </w:p>
    <w:p>
      <w:pPr>
        <w:sectPr>
          <w:type w:val="nextColumn"/>
          <w:pgSz w:w="12240" w:h="15840"/>
          <w:pgMar w:top="762" w:right="1440" w:bottom="696" w:left="1440" w:header="720" w:footer="720" w:gutter="0"/>
          <w:cols w:num="2" w:equalWidth="0">
            <w:col w:w="4460" w:space="0"/>
            <w:col w:w="49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194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Eligible Borrowing Member Countries by Region as of 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4680"/>
        <w:gridCol w:w="4680"/>
      </w:tblGrid>
      <w:tr>
        <w:trPr>
          <w:trHeight w:hRule="exact" w:val="230"/>
        </w:trPr>
        <w:tc>
          <w:tcPr>
            <w:tcW w:type="dxa" w:w="2420"/>
            <w:tcBorders>
              <w:bottom w:sz="8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6"/>
              </w:rPr>
              <w:t xml:space="preserve">Region </w:t>
            </w:r>
          </w:p>
        </w:tc>
        <w:tc>
          <w:tcPr>
            <w:tcW w:type="dxa" w:w="6790"/>
            <w:tcBorders>
              <w:bottom w:sz="8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6"/>
              </w:rPr>
              <w:t xml:space="preserve">Countries </w:t>
            </w:r>
          </w:p>
        </w:tc>
      </w:tr>
      <w:tr>
        <w:trPr>
          <w:trHeight w:hRule="exact" w:val="318"/>
        </w:trPr>
        <w:tc>
          <w:tcPr>
            <w:tcW w:type="dxa" w:w="24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Eastern and Southern Africa </w:t>
            </w:r>
          </w:p>
        </w:tc>
        <w:tc>
          <w:tcPr>
            <w:tcW w:type="dxa" w:w="679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Angola, Botswana, Eswatini*, Kenya*, Mauritius, Namibia, Seychelles, South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600"/>
        </w:trPr>
        <w:tc>
          <w:tcPr>
            <w:tcW w:type="dxa" w:w="244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Western and Central Africa </w:t>
            </w:r>
          </w:p>
        </w:tc>
        <w:tc>
          <w:tcPr>
            <w:tcW w:type="dxa" w:w="676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Africa, Zimbabwe*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Republic of Cabo Verde*, Cameroon*, Republic of Congo*, Equatorial Guinea,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600"/>
        </w:trPr>
        <w:tc>
          <w:tcPr>
            <w:tcW w:type="dxa" w:w="224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East Asia and Pacific </w:t>
            </w:r>
          </w:p>
        </w:tc>
        <w:tc>
          <w:tcPr>
            <w:tcW w:type="dxa" w:w="702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Gabon, Nigeria*, Cote d’Ivoire*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China, Fiji*, Indonesia, Malaysia, Mongolia, Nauru, Palau, Papua New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600"/>
        </w:trPr>
        <w:tc>
          <w:tcPr>
            <w:tcW w:type="dxa" w:w="238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Europe and Central Asia </w:t>
            </w:r>
          </w:p>
        </w:tc>
        <w:tc>
          <w:tcPr>
            <w:tcW w:type="dxa" w:w="688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Guinea*, Philippines, Thailand, Timor-Leste*, Viet Nam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Albania, Armenia, Azerbaijan, Belarus, Bosnia and Herzegovina, Bulgaria,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72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Croatia, Georgia, Kazakhstan, North Macedonia, Moldova, Montenegro, </w:t>
      </w:r>
    </w:p>
    <w:p>
      <w:pPr>
        <w:autoSpaceDN w:val="0"/>
        <w:autoSpaceDE w:val="0"/>
        <w:widowControl/>
        <w:spacing w:line="200" w:lineRule="exact" w:before="40" w:after="20"/>
        <w:ind w:left="0" w:right="7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Poland, Romania, Russian Federation, Serbia, Türkiye, Turkmenistan, Ukraine,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600"/>
        </w:trPr>
        <w:tc>
          <w:tcPr>
            <w:tcW w:type="dxa" w:w="258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Latin America and Caribbean </w:t>
            </w:r>
          </w:p>
        </w:tc>
        <w:tc>
          <w:tcPr>
            <w:tcW w:type="dxa" w:w="668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Uzbekistan*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Argentina, Antigua and Barbuda, Barbados, Belize*, Bolivia, Brazil, Chile,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7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Colombia, Costa Rica, Dominica*, Dominican Republic, Ecuador, El Salvador, </w:t>
      </w:r>
    </w:p>
    <w:p>
      <w:pPr>
        <w:autoSpaceDN w:val="0"/>
        <w:autoSpaceDE w:val="0"/>
        <w:widowControl/>
        <w:spacing w:line="200" w:lineRule="exact" w:before="40" w:after="0"/>
        <w:ind w:left="0" w:right="7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Grenada*, Guatemala, Jamaica, Mexico, Panama, Paraguay, Peru, St. Kitts and </w:t>
      </w:r>
    </w:p>
    <w:p>
      <w:pPr>
        <w:autoSpaceDN w:val="0"/>
        <w:autoSpaceDE w:val="0"/>
        <w:widowControl/>
        <w:spacing w:line="200" w:lineRule="exact" w:before="40" w:after="20"/>
        <w:ind w:left="0" w:right="7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Nevis, St. Lucia*, St. Vincent and the Grenadines*, Suriname*, Trinidad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600"/>
        </w:trPr>
        <w:tc>
          <w:tcPr>
            <w:tcW w:type="dxa" w:w="260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Middle East and North Africa </w:t>
            </w:r>
          </w:p>
        </w:tc>
        <w:tc>
          <w:tcPr>
            <w:tcW w:type="dxa" w:w="666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Tobago, Uruguay, Venezuela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Algeria, Arab Republic of Egypt, Islamic Republic of Iran, Iraq, Jordan,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64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South Asia 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860" w:right="187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Lebanon, Libya, Morocco, Tunisia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India, Pakistan* </w:t>
            </w:r>
          </w:p>
        </w:tc>
      </w:tr>
    </w:tbl>
    <w:p>
      <w:pPr>
        <w:autoSpaceDN w:val="0"/>
        <w:autoSpaceDE w:val="0"/>
        <w:widowControl/>
        <w:spacing w:line="202" w:lineRule="exact" w:before="2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* </w:t>
      </w:r>
      <w:r>
        <w:rPr>
          <w:rFonts w:ascii="Times" w:hAnsi="Times" w:eastAsia="Times"/>
          <w:b w:val="0"/>
          <w:i/>
          <w:color w:val="231F20"/>
          <w:sz w:val="20"/>
        </w:rPr>
        <w:t>Blend countries eligible for IDA and IBRD loans.</w:t>
      </w:r>
    </w:p>
    <w:p>
      <w:pPr>
        <w:autoSpaceDN w:val="0"/>
        <w:autoSpaceDE w:val="0"/>
        <w:widowControl/>
        <w:spacing w:line="200" w:lineRule="exact" w:before="6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[THIS PAGE INTENTIONALLY LEFT BLANK] </w:t>
      </w:r>
    </w:p>
    <w:p>
      <w:pPr>
        <w:autoSpaceDN w:val="0"/>
        <w:autoSpaceDE w:val="0"/>
        <w:widowControl/>
        <w:spacing w:line="200" w:lineRule="exact" w:before="64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89 </w:t>
      </w:r>
    </w:p>
    <w:p>
      <w:pPr>
        <w:sectPr>
          <w:pgSz w:w="12240" w:h="15840"/>
          <w:pgMar w:top="144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>I</w:t>
      </w:r>
      <w:r>
        <w:rPr>
          <w:rFonts w:ascii="Times" w:hAnsi="Times" w:eastAsia="Times"/>
          <w:b/>
          <w:i w:val="0"/>
          <w:color w:val="231F20"/>
          <w:sz w:val="28"/>
        </w:rPr>
        <w:t>NTERNATIONAL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B</w:t>
      </w:r>
      <w:r>
        <w:rPr>
          <w:rFonts w:ascii="Times" w:hAnsi="Times" w:eastAsia="Times"/>
          <w:b/>
          <w:i w:val="0"/>
          <w:color w:val="231F20"/>
          <w:sz w:val="28"/>
        </w:rPr>
        <w:t>ANK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F</w:t>
      </w:r>
      <w:r>
        <w:rPr>
          <w:rFonts w:ascii="Times" w:hAnsi="Times" w:eastAsia="Times"/>
          <w:b/>
          <w:i w:val="0"/>
          <w:color w:val="231F20"/>
          <w:sz w:val="28"/>
        </w:rPr>
        <w:t>OR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R</w:t>
      </w:r>
      <w:r>
        <w:rPr>
          <w:rFonts w:ascii="Times" w:hAnsi="Times" w:eastAsia="Times"/>
          <w:b/>
          <w:i w:val="0"/>
          <w:color w:val="231F20"/>
          <w:sz w:val="28"/>
        </w:rPr>
        <w:t>ECONSTRUCTION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A</w:t>
      </w:r>
      <w:r>
        <w:rPr>
          <w:rFonts w:ascii="Times" w:hAnsi="Times" w:eastAsia="Times"/>
          <w:b/>
          <w:i w:val="0"/>
          <w:color w:val="231F20"/>
          <w:sz w:val="28"/>
        </w:rPr>
        <w:t>ND</w:t>
      </w:r>
    </w:p>
    <w:p>
      <w:pPr>
        <w:autoSpaceDN w:val="0"/>
        <w:autoSpaceDE w:val="0"/>
        <w:widowControl/>
        <w:spacing w:line="36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>D</w:t>
      </w:r>
      <w:r>
        <w:rPr>
          <w:rFonts w:ascii="Times" w:hAnsi="Times" w:eastAsia="Times"/>
          <w:b/>
          <w:i w:val="0"/>
          <w:color w:val="231F20"/>
          <w:sz w:val="28"/>
        </w:rPr>
        <w:t>EVELOPMENT</w:t>
      </w:r>
    </w:p>
    <w:p>
      <w:pPr>
        <w:autoSpaceDN w:val="0"/>
        <w:autoSpaceDE w:val="0"/>
        <w:widowControl/>
        <w:spacing w:line="36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>F</w:t>
      </w:r>
      <w:r>
        <w:rPr>
          <w:rFonts w:ascii="Times" w:hAnsi="Times" w:eastAsia="Times"/>
          <w:b/>
          <w:i w:val="0"/>
          <w:color w:val="231F20"/>
          <w:sz w:val="28"/>
        </w:rPr>
        <w:t>INANCIAL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S</w:t>
      </w:r>
      <w:r>
        <w:rPr>
          <w:rFonts w:ascii="Times" w:hAnsi="Times" w:eastAsia="Times"/>
          <w:b/>
          <w:i w:val="0"/>
          <w:color w:val="231F20"/>
          <w:sz w:val="28"/>
        </w:rPr>
        <w:t>TATEMENTS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A</w:t>
      </w:r>
      <w:r>
        <w:rPr>
          <w:rFonts w:ascii="Times" w:hAnsi="Times" w:eastAsia="Times"/>
          <w:b/>
          <w:i w:val="0"/>
          <w:color w:val="231F20"/>
          <w:sz w:val="28"/>
        </w:rPr>
        <w:t>ND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I</w:t>
      </w:r>
      <w:r>
        <w:rPr>
          <w:rFonts w:ascii="Times" w:hAnsi="Times" w:eastAsia="Times"/>
          <w:b/>
          <w:i w:val="0"/>
          <w:color w:val="231F20"/>
          <w:sz w:val="28"/>
        </w:rPr>
        <w:t>NTERNAL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C</w:t>
      </w:r>
      <w:r>
        <w:rPr>
          <w:rFonts w:ascii="Times" w:hAnsi="Times" w:eastAsia="Times"/>
          <w:b/>
          <w:i w:val="0"/>
          <w:color w:val="231F20"/>
          <w:sz w:val="28"/>
        </w:rPr>
        <w:t>ONTROL</w:t>
      </w:r>
    </w:p>
    <w:p>
      <w:pPr>
        <w:autoSpaceDN w:val="0"/>
        <w:autoSpaceDE w:val="0"/>
        <w:widowControl/>
        <w:spacing w:line="36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>R</w:t>
      </w:r>
      <w:r>
        <w:rPr>
          <w:rFonts w:ascii="Times" w:hAnsi="Times" w:eastAsia="Times"/>
          <w:b/>
          <w:i w:val="0"/>
          <w:color w:val="231F20"/>
          <w:sz w:val="28"/>
        </w:rPr>
        <w:t>EPORTS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J</w:t>
      </w:r>
      <w:r>
        <w:rPr>
          <w:rFonts w:ascii="Times" w:hAnsi="Times" w:eastAsia="Times"/>
          <w:b/>
          <w:i w:val="0"/>
          <w:color w:val="231F20"/>
          <w:sz w:val="28"/>
        </w:rPr>
        <w:t>UNE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30, 2025 </w:t>
      </w:r>
    </w:p>
    <w:p>
      <w:pPr>
        <w:autoSpaceDN w:val="0"/>
        <w:tabs>
          <w:tab w:pos="9060" w:val="left"/>
        </w:tabs>
        <w:autoSpaceDE w:val="0"/>
        <w:widowControl/>
        <w:spacing w:line="182" w:lineRule="exact" w:before="71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Management’s Financial Reporting Assurance 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91 </w:t>
      </w:r>
    </w:p>
    <w:p>
      <w:pPr>
        <w:autoSpaceDN w:val="0"/>
        <w:tabs>
          <w:tab w:pos="906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Management’s Report Regarding Effectiveness of Internal Control Over Financial Reporting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92 </w:t>
      </w:r>
    </w:p>
    <w:p>
      <w:pPr>
        <w:autoSpaceDN w:val="0"/>
        <w:tabs>
          <w:tab w:pos="906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Independent Auditor’s Report on Effectiveness of Internal Control Over Financial Reporting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94 </w:t>
      </w:r>
    </w:p>
    <w:p>
      <w:pPr>
        <w:autoSpaceDN w:val="0"/>
        <w:tabs>
          <w:tab w:pos="906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Independent Auditor’s Report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96 </w:t>
      </w:r>
    </w:p>
    <w:p>
      <w:pPr>
        <w:autoSpaceDN w:val="0"/>
        <w:tabs>
          <w:tab w:pos="897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Balance Sheets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100 </w:t>
      </w:r>
    </w:p>
    <w:p>
      <w:pPr>
        <w:autoSpaceDN w:val="0"/>
        <w:tabs>
          <w:tab w:pos="897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Statements of Income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102 </w:t>
      </w:r>
    </w:p>
    <w:p>
      <w:pPr>
        <w:autoSpaceDN w:val="0"/>
        <w:tabs>
          <w:tab w:pos="897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Statements of Comprehensive Income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103 </w:t>
      </w:r>
    </w:p>
    <w:p>
      <w:pPr>
        <w:autoSpaceDN w:val="0"/>
        <w:tabs>
          <w:tab w:pos="897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Statements of Changes in Equity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104 </w:t>
      </w:r>
    </w:p>
    <w:p>
      <w:pPr>
        <w:autoSpaceDN w:val="0"/>
        <w:tabs>
          <w:tab w:pos="8970" w:val="left"/>
        </w:tabs>
        <w:autoSpaceDE w:val="0"/>
        <w:widowControl/>
        <w:spacing w:line="18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Statements of Cash Flows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 xml:space="preserve">105 </w:t>
      </w:r>
    </w:p>
    <w:p>
      <w:pPr>
        <w:autoSpaceDN w:val="0"/>
        <w:autoSpaceDE w:val="0"/>
        <w:widowControl/>
        <w:spacing w:line="180" w:lineRule="exact" w:before="158" w:after="10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Supplementary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936"/>
        </w:trPr>
        <w:tc>
          <w:tcPr>
            <w:tcW w:type="dxa" w:w="8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3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 xml:space="preserve">Summary Statement of Loans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36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 xml:space="preserve">Statement of Subscriptions to Capital Stock and Voting Power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</w:t>
            </w: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 xml:space="preserve">Notes to Financial Statements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4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10" w:right="34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 xml:space="preserve">106 </w:t>
            </w: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 xml:space="preserve">108 </w:t>
            </w: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 xml:space="preserve">114 </w:t>
            </w:r>
          </w:p>
        </w:tc>
      </w:tr>
    </w:tbl>
    <w:p>
      <w:pPr>
        <w:autoSpaceDN w:val="0"/>
        <w:autoSpaceDE w:val="0"/>
        <w:widowControl/>
        <w:spacing w:line="200" w:lineRule="exact" w:before="605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90 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5606" w:val="left"/>
          <w:tab w:pos="7300" w:val="left"/>
          <w:tab w:pos="7302" w:val="left"/>
        </w:tabs>
        <w:autoSpaceDE w:val="0"/>
        <w:widowControl/>
        <w:spacing w:line="196" w:lineRule="exact" w:before="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The World Bank </w:t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1818 H Street N.W. </w:t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(202) 477-1234 </w:t>
      </w:r>
      <w:r>
        <w:br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INTERNATIONAL BANK FOR RECONSTRUCTION AND DEVELOPMENT </w:t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Washington, D.C. 20433 Cable Address: INTBAFRAD 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INTERNATIONAL DEVELOPMENT ASSOCIATION </w:t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U.S.A.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Cable Address: INDEVAS </w:t>
      </w:r>
    </w:p>
    <w:p>
      <w:pPr>
        <w:autoSpaceDN w:val="0"/>
        <w:autoSpaceDE w:val="0"/>
        <w:widowControl/>
        <w:spacing w:line="200" w:lineRule="exact" w:before="47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Management’s Financial Reporting Assurance </w:t>
      </w:r>
    </w:p>
    <w:p>
      <w:pPr>
        <w:autoSpaceDN w:val="0"/>
        <w:autoSpaceDE w:val="0"/>
        <w:widowControl/>
        <w:spacing w:line="200" w:lineRule="exact" w:before="108" w:after="0"/>
        <w:ind w:left="0" w:right="7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August 7, 2025 </w:t>
      </w:r>
    </w:p>
    <w:p>
      <w:pPr>
        <w:autoSpaceDN w:val="0"/>
        <w:autoSpaceDE w:val="0"/>
        <w:widowControl/>
        <w:spacing w:line="230" w:lineRule="exact" w:before="236" w:after="0"/>
        <w:ind w:left="120" w:right="460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Audit Committee of the Board of Executive Directors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Bank for Reconstruction and Development </w:t>
      </w:r>
    </w:p>
    <w:p>
      <w:pPr>
        <w:autoSpaceDN w:val="0"/>
        <w:autoSpaceDE w:val="0"/>
        <w:widowControl/>
        <w:spacing w:line="230" w:lineRule="exact" w:before="116" w:after="0"/>
        <w:ind w:left="120" w:right="74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have reviewed the financial statements for the period ending on June 30, 2025, and the accompanying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management’s discussion and analysis of the International Bank for Reconstruction and Development (IBRD)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(collectively, the “Reports”). Based on our knowledge, the Reports do not (1) contain any untrue statement of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material fact, or (2) omit to state a material fact necessary to make the statements made, in light of the circumstances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which such statements were made, not misleading with respect to the period covered by the Reports. </w:t>
      </w:r>
    </w:p>
    <w:p>
      <w:pPr>
        <w:autoSpaceDN w:val="0"/>
        <w:autoSpaceDE w:val="0"/>
        <w:widowControl/>
        <w:spacing w:line="230" w:lineRule="exact" w:before="23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on our knowledge, the financial statements and other financial information included in the Reports fairly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 in all material respects the financial condition, results of operations, changes in net assets, and cash flows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IBRD for the periods presented in the Reports. </w:t>
      </w:r>
    </w:p>
    <w:p>
      <w:pPr>
        <w:autoSpaceDN w:val="0"/>
        <w:autoSpaceDE w:val="0"/>
        <w:widowControl/>
        <w:spacing w:line="230" w:lineRule="exact" w:before="2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is responsible for establishing and maintaining internal controls and procedures over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 for IBRD. As part of carrying out these responsibilities, Management has: </w:t>
      </w:r>
    </w:p>
    <w:p>
      <w:pPr>
        <w:autoSpaceDN w:val="0"/>
        <w:autoSpaceDE w:val="0"/>
        <w:widowControl/>
        <w:spacing w:line="230" w:lineRule="exact" w:before="118" w:after="0"/>
        <w:ind w:left="720" w:right="72" w:hanging="18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designed internal controls and procedures to ensure that material information required to meet the accuracy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completeness standards set forth above with regard to the Reports is recorded, processed, summarized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reported in a timely manner, as well as to ensure that such information is accumulated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communicated to Management as appropriate to allow timely decisions regarding required disclosure; and </w:t>
      </w:r>
    </w:p>
    <w:p>
      <w:pPr>
        <w:autoSpaceDN w:val="0"/>
        <w:autoSpaceDE w:val="0"/>
        <w:widowControl/>
        <w:spacing w:line="230" w:lineRule="exact" w:before="116" w:after="0"/>
        <w:ind w:left="720" w:right="72" w:hanging="18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designed internal control over financial reporting to provide reasonable assurance regarding the reliability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reporting and the preparation of financial statements for external purposes in accordance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generally accepted accounting principles. </w:t>
      </w:r>
    </w:p>
    <w:p>
      <w:pPr>
        <w:autoSpaceDN w:val="0"/>
        <w:autoSpaceDE w:val="0"/>
        <w:widowControl/>
        <w:spacing w:line="230" w:lineRule="exact" w:before="23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has evaluated the effectiveness of IBRD’s internal controls and procedures as of the date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Reports; and presented in management’s discussion and analysis its conclusions about the effectiveness of 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controls and procedures, as of the end of the period covered by the Reports, based on such evaluation.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has disclosed in the Reports any change in IBRD’s internal control over financial reporting that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occurred during the period covered by the Reports that has materially affected, or is reasonably likely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materially affect, IBRD’s internal control over financial reporting. </w:t>
      </w:r>
    </w:p>
    <w:p>
      <w:pPr>
        <w:autoSpaceDN w:val="0"/>
        <w:autoSpaceDE w:val="0"/>
        <w:widowControl/>
        <w:spacing w:line="230" w:lineRule="exact" w:before="2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Further, Management has disclosed, based on its most recent evaluation of internal control over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reporting, to IBRD’s external auditor and the Audit Committee of IBRD’s Board of Executive Directors: </w:t>
      </w:r>
    </w:p>
    <w:p>
      <w:pPr>
        <w:autoSpaceDN w:val="0"/>
        <w:autoSpaceDE w:val="0"/>
        <w:widowControl/>
        <w:spacing w:line="230" w:lineRule="exact" w:before="118" w:after="0"/>
        <w:ind w:left="720" w:right="70" w:hanging="18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 significant deficiencies in the design or operation of internal control over financial reporting which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reasonably likely to adversely affect IBRD’s ability to record, process, summarize, and report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information; and </w:t>
      </w:r>
    </w:p>
    <w:p>
      <w:pPr>
        <w:autoSpaceDN w:val="0"/>
        <w:tabs>
          <w:tab w:pos="720" w:val="left"/>
        </w:tabs>
        <w:autoSpaceDE w:val="0"/>
        <w:widowControl/>
        <w:spacing w:line="230" w:lineRule="exact" w:before="116" w:after="64"/>
        <w:ind w:left="5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fraud, whether or not material, that involves Management or other employees who have a significant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role in IBRD’s internal control over financial reporting.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30500" cy="647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62" w:right="1440" w:bottom="696" w:left="1440" w:header="720" w:footer="720" w:gutter="0"/>
          <w:cols w:num="2" w:equalWidth="0">
            <w:col w:w="4680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30500" cy="228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6"/>
        <w:sectPr>
          <w:type w:val="nextColumn"/>
          <w:pgSz w:w="12240" w:h="15840"/>
          <w:pgMar w:top="762" w:right="1440" w:bottom="696" w:left="1440" w:header="720" w:footer="720" w:gutter="0"/>
          <w:cols w:num="2" w:equalWidth="0">
            <w:col w:w="4680" w:space="0"/>
            <w:col w:w="46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65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60" w:right="187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Ajay Banga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President 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50" w:val="left"/>
              </w:tabs>
              <w:autoSpaceDE w:val="0"/>
              <w:widowControl/>
              <w:spacing w:line="198" w:lineRule="exact" w:before="2" w:after="0"/>
              <w:ind w:left="1890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Anshula Kant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Managing Director and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World Bank Group Chief Financial Officer </w:t>
            </w:r>
          </w:p>
        </w:tc>
      </w:tr>
    </w:tbl>
    <w:p>
      <w:pPr>
        <w:autoSpaceDN w:val="0"/>
        <w:autoSpaceDE w:val="0"/>
        <w:widowControl/>
        <w:spacing w:line="200" w:lineRule="exact" w:before="22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91 </w:t>
      </w:r>
    </w:p>
    <w:p>
      <w:pPr>
        <w:sectPr>
          <w:type w:val="continuous"/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142"/>
        </w:trPr>
        <w:tc>
          <w:tcPr>
            <w:tcW w:type="dxa" w:w="5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" w:after="0"/>
              <w:ind w:left="60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5"/>
              </w:rPr>
              <w:t xml:space="preserve">The World Bank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 xml:space="preserve">INTERNATIONAL BANK FOR RECONSTRUCTION AND DEVELOPMENT </w:t>
            </w:r>
          </w:p>
          <w:p>
            <w:pPr>
              <w:autoSpaceDN w:val="0"/>
              <w:autoSpaceDE w:val="0"/>
              <w:widowControl/>
              <w:spacing w:line="160" w:lineRule="exact" w:before="2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INTERNATIONAL DEVELOPMENT ASSOCIATION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3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 xml:space="preserve">1818 H Street N.W.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 xml:space="preserve">(202) 477-1234 </w:t>
            </w:r>
          </w:p>
        </w:tc>
      </w:tr>
      <w:tr>
        <w:trPr>
          <w:trHeight w:hRule="exact" w:val="160"/>
        </w:trPr>
        <w:tc>
          <w:tcPr>
            <w:tcW w:type="dxa" w:w="3120"/>
            <w:vMerge/>
            <w:tcBorders/>
          </w:tcPr>
          <w:p/>
        </w:tc>
        <w:tc>
          <w:tcPr>
            <w:tcW w:type="dxa" w:w="3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3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 xml:space="preserve">Washington, D.C. 20433 Cable Address: INTBAFRAD </w:t>
            </w:r>
          </w:p>
        </w:tc>
      </w:tr>
      <w:tr>
        <w:trPr>
          <w:trHeight w:hRule="exact" w:val="228"/>
        </w:trPr>
        <w:tc>
          <w:tcPr>
            <w:tcW w:type="dxa" w:w="312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3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 xml:space="preserve">U.S.A.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 xml:space="preserve">Cable Address: INDEVAS </w:t>
            </w:r>
          </w:p>
        </w:tc>
      </w:tr>
    </w:tbl>
    <w:p>
      <w:pPr>
        <w:autoSpaceDN w:val="0"/>
        <w:autoSpaceDE w:val="0"/>
        <w:widowControl/>
        <w:spacing w:line="240" w:lineRule="exact" w:before="488" w:after="0"/>
        <w:ind w:left="2448" w:right="2448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Management’s Report Regarding Effectiveness of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Internal Control over Financial Reporting </w:t>
      </w:r>
    </w:p>
    <w:p>
      <w:pPr>
        <w:autoSpaceDN w:val="0"/>
        <w:autoSpaceDE w:val="0"/>
        <w:widowControl/>
        <w:spacing w:line="200" w:lineRule="exact" w:before="312" w:after="0"/>
        <w:ind w:left="0" w:right="7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August 7, 2025 </w:t>
      </w:r>
    </w:p>
    <w:p>
      <w:pPr>
        <w:autoSpaceDN w:val="0"/>
        <w:autoSpaceDE w:val="0"/>
        <w:widowControl/>
        <w:spacing w:line="240" w:lineRule="exact" w:before="27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management of the International Bank for Reconstruction and Development (IBRD) is responsible for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preparation, integrity, and fair presentation of its published financial statements. The financial statements have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been prepared in accordance with accounting principles generally accepted in the United States of America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 amounts based on informed judgments and estimates made by management. </w:t>
      </w:r>
    </w:p>
    <w:p>
      <w:pPr>
        <w:autoSpaceDN w:val="0"/>
        <w:autoSpaceDE w:val="0"/>
        <w:widowControl/>
        <w:spacing w:line="240" w:lineRule="exact" w:before="27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financial statements have been audited by an independent audit firm, which was given unrestricted access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 financial records and related data, including minutes of all meetings of the Executive Directors and their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Committees. Management believes that all representations made to the independent auditors during their audit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financial statements and audit of its internal control over financial reporting were valid and appropriate.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independent auditors’ reports accompany the audited financial statements. </w:t>
      </w:r>
    </w:p>
    <w:p>
      <w:pPr>
        <w:autoSpaceDN w:val="0"/>
        <w:autoSpaceDE w:val="0"/>
        <w:widowControl/>
        <w:spacing w:line="240" w:lineRule="exact" w:before="27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is responsible for establishing and maintaining effective internal control over financial reporting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 presentations in conformity with accounting principles generally accepted in the United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States of America. Management maintains a comprehensive system of controls intended to ensure that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transactions are executed in accordance with management’s authorization, assets are safeguarded, and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records are reliable. The system of internal control contains monitoring mechanisms, and actions are taken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correct deficiencies identified. Management believes that internal control over financial reporting supports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integrity and reliability of the external financial statements. </w:t>
      </w:r>
    </w:p>
    <w:p>
      <w:pPr>
        <w:autoSpaceDN w:val="0"/>
        <w:autoSpaceDE w:val="0"/>
        <w:widowControl/>
        <w:spacing w:line="240" w:lineRule="exact" w:before="27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There are inherent limitations in the effectiveness of any internal control, including the possibility of human error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the circumvention or overriding of controls. Accordingly, even effective internal controls can provide only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reasonable assurance with respect to financial statement preparation. Further, because of changes in conditions,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effectiveness of internal controls may vary over time. </w:t>
      </w:r>
    </w:p>
    <w:p>
      <w:pPr>
        <w:autoSpaceDN w:val="0"/>
        <w:autoSpaceDE w:val="0"/>
        <w:widowControl/>
        <w:spacing w:line="240" w:lineRule="exact" w:before="27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assessed its internal control over financial reporting for financial statement presentation in conformity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principles generally accepted in the United States of America as of June 30, 2025. This assessment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 based on the criteria for effective internal control over financial reporting described in the </w:t>
      </w:r>
      <w:r>
        <w:rPr>
          <w:rFonts w:ascii="Times" w:hAnsi="Times" w:eastAsia="Times"/>
          <w:b w:val="0"/>
          <w:i/>
          <w:color w:val="231F20"/>
          <w:sz w:val="20"/>
        </w:rPr>
        <w:t>Internal Control-</w:t>
      </w:r>
      <w:r>
        <w:rPr>
          <w:rFonts w:ascii="Times" w:hAnsi="Times" w:eastAsia="Times"/>
          <w:b w:val="0"/>
          <w:i/>
          <w:color w:val="231F20"/>
          <w:sz w:val="20"/>
        </w:rPr>
        <w:t>Integrated Framework (2013)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issued by the Committee of Sponsoring Organizations of the Treadway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Commission. Based upon this assessment, management believes that IBRD maintained effective internal control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 financial reporting presented in conformity with accounting principles generally accepted in the United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States of America as of June 30, 2025. The independent audit firm that audited the financial statements has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issued an Independent Auditor’s Report which expresses an opinion on IBRD’s internal control over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reporting. </w:t>
      </w:r>
    </w:p>
    <w:p>
      <w:pPr>
        <w:autoSpaceDN w:val="0"/>
        <w:autoSpaceDE w:val="0"/>
        <w:widowControl/>
        <w:spacing w:line="240" w:lineRule="exact" w:before="27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Executive Directors of IBRD have appointed an Audit Committee responsible for monitoring the accounting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practices and internal controls of IBRD. The Audit Committee is comprised entirely of Executive Directors who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independent of IBRD’s management. The Audit Committee is responsible for recommending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Executive Directors the selection of independent auditors. It meets periodically with management,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independent auditors, and the internal auditors to ensure that they are carrying out their responsibilities.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 Committee is responsible for performing an oversight role by reviewing and monitoring the financial.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and auditing procedures of IBRD in addition to reviewing IBRD’s financial reports. The independent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auditors and the internal auditors have full and free access to the Audit Committee, with or without the presence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92 </w:t>
      </w:r>
    </w:p>
    <w:p>
      <w:pPr>
        <w:sectPr>
          <w:pgSz w:w="12240" w:h="15840"/>
          <w:pgMar w:top="73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of management, to discuss the adequacy of internal control over financial reporting and any other matters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they believe should be brought to the attention of the Audit Committee. 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97279" cy="6680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66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70" w:after="0"/>
        <w:ind w:left="4176" w:right="4032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Ajay Banga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 xml:space="preserve">President </w:t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3289" cy="222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3289" cy="22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70" w:after="0"/>
        <w:ind w:left="1872" w:right="1872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Anshula Kant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 xml:space="preserve">Managing Director and World Bank Group Chief Financial Officer 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73200" cy="3594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35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70" w:after="0"/>
        <w:ind w:left="2592" w:right="2592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Pamela O’Connell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 xml:space="preserve">Vice President and World Bank Group Controller </w:t>
      </w:r>
    </w:p>
    <w:p>
      <w:pPr>
        <w:autoSpaceDN w:val="0"/>
        <w:autoSpaceDE w:val="0"/>
        <w:widowControl/>
        <w:spacing w:line="200" w:lineRule="exact" w:before="77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sectPr>
          <w:pgSz w:w="12240" w:h="15840"/>
          <w:pgMar w:top="71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5300" cy="342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10" w:right="1440" w:bottom="696" w:left="1440" w:header="720" w:footer="720" w:gutter="0"/>
          <w:cols w:num="2" w:equalWidth="0">
            <w:col w:w="2914" w:space="0"/>
            <w:col w:w="6446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402"/>
        <w:ind w:left="14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INDEPENDENT AUDITOR’S REPORT </w:t>
      </w:r>
    </w:p>
    <w:p>
      <w:pPr>
        <w:sectPr>
          <w:type w:val="nextColumn"/>
          <w:pgSz w:w="12240" w:h="15840"/>
          <w:pgMar w:top="710" w:right="1440" w:bottom="696" w:left="1440" w:header="720" w:footer="720" w:gutter="0"/>
          <w:cols w:num="2" w:equalWidth="0">
            <w:col w:w="2914" w:space="0"/>
            <w:col w:w="64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460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 and Board of Executive Directors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Bank for Reconstruction and Development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Opinion on Internal Control over Financial Reporting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have audited the internal control over financial reporting of the International Bank for Reconstruction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(“IBRD”) as of June 30, 2025, based on the criteria established in the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Internal Control—Integrated </w:t>
      </w:r>
      <w:r>
        <w:rPr>
          <w:rFonts w:ascii="Times" w:hAnsi="Times" w:eastAsia="Times"/>
          <w:b w:val="0"/>
          <w:i/>
          <w:color w:val="231F20"/>
          <w:sz w:val="20"/>
        </w:rPr>
        <w:t>Framework (2013)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issued by the Committee of Sponsoring Organizations of the Treadway Commission (COSO).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our opinion, IBRD maintained, in all material respects, effective internal control over financial reporting as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2025, based on criteria established in </w:t>
      </w:r>
      <w:r>
        <w:rPr>
          <w:rFonts w:ascii="Times" w:hAnsi="Times" w:eastAsia="Times"/>
          <w:b w:val="0"/>
          <w:i/>
          <w:color w:val="231F20"/>
          <w:sz w:val="20"/>
        </w:rPr>
        <w:t>Internal Control — Integrated Framework (2013)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issued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COSO.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also have audited, in accordance with auditing standards generally accepted in the United States of America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(GAAS), the financial statements as of and for the year ended June 30, 2025 of IBRD, and our report dated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August 7, 2025, expressed an unmodified opinion on those financial statements.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Basis for Opinion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conducted our audit in accordance with GAAS. Our responsibilities under those standards are further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described in the Auditor’s Responsibilities for the Audit of Internal Control over Financial Reporting section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our report. We are required to be independent of IBRD and to meet our other ethical responsibilities,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accordance with the relevant ethical requirements relating to our audit. We believe that the audit evidence we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have obtained is sufficient and appropriate to provide a basis for our audit opinion.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Responsibilities of Management for Internal Control over Financial Reporting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is responsible for designing, implementing, and maintaining effective internal control over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reporting, and for its assessment about the effectiveness of internal control over financial reporting,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accompanying Management’s Report Regarding Effectiveness of Internal Control over Financial Reporting.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Auditor’s Responsibilities for the Audit of Internal Control over Financial Reporting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Our objectives are to obtain reasonable assurance about whether effective internal control over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 was maintained in all material respects and to issue an auditor’s report that includes our opinion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control over financial reporting. Reasonable assurance is a high level of assurance but is not absolute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assurance and therefore is not a guarantee that an audit of internal control over financial reporting conducted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accordance with GAAS will always detect a material weakness when it exists.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performing an audit of internal control over financial reporting in accordance with GAAS, we: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Exercise professional judgment and maintain professional skepticism throughout the audit.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94 </w:t>
      </w:r>
    </w:p>
    <w:p>
      <w:pPr>
        <w:sectPr>
          <w:type w:val="continuous"/>
          <w:pgSz w:w="12240" w:h="15840"/>
          <w:pgMar w:top="71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920" w:val="left"/>
        </w:tabs>
        <w:autoSpaceDE w:val="0"/>
        <w:widowControl/>
        <w:spacing w:line="226" w:lineRule="exact" w:before="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Obtain an understanding of internal control over financial reporting, assess the risks that a material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weakness exists, and test and evaluate the design and operating effectiveness of internal control over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reporting based on the assessed risk.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Definition and Inherent Limitations of Internal Control over Financial Reporting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An entity’s internal control over financial reporting is a process effected by those charged with governance,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management, and other personnel, designed to provide reasonable assurance regarding the preparation of reliable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statements in accordance with accounting principles generally accepted in the United States of America.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entity’s internal control over financial reporting includes those policies and procedures that (1) pertain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maintenance of records that, in reasonable detail, accurately and fairly reflect the transactions and dispositions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assets of the entity; (2) provide reasonable assurance that transactions are recorded as necessary to permit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preparation of financial statements in accordance with accounting principles generally accepted in the United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States of America, and that receipts and expenditures of the entity are being made only in accordance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authorizations of management and those charged with governance; and (3) provide reasonable assurance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regarding prevention, or timely detection and correction of unauthorized acquisition, use, or disposition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entity’s assets that could have a material effect on the financial statements.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Because of its inherent limitations, internal control over financial reporting may not prevent, or detect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correct, misstatements. Also, projections of any assessment of effectiveness to future periods are subject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that controls may become inadequate because of changes in conditions, or that the degree of compliance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policies or procedures may deteriorate. </w:t>
      </w:r>
    </w:p>
    <w:p>
      <w:pPr>
        <w:autoSpaceDN w:val="0"/>
        <w:autoSpaceDE w:val="0"/>
        <w:widowControl/>
        <w:spacing w:line="240" w:lineRule="auto" w:before="192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3160" cy="381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20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August 7, 2025 </w:t>
      </w:r>
    </w:p>
    <w:p>
      <w:pPr>
        <w:autoSpaceDN w:val="0"/>
        <w:autoSpaceDE w:val="0"/>
        <w:widowControl/>
        <w:spacing w:line="200" w:lineRule="exact" w:before="6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sectPr>
          <w:pgSz w:w="12240" w:h="15840"/>
          <w:pgMar w:top="71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5300" cy="3429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10" w:right="1440" w:bottom="696" w:left="1440" w:header="720" w:footer="720" w:gutter="0"/>
          <w:cols w:num="2" w:equalWidth="0">
            <w:col w:w="2914" w:space="0"/>
            <w:col w:w="6446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392"/>
        <w:ind w:left="14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INDEPENDENT AUDITOR’S REPORT </w:t>
      </w:r>
    </w:p>
    <w:p>
      <w:pPr>
        <w:sectPr>
          <w:type w:val="nextColumn"/>
          <w:pgSz w:w="12240" w:h="15840"/>
          <w:pgMar w:top="710" w:right="1440" w:bottom="696" w:left="1440" w:header="720" w:footer="720" w:gutter="0"/>
          <w:cols w:num="2" w:equalWidth="0">
            <w:col w:w="2914" w:space="0"/>
            <w:col w:w="644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460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 and Board of Executive Directors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Bank for Reconstruction and Development </w:t>
      </w:r>
    </w:p>
    <w:p>
      <w:pPr>
        <w:autoSpaceDN w:val="0"/>
        <w:autoSpaceDE w:val="0"/>
        <w:widowControl/>
        <w:spacing w:line="200" w:lineRule="exact" w:before="38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Opinion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have audited the financial statements of the International Bank for Reconstruction and Development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(“IBRD”), which comprise the balance sheets as of June 30, 2025 and 2024, and the related statements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income, comprehensive income, changes in equity, and cash flows for each of the three years in the period ended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2025, and the related notes to the financial statements (collectively referred to as the “financial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statements”). </w:t>
      </w:r>
    </w:p>
    <w:p>
      <w:pPr>
        <w:autoSpaceDN w:val="0"/>
        <w:autoSpaceDE w:val="0"/>
        <w:widowControl/>
        <w:spacing w:line="240" w:lineRule="exact" w:before="23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our opinion, the accompanying financial statements present fairly, in all material respects, the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 of IBRD as of June 30, 2025 and 2024, and the results of its operations and its cash flows for each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three years in the period ended June 30, 2025, in accordance with accounting principles generally accepted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States of America. </w:t>
      </w:r>
    </w:p>
    <w:p>
      <w:pPr>
        <w:autoSpaceDN w:val="0"/>
        <w:autoSpaceDE w:val="0"/>
        <w:widowControl/>
        <w:spacing w:line="240" w:lineRule="exact" w:before="23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have also audited, in accordance with auditing standards generally accepted in the United States of America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(GAAS), IBRD’s internal control over financial reporting as of June 30, 2025, based on criteria established in </w:t>
      </w:r>
      <w:r>
        <w:rPr>
          <w:rFonts w:ascii="Times" w:hAnsi="Times" w:eastAsia="Times"/>
          <w:b w:val="0"/>
          <w:i/>
          <w:color w:val="231F20"/>
          <w:sz w:val="20"/>
        </w:rPr>
        <w:t>Internal Control — Integrated Framework (2013)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issued by the Committee of Sponsoring Organizations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Treadway Commission and our report dated August 7, 2025, expressed an unmodified opinion on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control over financial reporting. </w:t>
      </w:r>
    </w:p>
    <w:p>
      <w:pPr>
        <w:autoSpaceDN w:val="0"/>
        <w:autoSpaceDE w:val="0"/>
        <w:widowControl/>
        <w:spacing w:line="200" w:lineRule="exact" w:before="3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Basis for Opinion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conducted our audits in accordance with GAAS. Our responsibilities under those standards are further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described in the Auditor’s Responsibilities for the Audit of the Financial Statements section of our report. We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required to be independent of IBRD and to meet our other ethical responsibilities, in accordance with the relevant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ethical requirements relating to our audits. We believe that the audit evidence we have obtained is sufficient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appropriate to provide a basis for our audit opinion. </w:t>
      </w:r>
    </w:p>
    <w:p>
      <w:pPr>
        <w:autoSpaceDN w:val="0"/>
        <w:autoSpaceDE w:val="0"/>
        <w:widowControl/>
        <w:spacing w:line="200" w:lineRule="exact" w:before="38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Responsibilities of Management for the Financial Statements </w:t>
      </w:r>
    </w:p>
    <w:p>
      <w:pPr>
        <w:autoSpaceDN w:val="0"/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is responsible for the preparation and fair presentation of the financial statements in accordance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accounting principles generally accepted in the United States of America, and for the design,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implementation, and maintenance of internal control relevant to the preparation and fair presentation of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 that are free from material misstatement, whether due to fraud or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error. </w:t>
      </w:r>
    </w:p>
    <w:p>
      <w:pPr>
        <w:autoSpaceDN w:val="0"/>
        <w:autoSpaceDE w:val="0"/>
        <w:widowControl/>
        <w:spacing w:line="240" w:lineRule="exact" w:before="23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preparing the financial statements, management is required to evaluate whether there are conditions or events,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considered in the aggregate, that raise substantial doubt about IBRD’s ability to continue as a going concern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one year after the date that the financial statements are issued.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96 </w:t>
      </w:r>
    </w:p>
    <w:p>
      <w:pPr>
        <w:sectPr>
          <w:type w:val="continuous"/>
          <w:pgSz w:w="12240" w:h="15840"/>
          <w:pgMar w:top="71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Independent Auditor’s Report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Auditor’s Responsibilities for the Audit of the Financial Statements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Our objectives are to obtain reasonable assurance about whether the financial statements as a whole are free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material misstatement, whether due to fraud or error, and to issue an auditor’s report that includes our opinion.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Reasonable assurance is a high level of assurance but is not absolute assurance and therefore is not a guarantee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an audit conducted in accordance with GAAS will always detect a material misstatement when it exists.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of not detecting a material misstatement resulting from fraud is higher than for one resulting from error,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fraud may involve collusion, forgery, intentional omissions, misrepresentations, or the override of internal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control. Misstatements are considered material if there is a substantial likelihood that, individually or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aggregate, they would influence the judgment made by a reasonable user based on the financial statements.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performing an audit in accordance with GAAS, we: </w:t>
      </w:r>
    </w:p>
    <w:p>
      <w:pPr>
        <w:autoSpaceDN w:val="0"/>
        <w:tabs>
          <w:tab w:pos="920" w:val="left"/>
        </w:tabs>
        <w:autoSpaceDE w:val="0"/>
        <w:widowControl/>
        <w:spacing w:line="200" w:lineRule="exact" w:before="16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Exercise professional judgment and maintain professional skepticism throughout the audit.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Identify and assess the risks of material misstatement of the financial statements, whether due to fraud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error, and design and perform audit procedures responsive to those risks. Such procedures include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examining, on a test basis, evidence regarding the amounts and disclosures in the financial statements.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Obtain an understanding of internal control relevant to the audit in order to design audit procedures that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appropriate in the circumstances.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Evaluate the appropriateness of accounting policies used and the reasonableness of significant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estimates made by management, as well as evaluate the overall presentation of the financial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statements. </w:t>
      </w:r>
    </w:p>
    <w:p>
      <w:pPr>
        <w:autoSpaceDN w:val="0"/>
        <w:tabs>
          <w:tab w:pos="920" w:val="left"/>
        </w:tabs>
        <w:autoSpaceDE w:val="0"/>
        <w:widowControl/>
        <w:spacing w:line="240" w:lineRule="exact" w:before="120" w:after="0"/>
        <w:ind w:left="6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Conclude whether, in our judgment, there are conditions or events, considered in the aggregate, that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raise substantial doubt about IBRD’s ability to continue as a going concern for a reasonable period of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time.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are required to communicate with those charged with governance regarding, among other matters,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planned scope and timing of the audit, significant audit findings, and certain internal control-related matters that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 identified during the audit.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Report on Supplementary Information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Our audits were conducted for the purpose of forming an opinion on the financial statements as a whole.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supplementary information listed in the table of contents is presented for the purpose of additional analysis and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a required part of the financial statements. This supplementary information is the responsibility of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and was derived from and relates directly to the underlying accounting and other records used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prepare the financial statements. Such information has been subjected to the auditing procedures applied in our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audits of the financial statements and certain additional procedures, including comparing and reconciling 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information directly to the underlying accounting and other records used to prepare the financial statements or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financial statements themselves, and other additional procedures in accordance with GAAS. In our opinion,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information is fairly stated in all material respects in relation to the financial statements as a whole. </w:t>
      </w:r>
    </w:p>
    <w:p>
      <w:pPr>
        <w:autoSpaceDN w:val="0"/>
        <w:autoSpaceDE w:val="0"/>
        <w:widowControl/>
        <w:spacing w:line="200" w:lineRule="exact" w:before="22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Independent Auditor’s Report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Other Information Included in Management’s Discussion &amp; Analysis and Financial Statements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is responsible for the other information included in Management’s Discussion &amp; Analysis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Statements. The other information comprises the information included in Management’s Discussion &amp;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Analysis but does not include the financial statements and our auditor’s report thereon. Our opinion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statements does not cover the other information, and we do not express an opinion or any form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assurance thereon.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connection with our audits of the financial statements, our responsibility is to read the other information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 whether a material inconsistency exists between the other information and the financial statements,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other information otherwise appears to be materially misstated. If, based on the work performed, we conclude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an uncorrected material misstatement of the other information exists, we are required to describe it in our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report. </w:t>
      </w:r>
    </w:p>
    <w:p>
      <w:pPr>
        <w:autoSpaceDN w:val="0"/>
        <w:autoSpaceDE w:val="0"/>
        <w:widowControl/>
        <w:spacing w:line="240" w:lineRule="auto" w:before="192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23160" cy="381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8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August 7, 2025 </w:t>
      </w:r>
    </w:p>
    <w:p>
      <w:pPr>
        <w:autoSpaceDN w:val="0"/>
        <w:autoSpaceDE w:val="0"/>
        <w:widowControl/>
        <w:spacing w:line="200" w:lineRule="exact" w:before="82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" w:right="432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 xml:space="preserve">INTERNATIONAL BANK FOR RECONSTRUCTION 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AND DEVELOPMENT </w:t>
      </w:r>
    </w:p>
    <w:p>
      <w:pPr>
        <w:autoSpaceDN w:val="0"/>
        <w:autoSpaceDE w:val="0"/>
        <w:widowControl/>
        <w:spacing w:line="360" w:lineRule="exact" w:before="240" w:after="0"/>
        <w:ind w:left="120" w:right="4464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 xml:space="preserve">FINANCIAL STATEMENTS </w:t>
      </w:r>
      <w:r>
        <w:br/>
      </w:r>
      <w:r>
        <w:rPr>
          <w:rFonts w:ascii="Times" w:hAnsi="Times" w:eastAsia="Times"/>
          <w:b/>
          <w:i w:val="0"/>
          <w:color w:val="231F20"/>
          <w:sz w:val="36"/>
        </w:rPr>
        <w:t xml:space="preserve">June 30, 2025 </w:t>
      </w:r>
    </w:p>
    <w:p>
      <w:pPr>
        <w:autoSpaceDN w:val="0"/>
        <w:autoSpaceDE w:val="0"/>
        <w:widowControl/>
        <w:spacing w:line="200" w:lineRule="exact" w:before="1104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99 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4" w:lineRule="exact" w:before="438" w:after="0"/>
        <w:ind w:left="120" w:right="6048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B</w:t>
      </w:r>
      <w:r>
        <w:rPr>
          <w:rFonts w:ascii="Times" w:hAnsi="Times" w:eastAsia="Times"/>
          <w:b/>
          <w:i w:val="0"/>
          <w:color w:val="044A72"/>
          <w:sz w:val="28"/>
        </w:rPr>
        <w:t>ALANCE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HEETS </w:t>
      </w:r>
      <w:r>
        <w:br/>
      </w: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and June 30, 2024 </w:t>
      </w:r>
    </w:p>
    <w:p>
      <w:pPr>
        <w:autoSpaceDN w:val="0"/>
        <w:autoSpaceDE w:val="0"/>
        <w:widowControl/>
        <w:spacing w:line="180" w:lineRule="exact" w:before="64" w:after="5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30.0" w:type="dxa"/>
      </w:tblPr>
      <w:tblGrid>
        <w:gridCol w:w="4688"/>
        <w:gridCol w:w="4688"/>
      </w:tblGrid>
      <w:tr>
        <w:trPr>
          <w:trHeight w:hRule="exact" w:val="252"/>
        </w:trPr>
        <w:tc>
          <w:tcPr>
            <w:tcW w:type="dxa" w:w="7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9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40" w:lineRule="exact" w:before="56" w:after="22"/>
        <w:ind w:left="120" w:right="648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Assets </w:t>
      </w:r>
      <w:r>
        <w:br/>
      </w:r>
      <w:r>
        <w:rPr>
          <w:rFonts w:ascii="Times" w:hAnsi="Times" w:eastAsia="Times"/>
          <w:b/>
          <w:i/>
          <w:color w:val="231F20"/>
          <w:sz w:val="20"/>
        </w:rPr>
        <w:t xml:space="preserve">Due from banks—Notes C and J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44"/>
        <w:gridCol w:w="2344"/>
        <w:gridCol w:w="2344"/>
        <w:gridCol w:w="2344"/>
      </w:tblGrid>
      <w:tr>
        <w:trPr>
          <w:trHeight w:hRule="exact" w:val="222"/>
        </w:trPr>
        <w:tc>
          <w:tcPr>
            <w:tcW w:type="dxa" w:w="7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Unrestricted cash . . . . . . . . . . . . . . . . . . . . . . . . . . . . . . . . . . . . . . . . . . . . . . . . . . . . . .</w:t>
            </w:r>
          </w:p>
        </w:tc>
        <w:tc>
          <w:tcPr>
            <w:tcW w:type="dxa" w:w="2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412 $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410 </w:t>
            </w:r>
          </w:p>
        </w:tc>
      </w:tr>
      <w:tr>
        <w:trPr>
          <w:trHeight w:hRule="exact" w:val="264"/>
        </w:trPr>
        <w:tc>
          <w:tcPr>
            <w:tcW w:type="dxa" w:w="72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Restricted cash . . . . . . . . . . . . . . . . . . . . . . . . . . . . . . . . . . . . . . . . . . . . . . . . . . . . . . . .</w:t>
            </w:r>
          </w:p>
        </w:tc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9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 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 </w:t>
            </w:r>
          </w:p>
        </w:tc>
      </w:tr>
      <w:tr>
        <w:trPr>
          <w:trHeight w:hRule="exact" w:val="337"/>
        </w:trPr>
        <w:tc>
          <w:tcPr>
            <w:tcW w:type="dxa" w:w="72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485 </w:t>
            </w:r>
          </w:p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490 </w:t>
            </w:r>
          </w:p>
        </w:tc>
      </w:tr>
    </w:tbl>
    <w:p>
      <w:pPr>
        <w:autoSpaceDN w:val="0"/>
        <w:tabs>
          <w:tab w:pos="320" w:val="left"/>
        </w:tabs>
        <w:autoSpaceDE w:val="0"/>
        <w:widowControl/>
        <w:spacing w:line="240" w:lineRule="exact" w:before="36" w:after="20"/>
        <w:ind w:left="120" w:right="2304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Investments-Trading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(including securities transferred under repurchase or securities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agreements of $312 million—June 30, 2025 and $255 million —June 30,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22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2024)—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C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102,674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82,728 </w:t>
            </w:r>
          </w:p>
        </w:tc>
      </w:tr>
      <w:tr>
        <w:trPr>
          <w:trHeight w:hRule="exact" w:val="240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Securities purchased under resale agreements—Notes C and J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 </w:t>
            </w:r>
          </w:p>
        </w:tc>
      </w:tr>
      <w:tr>
        <w:trPr>
          <w:trHeight w:hRule="exact" w:val="258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Derivative assets, net—Notes C, F and J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666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456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Receivables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5"/>
        <w:gridCol w:w="3125"/>
        <w:gridCol w:w="3125"/>
      </w:tblGrid>
      <w:tr>
        <w:trPr>
          <w:trHeight w:hRule="exact" w:val="224"/>
        </w:trPr>
        <w:tc>
          <w:tcPr>
            <w:tcW w:type="dxa" w:w="7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Receivable from investment securities traded—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 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438 </w:t>
            </w:r>
          </w:p>
        </w:tc>
      </w:tr>
      <w:tr>
        <w:trPr>
          <w:trHeight w:hRule="exact" w:val="264"/>
        </w:trPr>
        <w:tc>
          <w:tcPr>
            <w:tcW w:type="dxa" w:w="72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Accrued income on loans and guarantee fees receivable—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</w:t>
            </w:r>
          </w:p>
        </w:tc>
        <w:tc>
          <w:tcPr>
            <w:tcW w:type="dxa" w:w="9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3,562 </w:t>
            </w:r>
          </w:p>
        </w:tc>
        <w:tc>
          <w:tcPr>
            <w:tcW w:type="dxa" w:w="8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4,022 </w:t>
            </w:r>
          </w:p>
        </w:tc>
      </w:tr>
      <w:tr>
        <w:trPr>
          <w:trHeight w:hRule="exact" w:val="337"/>
        </w:trPr>
        <w:tc>
          <w:tcPr>
            <w:tcW w:type="dxa" w:w="72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3,646 </w:t>
            </w:r>
          </w:p>
        </w:tc>
        <w:tc>
          <w:tcPr>
            <w:tcW w:type="dxa" w:w="8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4,460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2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Loans outstanding—Notes D, H and J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40"/>
        </w:trPr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loans . . . . . . . . . . . . . . . . . . . . . . . . . . . . . . . . . . 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375,435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348,248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Less: Undisbursed balance (including signed loan commitments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5"/>
        <w:gridCol w:w="3125"/>
        <w:gridCol w:w="3125"/>
      </w:tblGrid>
      <w:tr>
        <w:trPr>
          <w:trHeight w:hRule="exact" w:val="246"/>
        </w:trPr>
        <w:tc>
          <w:tcPr>
            <w:tcW w:type="dxa" w:w="71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$76,870 million—June 30, 2025 and $66,761 million—June 30, 2024) . . . . . . . . .</w:t>
            </w:r>
          </w:p>
        </w:tc>
        <w:tc>
          <w:tcPr>
            <w:tcW w:type="dxa" w:w="9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(92,345) 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(85,058) </w:t>
            </w:r>
          </w:p>
        </w:tc>
      </w:tr>
      <w:tr>
        <w:trPr>
          <w:trHeight w:hRule="exact" w:val="314"/>
        </w:trPr>
        <w:tc>
          <w:tcPr>
            <w:tcW w:type="dxa" w:w="71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5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outstanding . . . . . . . . . . . . . . . . . . . . . . . . . . . . . . . . . . . . . . . . . . . . . . . . .</w:t>
            </w:r>
          </w:p>
        </w:tc>
        <w:tc>
          <w:tcPr>
            <w:tcW w:type="dxa" w:w="9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283,090 </w:t>
            </w:r>
          </w:p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22"/>
        </w:trPr>
        <w:tc>
          <w:tcPr>
            <w:tcW w:type="dxa" w:w="7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Accumulated provision for loan losses . . . . . . . . . . . . . . . . . . . . . . . . . . . . . . . . .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(2,366) 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(2,360) </w:t>
            </w:r>
          </w:p>
        </w:tc>
      </w:tr>
      <w:tr>
        <w:trPr>
          <w:trHeight w:hRule="exact" w:val="264"/>
        </w:trPr>
        <w:tc>
          <w:tcPr>
            <w:tcW w:type="dxa" w:w="74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Deferred loan income . . . . . . . . . . . . . . . . . . . . . . . . . . . . . . . . . . . . . . . . . . . . . .</w:t>
            </w:r>
          </w:p>
        </w:tc>
        <w:tc>
          <w:tcPr>
            <w:tcW w:type="dxa" w:w="9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(681) 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(594) </w:t>
            </w:r>
          </w:p>
        </w:tc>
      </w:tr>
      <w:tr>
        <w:trPr>
          <w:trHeight w:hRule="exact" w:val="337"/>
        </w:trPr>
        <w:tc>
          <w:tcPr>
            <w:tcW w:type="dxa" w:w="74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loans outstanding . . . . . . . . . . . . . . . . . . . . . . . . . . . . . . . . . . . . . . . . . . . . . . . . . . . . . .</w:t>
            </w:r>
          </w:p>
        </w:tc>
        <w:tc>
          <w:tcPr>
            <w:tcW w:type="dxa" w:w="9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280,043 </w:t>
            </w:r>
          </w:p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260,236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Other assets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24"/>
        </w:trPr>
        <w:tc>
          <w:tcPr>
            <w:tcW w:type="dxa" w:w="74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Assets under retirement benefits plans—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I and 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Premises and equipment, net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Miscellaneous—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D,H,J and 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2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8,041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4,655 </w:t>
            </w:r>
          </w:p>
        </w:tc>
      </w:tr>
      <w:tr>
        <w:trPr>
          <w:trHeight w:hRule="exact" w:val="24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1,866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1,842 </w:t>
            </w:r>
          </w:p>
        </w:tc>
      </w:tr>
      <w:tr>
        <w:trPr>
          <w:trHeight w:hRule="exact" w:val="264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10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2,076 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1,666 </w:t>
            </w:r>
          </w:p>
        </w:tc>
      </w:tr>
      <w:tr>
        <w:trPr>
          <w:trHeight w:hRule="exact" w:val="320"/>
        </w:trPr>
        <w:tc>
          <w:tcPr>
            <w:tcW w:type="dxa" w:w="74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11,983 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8,163 </w:t>
            </w:r>
          </w:p>
        </w:tc>
      </w:tr>
      <w:tr>
        <w:trPr>
          <w:trHeight w:hRule="exact" w:val="337"/>
        </w:trPr>
        <w:tc>
          <w:tcPr>
            <w:tcW w:type="dxa" w:w="74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assets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178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$399,511 $356,612 </w:t>
            </w:r>
          </w:p>
        </w:tc>
      </w:tr>
    </w:tbl>
    <w:p>
      <w:pPr>
        <w:autoSpaceDN w:val="0"/>
        <w:autoSpaceDE w:val="0"/>
        <w:widowControl/>
        <w:spacing w:line="200" w:lineRule="exact" w:before="3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100 </w:t>
      </w:r>
    </w:p>
    <w:p>
      <w:pPr>
        <w:sectPr>
          <w:pgSz w:w="12240" w:h="15840"/>
          <w:pgMar w:top="720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254" w:lineRule="exact" w:before="106" w:after="0"/>
        <w:ind w:left="120" w:right="6048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B</w:t>
      </w:r>
      <w:r>
        <w:rPr>
          <w:rFonts w:ascii="Times" w:hAnsi="Times" w:eastAsia="Times"/>
          <w:b/>
          <w:i w:val="0"/>
          <w:color w:val="044A72"/>
          <w:sz w:val="28"/>
        </w:rPr>
        <w:t>ALANCE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HEETS </w:t>
      </w:r>
      <w:r>
        <w:br/>
      </w: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and June 30, 2024 </w:t>
      </w:r>
    </w:p>
    <w:p>
      <w:pPr>
        <w:autoSpaceDN w:val="0"/>
        <w:autoSpaceDE w:val="0"/>
        <w:widowControl/>
        <w:spacing w:line="180" w:lineRule="exact" w:before="6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8"/>
        <w:gridCol w:w="4688"/>
      </w:tblGrid>
      <w:tr>
        <w:trPr>
          <w:trHeight w:hRule="exact" w:val="354"/>
        </w:trPr>
        <w:tc>
          <w:tcPr>
            <w:tcW w:type="dxa" w:w="811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21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101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40" w:lineRule="exact" w:before="52" w:after="22"/>
        <w:ind w:left="120" w:right="6768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Liabilities </w:t>
      </w:r>
      <w:r>
        <w:br/>
      </w:r>
      <w:r>
        <w:rPr>
          <w:rFonts w:ascii="Times" w:hAnsi="Times" w:eastAsia="Times"/>
          <w:b/>
          <w:i/>
          <w:color w:val="231F20"/>
          <w:sz w:val="20"/>
        </w:rPr>
        <w:t xml:space="preserve">Borrowings—Notes E and J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5"/>
        <w:gridCol w:w="3125"/>
        <w:gridCol w:w="3125"/>
      </w:tblGrid>
      <w:tr>
        <w:trPr>
          <w:trHeight w:hRule="exact" w:val="232"/>
        </w:trPr>
        <w:tc>
          <w:tcPr>
            <w:tcW w:type="dxa" w:w="71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Borrowings, at fair value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at amortized cost . . . . . . . . . . . . . . . . . . . . . . . . . . . . . . . . . . . . . . . . . 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305,679 $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261,790 </w:t>
            </w:r>
          </w:p>
        </w:tc>
      </w:tr>
      <w:tr>
        <w:trPr>
          <w:trHeight w:hRule="exact" w:val="256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482 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36"/>
        </w:trPr>
        <w:tc>
          <w:tcPr>
            <w:tcW w:type="dxa" w:w="71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306,161 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261,790 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Securities sold under repurchase agreements, securities lent under securities lending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34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agreements, and payable for cash collateral received—Notes C and J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256 </w:t>
            </w:r>
          </w:p>
        </w:tc>
      </w:tr>
      <w:tr>
        <w:trPr>
          <w:trHeight w:hRule="exact" w:val="248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Derivative liabilities, net—Notes C, F and J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12,454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Other liabilities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34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Payable for investment securities purchased—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 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199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561 </w:t>
            </w:r>
          </w:p>
        </w:tc>
      </w:tr>
      <w:tr>
        <w:trPr>
          <w:trHeight w:hRule="exact" w:val="240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Liabilities under retirement benefits plans—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I and 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2,070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2,097 </w:t>
            </w:r>
          </w:p>
        </w:tc>
      </w:tr>
      <w:tr>
        <w:trPr>
          <w:trHeight w:hRule="exact" w:val="256"/>
        </w:trPr>
        <w:tc>
          <w:tcPr>
            <w:tcW w:type="dxa" w:w="73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Accounts payable and miscellaneous liabilities—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D, H, J and 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</w:t>
            </w:r>
          </w:p>
        </w:tc>
        <w:tc>
          <w:tcPr>
            <w:tcW w:type="dxa" w:w="10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6,303 </w:t>
            </w:r>
          </w:p>
        </w:tc>
        <w:tc>
          <w:tcPr>
            <w:tcW w:type="dxa" w:w="9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5,696 </w:t>
            </w:r>
          </w:p>
        </w:tc>
      </w:tr>
      <w:tr>
        <w:trPr>
          <w:trHeight w:hRule="exact" w:val="320"/>
        </w:trPr>
        <w:tc>
          <w:tcPr>
            <w:tcW w:type="dxa" w:w="73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8,572 </w:t>
            </w:r>
          </w:p>
        </w:tc>
        <w:tc>
          <w:tcPr>
            <w:tcW w:type="dxa" w:w="9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8,354 </w:t>
            </w:r>
          </w:p>
        </w:tc>
      </w:tr>
      <w:tr>
        <w:trPr>
          <w:trHeight w:hRule="exact" w:val="336"/>
        </w:trPr>
        <w:tc>
          <w:tcPr>
            <w:tcW w:type="dxa" w:w="73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liabilities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327,499 </w:t>
            </w:r>
          </w:p>
        </w:tc>
        <w:tc>
          <w:tcPr>
            <w:tcW w:type="dxa" w:w="9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293,128 </w:t>
            </w:r>
          </w:p>
        </w:tc>
      </w:tr>
    </w:tbl>
    <w:p>
      <w:pPr>
        <w:autoSpaceDN w:val="0"/>
        <w:autoSpaceDE w:val="0"/>
        <w:widowControl/>
        <w:spacing w:line="240" w:lineRule="exact" w:before="34" w:after="0"/>
        <w:ind w:left="120" w:right="734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Equity </w:t>
      </w:r>
      <w:r>
        <w:br/>
      </w:r>
      <w:r>
        <w:rPr>
          <w:rFonts w:ascii="Times" w:hAnsi="Times" w:eastAsia="Times"/>
          <w:b/>
          <w:i/>
          <w:color w:val="231F20"/>
          <w:sz w:val="20"/>
        </w:rPr>
        <w:t xml:space="preserve">Capital stock—Note B </w:t>
      </w:r>
    </w:p>
    <w:p>
      <w:pPr>
        <w:autoSpaceDN w:val="0"/>
        <w:autoSpaceDE w:val="0"/>
        <w:widowControl/>
        <w:spacing w:line="240" w:lineRule="exact" w:before="2" w:after="20"/>
        <w:ind w:left="920" w:right="244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Authorized capital (2,783,873 shares—June 30, 2025 and June 30, 2024)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Subscribed capital (2,709,291 shares—June 30, 2025, and 2,678,098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5"/>
        <w:gridCol w:w="3125"/>
        <w:gridCol w:w="3125"/>
      </w:tblGrid>
      <w:tr>
        <w:trPr>
          <w:trHeight w:hRule="exact" w:val="232"/>
        </w:trPr>
        <w:tc>
          <w:tcPr>
            <w:tcW w:type="dxa" w:w="7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shares—June 30, 2024) . . . . . . . . . . . . . . . . . . . . . . . . . . . . . . . . . . . . . . . . . .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326,835 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323,072 </w:t>
            </w:r>
          </w:p>
        </w:tc>
      </w:tr>
      <w:tr>
        <w:trPr>
          <w:trHeight w:hRule="exact" w:val="256"/>
        </w:trPr>
        <w:tc>
          <w:tcPr>
            <w:tcW w:type="dxa" w:w="71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Less uncalled portion of subscriptions . . . . . . . . . . . . . . . . . . . . . . . . . . . . . . . .</w:t>
            </w:r>
          </w:p>
        </w:tc>
        <w:tc>
          <w:tcPr>
            <w:tcW w:type="dxa" w:w="10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(303,924) </w:t>
            </w:r>
          </w:p>
        </w:tc>
        <w:tc>
          <w:tcPr>
            <w:tcW w:type="dxa" w:w="9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(300,620) </w:t>
            </w:r>
          </w:p>
        </w:tc>
      </w:tr>
      <w:tr>
        <w:trPr>
          <w:trHeight w:hRule="exact" w:val="312"/>
        </w:trPr>
        <w:tc>
          <w:tcPr>
            <w:tcW w:type="dxa" w:w="71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Paid-in capital . . . . . . . . . . . . . . . . . . . . . . . . . . . . . . . . . . . . . . . . . . . . . . . . . . . . . . .</w:t>
            </w:r>
          </w:p>
        </w:tc>
        <w:tc>
          <w:tcPr>
            <w:tcW w:type="dxa" w:w="10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22,911 </w:t>
            </w:r>
          </w:p>
        </w:tc>
        <w:tc>
          <w:tcPr>
            <w:tcW w:type="dxa" w:w="9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22,452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Nonnegotiable, noninterest-bearing demand obligations on account of subscribed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5"/>
        <w:gridCol w:w="3125"/>
        <w:gridCol w:w="3125"/>
      </w:tblGrid>
      <w:tr>
        <w:trPr>
          <w:trHeight w:hRule="exact" w:val="234"/>
        </w:trPr>
        <w:tc>
          <w:tcPr>
            <w:tcW w:type="dxa" w:w="73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0" w:right="194" w:firstLine="20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capital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Receivable and deferred amounts to maintain value of currency holdings—Note B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Retained earnings—Note 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Accumulated other comprehensive income—Note I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(313)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(310) </w:t>
            </w:r>
          </w:p>
        </w:tc>
      </w:tr>
      <w:tr>
        <w:trPr>
          <w:trHeight w:hRule="exact" w:val="24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(623)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(895) </w:t>
            </w:r>
          </w:p>
        </w:tc>
      </w:tr>
      <w:tr>
        <w:trPr>
          <w:trHeight w:hRule="exact" w:val="240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40,383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38,283 </w:t>
            </w:r>
          </w:p>
        </w:tc>
      </w:tr>
      <w:tr>
        <w:trPr>
          <w:trHeight w:hRule="exact" w:val="256"/>
        </w:trPr>
        <w:tc>
          <w:tcPr>
            <w:tcW w:type="dxa" w:w="3125"/>
            <w:vMerge/>
            <w:tcBorders>
              <w:bottom w:sz="4.0" w:val="single" w:color="#221F1F"/>
            </w:tcBorders>
          </w:tcPr>
          <w:p/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9,654 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3,954 </w:t>
            </w:r>
          </w:p>
        </w:tc>
      </w:tr>
      <w:tr>
        <w:trPr>
          <w:trHeight w:hRule="exact" w:val="320"/>
        </w:trPr>
        <w:tc>
          <w:tcPr>
            <w:tcW w:type="dxa" w:w="73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equity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11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72,012 </w:t>
            </w:r>
          </w:p>
        </w:tc>
        <w:tc>
          <w:tcPr>
            <w:tcW w:type="dxa" w:w="8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63,484 </w:t>
            </w:r>
          </w:p>
        </w:tc>
      </w:tr>
      <w:tr>
        <w:trPr>
          <w:trHeight w:hRule="exact" w:val="336"/>
        </w:trPr>
        <w:tc>
          <w:tcPr>
            <w:tcW w:type="dxa" w:w="73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liabilities and equity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</w:t>
            </w:r>
          </w:p>
        </w:tc>
        <w:tc>
          <w:tcPr>
            <w:tcW w:type="dxa" w:w="196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399,511 $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356,612 </w:t>
            </w:r>
          </w:p>
        </w:tc>
      </w:tr>
    </w:tbl>
    <w:p>
      <w:pPr>
        <w:autoSpaceDN w:val="0"/>
        <w:autoSpaceDE w:val="0"/>
        <w:widowControl/>
        <w:spacing w:line="200" w:lineRule="exact" w:before="354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 xml:space="preserve">The Notes to Financial Statements are an integral part of these Statements. </w:t>
      </w:r>
    </w:p>
    <w:p>
      <w:pPr>
        <w:autoSpaceDN w:val="0"/>
        <w:autoSpaceDE w:val="0"/>
        <w:widowControl/>
        <w:spacing w:line="200" w:lineRule="exact" w:before="32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101 </w:t>
      </w:r>
    </w:p>
    <w:p>
      <w:pPr>
        <w:sectPr>
          <w:pgSz w:w="12240" w:h="15840"/>
          <w:pgMar w:top="880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4" w:lineRule="exact" w:before="438" w:after="0"/>
        <w:ind w:left="120" w:right="2016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I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NCOME </w:t>
      </w:r>
      <w:r>
        <w:br/>
      </w:r>
      <w:r>
        <w:rPr>
          <w:rFonts w:ascii="Times" w:hAnsi="Times" w:eastAsia="Times"/>
          <w:b w:val="0"/>
          <w:i w:val="0"/>
          <w:color w:val="231F20"/>
          <w:sz w:val="24"/>
        </w:rPr>
        <w:t xml:space="preserve">For the fiscal years ended June 30, 2025, June 30, 2024 and June 30, 2023 </w:t>
      </w:r>
    </w:p>
    <w:p>
      <w:pPr>
        <w:autoSpaceDN w:val="0"/>
        <w:autoSpaceDE w:val="0"/>
        <w:widowControl/>
        <w:spacing w:line="200" w:lineRule="exact" w:before="150" w:after="65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46.0" w:type="dxa"/>
      </w:tblPr>
      <w:tblGrid>
        <w:gridCol w:w="3125"/>
        <w:gridCol w:w="3125"/>
        <w:gridCol w:w="3125"/>
      </w:tblGrid>
      <w:tr>
        <w:trPr>
          <w:trHeight w:hRule="exact" w:val="254"/>
        </w:trPr>
        <w:tc>
          <w:tcPr>
            <w:tcW w:type="dxa" w:w="73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91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8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</w:tbl>
    <w:p>
      <w:pPr>
        <w:autoSpaceDN w:val="0"/>
        <w:autoSpaceDE w:val="0"/>
        <w:widowControl/>
        <w:spacing w:line="200" w:lineRule="exact" w:before="96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Interest revenue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4"/>
        <w:gridCol w:w="2344"/>
        <w:gridCol w:w="2344"/>
        <w:gridCol w:w="2344"/>
      </w:tblGrid>
      <w:tr>
        <w:trPr>
          <w:trHeight w:hRule="exact" w:val="224"/>
        </w:trPr>
        <w:tc>
          <w:tcPr>
            <w:tcW w:type="dxa" w:w="669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Loans, net—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02" w:lineRule="exact" w:before="3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asset/liability management derivatives, net—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F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Investments-Trading, net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60" w:right="144" w:firstLine="40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Other, net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Borrowing expenses, net—Note 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</w:t>
            </w:r>
          </w:p>
        </w:tc>
        <w:tc>
          <w:tcPr>
            <w:tcW w:type="dxa" w:w="26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15,301 $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15,831 $10,522 </w:t>
            </w:r>
          </w:p>
        </w:tc>
      </w:tr>
      <w:tr>
        <w:trPr>
          <w:trHeight w:hRule="exact" w:val="240"/>
        </w:trPr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(1,293)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(1,726)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(850) </w:t>
            </w:r>
          </w:p>
        </w:tc>
      </w:tr>
      <w:tr>
        <w:trPr>
          <w:trHeight w:hRule="exact" w:val="240"/>
        </w:trPr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4,444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4,337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3,079 </w:t>
            </w:r>
          </w:p>
        </w:tc>
      </w:tr>
      <w:tr>
        <w:trPr>
          <w:trHeight w:hRule="exact" w:val="240"/>
        </w:trPr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</w:tr>
      <w:tr>
        <w:trPr>
          <w:trHeight w:hRule="exact" w:val="264"/>
        </w:trPr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9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(14,920) </w:t>
            </w:r>
          </w:p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(15,215) 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(9,562) </w:t>
            </w:r>
          </w:p>
        </w:tc>
      </w:tr>
      <w:tr>
        <w:trPr>
          <w:trHeight w:hRule="exact" w:val="337"/>
        </w:trPr>
        <w:tc>
          <w:tcPr>
            <w:tcW w:type="dxa" w:w="66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Interest revenue, net of borrowing expenses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</w:t>
            </w:r>
          </w:p>
        </w:tc>
        <w:tc>
          <w:tcPr>
            <w:tcW w:type="dxa" w:w="9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3,534 </w:t>
            </w:r>
          </w:p>
        </w:tc>
        <w:tc>
          <w:tcPr>
            <w:tcW w:type="dxa" w:w="9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3,229 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3,191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Provision for losses on loans and other exposures, release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2344"/>
        <w:gridCol w:w="2344"/>
        <w:gridCol w:w="2344"/>
        <w:gridCol w:w="2344"/>
      </w:tblGrid>
      <w:tr>
        <w:trPr>
          <w:trHeight w:hRule="exact" w:val="242"/>
        </w:trPr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(charge)—Note 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75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(94)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(685)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Non-interest revenue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44"/>
        <w:gridCol w:w="2344"/>
        <w:gridCol w:w="2344"/>
        <w:gridCol w:w="2344"/>
      </w:tblGrid>
      <w:tr>
        <w:trPr>
          <w:trHeight w:hRule="exact" w:val="224"/>
        </w:trPr>
        <w:tc>
          <w:tcPr>
            <w:tcW w:type="dxa" w:w="6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 from externally funded activities—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H and 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947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960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878 </w:t>
            </w:r>
          </w:p>
        </w:tc>
      </w:tr>
      <w:tr>
        <w:trPr>
          <w:trHeight w:hRule="exact" w:val="240"/>
        </w:trPr>
        <w:tc>
          <w:tcPr>
            <w:tcW w:type="dxa" w:w="6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Commitment charges—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152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149 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124 </w:t>
            </w:r>
          </w:p>
        </w:tc>
      </w:tr>
      <w:tr>
        <w:trPr>
          <w:trHeight w:hRule="exact" w:val="264"/>
        </w:trPr>
        <w:tc>
          <w:tcPr>
            <w:tcW w:type="dxa" w:w="64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Other, net . . . . . . . . . . . . . . . . . . . . . . . . . . . . . . . . . . . . . . . . . . . . . . . . . . . .</w:t>
            </w:r>
          </w:p>
        </w:tc>
        <w:tc>
          <w:tcPr>
            <w:tcW w:type="dxa" w:w="9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170 </w:t>
            </w:r>
          </w:p>
        </w:tc>
        <w:tc>
          <w:tcPr>
            <w:tcW w:type="dxa" w:w="9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 </w:t>
            </w:r>
          </w:p>
        </w:tc>
        <w:tc>
          <w:tcPr>
            <w:tcW w:type="dxa" w:w="7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 </w:t>
            </w:r>
          </w:p>
        </w:tc>
      </w:tr>
      <w:tr>
        <w:trPr>
          <w:trHeight w:hRule="exact" w:val="337"/>
        </w:trPr>
        <w:tc>
          <w:tcPr>
            <w:tcW w:type="dxa" w:w="64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</w:t>
            </w:r>
          </w:p>
        </w:tc>
        <w:tc>
          <w:tcPr>
            <w:tcW w:type="dxa" w:w="9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1,269 </w:t>
            </w:r>
          </w:p>
        </w:tc>
        <w:tc>
          <w:tcPr>
            <w:tcW w:type="dxa" w:w="9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1,151 </w:t>
            </w:r>
          </w:p>
        </w:tc>
        <w:tc>
          <w:tcPr>
            <w:tcW w:type="dxa" w:w="7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1,045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Non-interest expenses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4"/>
        <w:gridCol w:w="2344"/>
        <w:gridCol w:w="2344"/>
        <w:gridCol w:w="2344"/>
      </w:tblGrid>
      <w:tr>
        <w:trPr>
          <w:trHeight w:hRule="exact" w:val="224"/>
        </w:trPr>
        <w:tc>
          <w:tcPr>
            <w:tcW w:type="dxa" w:w="6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Administrative—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H, K and 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(2,522)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(2,379)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(2,320) </w:t>
            </w:r>
          </w:p>
        </w:tc>
      </w:tr>
      <w:tr>
        <w:trPr>
          <w:trHeight w:hRule="exact" w:val="240"/>
        </w:trPr>
        <w:tc>
          <w:tcPr>
            <w:tcW w:type="dxa" w:w="6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Contributions to special programs . . . . . . . . . . . . . . . . . . . . . . . . . . . . . . . . .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(17)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(17)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(17) </w:t>
            </w:r>
          </w:p>
        </w:tc>
      </w:tr>
      <w:tr>
        <w:trPr>
          <w:trHeight w:hRule="exact" w:val="264"/>
        </w:trPr>
        <w:tc>
          <w:tcPr>
            <w:tcW w:type="dxa" w:w="66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 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</w:t>
            </w:r>
          </w:p>
        </w:tc>
        <w:tc>
          <w:tcPr>
            <w:tcW w:type="dxa" w:w="9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150 </w:t>
            </w:r>
          </w:p>
        </w:tc>
        <w:tc>
          <w:tcPr>
            <w:tcW w:type="dxa" w:w="9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170 </w:t>
            </w:r>
          </w:p>
        </w:tc>
        <w:tc>
          <w:tcPr>
            <w:tcW w:type="dxa" w:w="7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183 </w:t>
            </w:r>
          </w:p>
        </w:tc>
      </w:tr>
      <w:tr>
        <w:trPr>
          <w:trHeight w:hRule="exact" w:val="320"/>
        </w:trPr>
        <w:tc>
          <w:tcPr>
            <w:tcW w:type="dxa" w:w="66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</w:t>
            </w:r>
          </w:p>
        </w:tc>
        <w:tc>
          <w:tcPr>
            <w:tcW w:type="dxa" w:w="9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(2,389) </w:t>
            </w:r>
          </w:p>
        </w:tc>
        <w:tc>
          <w:tcPr>
            <w:tcW w:type="dxa" w:w="9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(2,226) </w:t>
            </w:r>
          </w:p>
        </w:tc>
        <w:tc>
          <w:tcPr>
            <w:tcW w:type="dxa" w:w="7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(2,154) </w:t>
            </w:r>
          </w:p>
        </w:tc>
      </w:tr>
      <w:tr>
        <w:trPr>
          <w:trHeight w:hRule="exact" w:val="296"/>
        </w:trPr>
        <w:tc>
          <w:tcPr>
            <w:tcW w:type="dxa" w:w="66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Board of Governors-approved transfers—Note 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</w:t>
            </w:r>
          </w:p>
        </w:tc>
        <w:tc>
          <w:tcPr>
            <w:tcW w:type="dxa" w:w="9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(815) </w:t>
            </w:r>
          </w:p>
        </w:tc>
        <w:tc>
          <w:tcPr>
            <w:tcW w:type="dxa" w:w="9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(371) </w:t>
            </w:r>
          </w:p>
        </w:tc>
        <w:tc>
          <w:tcPr>
            <w:tcW w:type="dxa" w:w="7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(221) </w:t>
            </w:r>
          </w:p>
        </w:tc>
      </w:tr>
      <w:tr>
        <w:trPr>
          <w:trHeight w:hRule="exact" w:val="258"/>
        </w:trPr>
        <w:tc>
          <w:tcPr>
            <w:tcW w:type="dxa" w:w="6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Currency remeasurement (losses) gains,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(44)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Unrealized mark-to-market gains on Investments-Trading portfolio,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2344"/>
        <w:gridCol w:w="2344"/>
        <w:gridCol w:w="2344"/>
        <w:gridCol w:w="2344"/>
      </w:tblGrid>
      <w:tr>
        <w:trPr>
          <w:trHeight w:hRule="exact" w:val="242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net—Notes F and J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Unrealized mark-to-market gains (losses) on non-trading portfolios,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24"/>
        </w:trPr>
        <w:tc>
          <w:tcPr>
            <w:tcW w:type="dxa" w:w="6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Loan-related derivatives—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D, F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</w:t>
            </w:r>
          </w:p>
        </w:tc>
        <w:tc>
          <w:tcPr>
            <w:tcW w:type="dxa" w:w="15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(1,372)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(458)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1,677 </w:t>
            </w:r>
          </w:p>
        </w:tc>
      </w:tr>
      <w:tr>
        <w:trPr>
          <w:trHeight w:hRule="exact" w:val="240"/>
        </w:trPr>
        <w:tc>
          <w:tcPr>
            <w:tcW w:type="dxa" w:w="6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asset/liability management derivatives, net—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F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</w:t>
            </w:r>
          </w:p>
        </w:tc>
        <w:tc>
          <w:tcPr>
            <w:tcW w:type="dxa" w:w="1875"/>
            <w:vMerge/>
            <w:tcBorders>
              <w:bottom w:sz="4.0" w:val="single" w:color="#221F1F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1,839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708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(1,642) </w:t>
            </w:r>
          </w:p>
        </w:tc>
      </w:tr>
      <w:tr>
        <w:trPr>
          <w:trHeight w:hRule="exact" w:val="240"/>
        </w:trPr>
        <w:tc>
          <w:tcPr>
            <w:tcW w:type="dxa" w:w="6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including derivatives—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Notes E, F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</w:t>
            </w:r>
          </w:p>
        </w:tc>
        <w:tc>
          <w:tcPr>
            <w:tcW w:type="dxa" w:w="1875"/>
            <w:vMerge/>
            <w:tcBorders>
              <w:bottom w:sz="4.0" w:val="single" w:color="#221F1F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(234)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(190) </w:t>
            </w:r>
          </w:p>
        </w:tc>
      </w:tr>
      <w:tr>
        <w:trPr>
          <w:trHeight w:hRule="exact" w:val="264"/>
        </w:trPr>
        <w:tc>
          <w:tcPr>
            <w:tcW w:type="dxa" w:w="66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Others, net—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Note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</w:t>
            </w:r>
          </w:p>
        </w:tc>
        <w:tc>
          <w:tcPr>
            <w:tcW w:type="dxa" w:w="1875"/>
            <w:vMerge/>
            <w:tcBorders>
              <w:bottom w:sz="4.0" w:val="single" w:color="#221F1F"/>
            </w:tcBorders>
          </w:tcPr>
          <w:p/>
        </w:tc>
        <w:tc>
          <w:tcPr>
            <w:tcW w:type="dxa" w:w="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 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20"/>
        </w:trPr>
        <w:tc>
          <w:tcPr>
            <w:tcW w:type="dxa" w:w="66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</w:t>
            </w:r>
          </w:p>
        </w:tc>
        <w:tc>
          <w:tcPr>
            <w:tcW w:type="dxa" w:w="1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256 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289 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(155) </w:t>
            </w:r>
          </w:p>
        </w:tc>
      </w:tr>
      <w:tr>
        <w:trPr>
          <w:trHeight w:hRule="exact" w:val="337"/>
        </w:trPr>
        <w:tc>
          <w:tcPr>
            <w:tcW w:type="dxa" w:w="66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income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9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2,100 $</w:t>
            </w:r>
          </w:p>
        </w:tc>
        <w:tc>
          <w:tcPr>
            <w:tcW w:type="dxa" w:w="15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2,142 $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1,144 </w:t>
            </w:r>
          </w:p>
        </w:tc>
      </w:tr>
    </w:tbl>
    <w:p>
      <w:pPr>
        <w:autoSpaceDN w:val="0"/>
        <w:autoSpaceDE w:val="0"/>
        <w:widowControl/>
        <w:spacing w:line="200" w:lineRule="exact" w:before="356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 xml:space="preserve">The Notes to Financial Statements are an integral part of these Statements. </w:t>
      </w:r>
    </w:p>
    <w:p>
      <w:pPr>
        <w:autoSpaceDN w:val="0"/>
        <w:autoSpaceDE w:val="0"/>
        <w:widowControl/>
        <w:spacing w:line="200" w:lineRule="exact" w:before="211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102 </w:t>
      </w:r>
    </w:p>
    <w:p>
      <w:pPr>
        <w:sectPr>
          <w:pgSz w:w="12240" w:h="15840"/>
          <w:pgMar w:top="720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4" w:lineRule="exact" w:before="438" w:after="0"/>
        <w:ind w:left="120" w:right="2016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OMPREHENSIVE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I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NCOME </w:t>
      </w:r>
      <w:r>
        <w:rPr>
          <w:rFonts w:ascii="Times" w:hAnsi="Times" w:eastAsia="Times"/>
          <w:b w:val="0"/>
          <w:i w:val="0"/>
          <w:color w:val="231F20"/>
          <w:sz w:val="24"/>
        </w:rPr>
        <w:t xml:space="preserve">For the fiscal years ended June 30, 2025, June 30, 2024 and June 30, 2023 </w:t>
      </w:r>
    </w:p>
    <w:p>
      <w:pPr>
        <w:autoSpaceDN w:val="0"/>
        <w:autoSpaceDE w:val="0"/>
        <w:widowControl/>
        <w:spacing w:line="200" w:lineRule="exact" w:before="150" w:after="17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4"/>
        <w:gridCol w:w="2344"/>
        <w:gridCol w:w="2344"/>
        <w:gridCol w:w="2344"/>
      </w:tblGrid>
      <w:tr>
        <w:trPr>
          <w:trHeight w:hRule="exact" w:val="254"/>
        </w:trPr>
        <w:tc>
          <w:tcPr>
            <w:tcW w:type="dxa" w:w="71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8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18"/>
        </w:trPr>
        <w:tc>
          <w:tcPr>
            <w:tcW w:type="dxa" w:w="71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income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214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$2,100 $2,142 $1,144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Other comprehensive income—Note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344"/>
        <w:gridCol w:w="2344"/>
        <w:gridCol w:w="2344"/>
        <w:gridCol w:w="2344"/>
      </w:tblGrid>
      <w:tr>
        <w:trPr>
          <w:trHeight w:hRule="exact" w:val="222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actuarial gains on benefit plans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3,420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251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2,103 </w:t>
            </w:r>
          </w:p>
        </w:tc>
      </w:tr>
      <w:tr>
        <w:trPr>
          <w:trHeight w:hRule="exact" w:val="258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Prior service credit on benefit plans, net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Net change in Debit Valuation Adjustment (DVA) on Fair Value Option elected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4"/>
        <w:gridCol w:w="2344"/>
        <w:gridCol w:w="2344"/>
        <w:gridCol w:w="2344"/>
      </w:tblGrid>
      <w:tr>
        <w:trPr>
          <w:trHeight w:hRule="exact" w:val="222"/>
        </w:trPr>
        <w:tc>
          <w:tcPr>
            <w:tcW w:type="dxa" w:w="712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460" w:right="144" w:firstLine="20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liabilities—Note J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Currency translation adjustments on functional currency gains (losses)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991 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322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(13) </w:t>
            </w:r>
          </w:p>
        </w:tc>
      </w:tr>
      <w:tr>
        <w:trPr>
          <w:trHeight w:hRule="exact" w:val="264"/>
        </w:trPr>
        <w:tc>
          <w:tcPr>
            <w:tcW w:type="dxa" w:w="2344"/>
            <w:vMerge/>
            <w:tcBorders>
              <w:bottom w:sz="4.0" w:val="single" w:color="#221F1F"/>
            </w:tcBorders>
          </w:tcPr>
          <w:p/>
        </w:tc>
        <w:tc>
          <w:tcPr>
            <w:tcW w:type="dxa" w:w="7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1,281 </w:t>
            </w:r>
          </w:p>
        </w:tc>
        <w:tc>
          <w:tcPr>
            <w:tcW w:type="dxa" w:w="7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(150) 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495 </w:t>
            </w:r>
          </w:p>
        </w:tc>
      </w:tr>
      <w:tr>
        <w:trPr>
          <w:trHeight w:hRule="exact" w:val="320"/>
        </w:trPr>
        <w:tc>
          <w:tcPr>
            <w:tcW w:type="dxa" w:w="71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other comprehensive income . . . . . . . . . . . . . . . . . . . . . . . . . . . . . . . . . . . .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5,700 </w:t>
            </w:r>
          </w:p>
        </w:tc>
        <w:tc>
          <w:tcPr>
            <w:tcW w:type="dxa" w:w="74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431 </w:t>
            </w:r>
          </w:p>
        </w:tc>
        <w:tc>
          <w:tcPr>
            <w:tcW w:type="dxa" w:w="6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2,605 </w:t>
            </w:r>
          </w:p>
        </w:tc>
      </w:tr>
      <w:tr>
        <w:trPr>
          <w:trHeight w:hRule="exact" w:val="337"/>
        </w:trPr>
        <w:tc>
          <w:tcPr>
            <w:tcW w:type="dxa" w:w="71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comprehensive income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</w:t>
            </w:r>
          </w:p>
        </w:tc>
        <w:tc>
          <w:tcPr>
            <w:tcW w:type="dxa" w:w="2176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$7,800 $2,573 $3,749 </w:t>
            </w:r>
          </w:p>
        </w:tc>
      </w:tr>
    </w:tbl>
    <w:p>
      <w:pPr>
        <w:autoSpaceDN w:val="0"/>
        <w:autoSpaceDE w:val="0"/>
        <w:widowControl/>
        <w:spacing w:line="200" w:lineRule="exact" w:before="86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103 </w:t>
      </w:r>
    </w:p>
    <w:p>
      <w:pPr>
        <w:sectPr>
          <w:pgSz w:w="12240" w:h="15840"/>
          <w:pgMar w:top="720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0" w:lineRule="exact" w:before="3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HANGES</w:t>
      </w:r>
      <w:r>
        <w:rPr>
          <w:rFonts w:ascii="Times" w:hAnsi="Times" w:eastAsia="Times"/>
          <w:b/>
          <w:i w:val="0"/>
          <w:color w:val="044A72"/>
          <w:sz w:val="28"/>
        </w:rPr>
        <w:t>IN</w:t>
      </w:r>
      <w:r>
        <w:rPr>
          <w:rFonts w:ascii="Times" w:hAnsi="Times" w:eastAsia="Times"/>
          <w:b/>
          <w:i w:val="0"/>
          <w:color w:val="044A72"/>
          <w:sz w:val="28"/>
        </w:rPr>
        <w:t>EQUITY</w:t>
      </w:r>
    </w:p>
    <w:p>
      <w:pPr>
        <w:autoSpaceDN w:val="0"/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For the fiscal years ended June 30, 2025, June 30, 2024 and June 30, 2023 </w:t>
      </w:r>
    </w:p>
    <w:p>
      <w:pPr>
        <w:autoSpaceDN w:val="0"/>
        <w:autoSpaceDE w:val="0"/>
        <w:widowControl/>
        <w:spacing w:line="200" w:lineRule="exact" w:before="150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322"/>
        </w:trPr>
        <w:tc>
          <w:tcPr>
            <w:tcW w:type="dxa" w:w="3518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1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Paid-in </w:t>
            </w:r>
          </w:p>
        </w:tc>
        <w:tc>
          <w:tcPr>
            <w:tcW w:type="dxa" w:w="1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Nonnegotiable, </w:t>
            </w:r>
          </w:p>
        </w:tc>
        <w:tc>
          <w:tcPr>
            <w:tcW w:type="dxa" w:w="9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1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Receivable </w:t>
            </w:r>
          </w:p>
        </w:tc>
        <w:tc>
          <w:tcPr>
            <w:tcW w:type="dxa" w:w="85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18" w:after="0"/>
              <w:ind w:left="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Retained </w:t>
            </w:r>
          </w:p>
        </w:tc>
        <w:tc>
          <w:tcPr>
            <w:tcW w:type="dxa" w:w="116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98" w:after="0"/>
              <w:ind w:left="7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Accumulated </w:t>
            </w:r>
          </w:p>
        </w:tc>
        <w:tc>
          <w:tcPr>
            <w:tcW w:type="dxa" w:w="74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60"/>
        </w:trPr>
        <w:tc>
          <w:tcPr>
            <w:tcW w:type="dxa" w:w="1339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noninterest-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and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9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bearing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deferred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9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4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demand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to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9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obligations on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maintain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9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6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account of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value of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6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other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9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subscribed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currency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comprehensive </w:t>
            </w:r>
          </w:p>
        </w:tc>
        <w:tc>
          <w:tcPr>
            <w:tcW w:type="dxa" w:w="1339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94"/>
        </w:trPr>
        <w:tc>
          <w:tcPr>
            <w:tcW w:type="dxa" w:w="1339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8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Capital </w:t>
            </w:r>
          </w:p>
        </w:tc>
        <w:tc>
          <w:tcPr>
            <w:tcW w:type="dxa" w:w="11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capital </w:t>
            </w:r>
          </w:p>
        </w:tc>
        <w:tc>
          <w:tcPr>
            <w:tcW w:type="dxa" w:w="90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holdings </w:t>
            </w:r>
          </w:p>
        </w:tc>
        <w:tc>
          <w:tcPr>
            <w:tcW w:type="dxa" w:w="85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earnings </w:t>
            </w:r>
          </w:p>
        </w:tc>
        <w:tc>
          <w:tcPr>
            <w:tcW w:type="dxa" w:w="11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income </w:t>
            </w:r>
          </w:p>
        </w:tc>
        <w:tc>
          <w:tcPr>
            <w:tcW w:type="dxa" w:w="7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equity </w:t>
            </w:r>
          </w:p>
        </w:tc>
      </w:tr>
      <w:tr>
        <w:trPr>
          <w:trHeight w:hRule="exact" w:val="300"/>
        </w:trPr>
        <w:tc>
          <w:tcPr>
            <w:tcW w:type="dxa" w:w="35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As of June 30, 2022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</w:t>
            </w:r>
          </w:p>
        </w:tc>
        <w:tc>
          <w:tcPr>
            <w:tcW w:type="dxa" w:w="85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$20,499 </w:t>
            </w:r>
          </w:p>
        </w:tc>
        <w:tc>
          <w:tcPr>
            <w:tcW w:type="dxa" w:w="118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$(316) </w:t>
            </w:r>
          </w:p>
        </w:tc>
        <w:tc>
          <w:tcPr>
            <w:tcW w:type="dxa" w:w="90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$(778) </w:t>
            </w:r>
          </w:p>
        </w:tc>
        <w:tc>
          <w:tcPr>
            <w:tcW w:type="dxa" w:w="85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$34,997 </w:t>
            </w:r>
          </w:p>
        </w:tc>
        <w:tc>
          <w:tcPr>
            <w:tcW w:type="dxa" w:w="11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918 </w:t>
            </w:r>
          </w:p>
        </w:tc>
        <w:tc>
          <w:tcPr>
            <w:tcW w:type="dxa" w:w="74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$55,320 </w:t>
            </w:r>
          </w:p>
        </w:tc>
      </w:tr>
      <w:tr>
        <w:trPr>
          <w:trHeight w:hRule="exact" w:val="240"/>
        </w:trPr>
        <w:tc>
          <w:tcPr>
            <w:tcW w:type="dxa" w:w="3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income . . .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1,144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1,144 </w:t>
            </w:r>
          </w:p>
        </w:tc>
      </w:tr>
      <w:tr>
        <w:trPr>
          <w:trHeight w:hRule="exact" w:val="240"/>
        </w:trPr>
        <w:tc>
          <w:tcPr>
            <w:tcW w:type="dxa" w:w="3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comprehensive income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2,605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2,605 </w:t>
            </w:r>
          </w:p>
        </w:tc>
      </w:tr>
      <w:tr>
        <w:trPr>
          <w:trHeight w:hRule="exact" w:val="258"/>
        </w:trPr>
        <w:tc>
          <w:tcPr>
            <w:tcW w:type="dxa" w:w="3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Subscriptions received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1,320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Demand obligations (received) encashed,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22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. . . . . . . . . . . . . . . . . . .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(8)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(8) </w:t>
            </w:r>
          </w:p>
        </w:tc>
      </w:tr>
      <w:tr>
        <w:trPr>
          <w:trHeight w:hRule="exact" w:val="240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Currency remeasurement changes, net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5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(19)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(15) </w:t>
            </w:r>
          </w:p>
        </w:tc>
      </w:tr>
      <w:tr>
        <w:trPr>
          <w:trHeight w:hRule="exact" w:val="264"/>
        </w:trPr>
        <w:tc>
          <w:tcPr>
            <w:tcW w:type="dxa" w:w="35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Receipts of MOV . . . . . . . . . . . . . . . . . . .</w:t>
            </w:r>
          </w:p>
        </w:tc>
        <w:tc>
          <w:tcPr>
            <w:tcW w:type="dxa" w:w="11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10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</w:tr>
      <w:tr>
        <w:trPr>
          <w:trHeight w:hRule="exact" w:val="296"/>
        </w:trPr>
        <w:tc>
          <w:tcPr>
            <w:tcW w:type="dxa" w:w="35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As of June 30, 2023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</w:t>
            </w:r>
          </w:p>
        </w:tc>
        <w:tc>
          <w:tcPr>
            <w:tcW w:type="dxa" w:w="11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21,819 </w:t>
            </w:r>
          </w:p>
        </w:tc>
        <w:tc>
          <w:tcPr>
            <w:tcW w:type="dxa" w:w="10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(320) </w:t>
            </w:r>
          </w:p>
        </w:tc>
        <w:tc>
          <w:tcPr>
            <w:tcW w:type="dxa" w:w="7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(781) </w:t>
            </w:r>
          </w:p>
        </w:tc>
        <w:tc>
          <w:tcPr>
            <w:tcW w:type="dxa" w:w="10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36,141 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3,523 </w:t>
            </w:r>
          </w:p>
        </w:tc>
        <w:tc>
          <w:tcPr>
            <w:tcW w:type="dxa" w:w="7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60,382 </w:t>
            </w:r>
          </w:p>
        </w:tc>
      </w:tr>
      <w:tr>
        <w:trPr>
          <w:trHeight w:hRule="exact" w:val="240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income . . . . . . . . . . . . . .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2,142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2,142 </w:t>
            </w:r>
          </w:p>
        </w:tc>
      </w:tr>
      <w:tr>
        <w:trPr>
          <w:trHeight w:hRule="exact" w:val="240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comprehensive income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431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431 </w:t>
            </w:r>
          </w:p>
        </w:tc>
      </w:tr>
      <w:tr>
        <w:trPr>
          <w:trHeight w:hRule="exact" w:val="258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Subscriptions received . . . . . .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633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Demand obligations (received) encashed,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22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. . . . . . . . . . . . . . . . . . .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Currency remeasurement changes, net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5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(132)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(122) </w:t>
            </w:r>
          </w:p>
        </w:tc>
      </w:tr>
      <w:tr>
        <w:trPr>
          <w:trHeight w:hRule="exact" w:val="264"/>
        </w:trPr>
        <w:tc>
          <w:tcPr>
            <w:tcW w:type="dxa" w:w="35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Receipts of MOV . . . . . . . . . . . . . . . . . . .</w:t>
            </w:r>
          </w:p>
        </w:tc>
        <w:tc>
          <w:tcPr>
            <w:tcW w:type="dxa" w:w="11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 </w:t>
            </w:r>
          </w:p>
        </w:tc>
        <w:tc>
          <w:tcPr>
            <w:tcW w:type="dxa" w:w="10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 </w:t>
            </w:r>
          </w:p>
        </w:tc>
      </w:tr>
      <w:tr>
        <w:trPr>
          <w:trHeight w:hRule="exact" w:val="296"/>
        </w:trPr>
        <w:tc>
          <w:tcPr>
            <w:tcW w:type="dxa" w:w="35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As of June 30, 2024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</w:t>
            </w:r>
          </w:p>
        </w:tc>
        <w:tc>
          <w:tcPr>
            <w:tcW w:type="dxa" w:w="11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22,452 </w:t>
            </w:r>
          </w:p>
        </w:tc>
        <w:tc>
          <w:tcPr>
            <w:tcW w:type="dxa" w:w="10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(310) </w:t>
            </w:r>
          </w:p>
        </w:tc>
        <w:tc>
          <w:tcPr>
            <w:tcW w:type="dxa" w:w="7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(895) </w:t>
            </w:r>
          </w:p>
        </w:tc>
        <w:tc>
          <w:tcPr>
            <w:tcW w:type="dxa" w:w="10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38,283 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3,954 </w:t>
            </w:r>
          </w:p>
        </w:tc>
        <w:tc>
          <w:tcPr>
            <w:tcW w:type="dxa" w:w="7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63,484 </w:t>
            </w:r>
          </w:p>
        </w:tc>
      </w:tr>
      <w:tr>
        <w:trPr>
          <w:trHeight w:hRule="exact" w:val="240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income . . . . . . . . . . . . . .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2,100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2,100 </w:t>
            </w:r>
          </w:p>
        </w:tc>
      </w:tr>
      <w:tr>
        <w:trPr>
          <w:trHeight w:hRule="exact" w:val="240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comprehensive income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5,700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5,700 </w:t>
            </w:r>
          </w:p>
        </w:tc>
      </w:tr>
      <w:tr>
        <w:trPr>
          <w:trHeight w:hRule="exact" w:val="258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Subscriptions received . . . . . .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459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459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Demand obligations (received) encashed,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22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. . . . . . . . . . . . . . . . . . . . . . . . . .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(2)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(2) </w:t>
            </w:r>
          </w:p>
        </w:tc>
      </w:tr>
      <w:tr>
        <w:trPr>
          <w:trHeight w:hRule="exact" w:val="240"/>
        </w:trPr>
        <w:tc>
          <w:tcPr>
            <w:tcW w:type="dxa" w:w="3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Currency remeasurement changes, net . .</w:t>
            </w:r>
          </w:p>
        </w:tc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(1)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258 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257 </w:t>
            </w:r>
          </w:p>
        </w:tc>
      </w:tr>
      <w:tr>
        <w:trPr>
          <w:trHeight w:hRule="exact" w:val="264"/>
        </w:trPr>
        <w:tc>
          <w:tcPr>
            <w:tcW w:type="dxa" w:w="35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Receipts of MOV . . . . . . . . . . . . . . . . . . .</w:t>
            </w:r>
          </w:p>
        </w:tc>
        <w:tc>
          <w:tcPr>
            <w:tcW w:type="dxa" w:w="11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10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</w:tr>
      <w:tr>
        <w:trPr>
          <w:trHeight w:hRule="exact" w:val="337"/>
        </w:trPr>
        <w:tc>
          <w:tcPr>
            <w:tcW w:type="dxa" w:w="35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As of June 30, 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</w:t>
            </w:r>
          </w:p>
        </w:tc>
        <w:tc>
          <w:tcPr>
            <w:tcW w:type="dxa" w:w="11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$22,911 </w:t>
            </w:r>
          </w:p>
        </w:tc>
        <w:tc>
          <w:tcPr>
            <w:tcW w:type="dxa" w:w="10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$(313) </w:t>
            </w:r>
          </w:p>
        </w:tc>
        <w:tc>
          <w:tcPr>
            <w:tcW w:type="dxa" w:w="7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$(623) </w:t>
            </w:r>
          </w:p>
        </w:tc>
        <w:tc>
          <w:tcPr>
            <w:tcW w:type="dxa" w:w="10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$40,383 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$9,654 </w:t>
            </w:r>
          </w:p>
        </w:tc>
        <w:tc>
          <w:tcPr>
            <w:tcW w:type="dxa" w:w="7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$72,012 </w:t>
            </w:r>
          </w:p>
        </w:tc>
      </w:tr>
    </w:tbl>
    <w:p>
      <w:pPr>
        <w:autoSpaceDN w:val="0"/>
        <w:autoSpaceDE w:val="0"/>
        <w:widowControl/>
        <w:spacing w:line="200" w:lineRule="exact" w:before="356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 xml:space="preserve">The Notes to Financial Statements are an integral part of these Statements. </w:t>
      </w:r>
    </w:p>
    <w:p>
      <w:pPr>
        <w:autoSpaceDN w:val="0"/>
        <w:autoSpaceDE w:val="0"/>
        <w:widowControl/>
        <w:spacing w:line="200" w:lineRule="exact" w:before="30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104 </w:t>
      </w:r>
    </w:p>
    <w:p>
      <w:pPr>
        <w:sectPr>
          <w:pgSz w:w="12240" w:h="15840"/>
          <w:pgMar w:top="720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0" w:lineRule="exact" w:before="3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ASH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F</w:t>
      </w:r>
      <w:r>
        <w:rPr>
          <w:rFonts w:ascii="Times" w:hAnsi="Times" w:eastAsia="Times"/>
          <w:b/>
          <w:i w:val="0"/>
          <w:color w:val="044A72"/>
          <w:sz w:val="28"/>
        </w:rPr>
        <w:t>LOWS</w:t>
      </w:r>
    </w:p>
    <w:p>
      <w:pPr>
        <w:autoSpaceDN w:val="0"/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For the fiscal years ended June 30, 2025, June 30, 2024 and June 30, 2023 </w:t>
      </w:r>
    </w:p>
    <w:p>
      <w:pPr>
        <w:autoSpaceDN w:val="0"/>
        <w:autoSpaceDE w:val="0"/>
        <w:widowControl/>
        <w:spacing w:line="200" w:lineRule="exact" w:before="150" w:after="5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10.0" w:type="dxa"/>
      </w:tblPr>
      <w:tblGrid>
        <w:gridCol w:w="3120"/>
        <w:gridCol w:w="3120"/>
        <w:gridCol w:w="3120"/>
      </w:tblGrid>
      <w:tr>
        <w:trPr>
          <w:trHeight w:hRule="exact" w:val="248"/>
        </w:trPr>
        <w:tc>
          <w:tcPr>
            <w:tcW w:type="dxa" w:w="77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9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7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</w:tbl>
    <w:p>
      <w:pPr>
        <w:autoSpaceDN w:val="0"/>
        <w:tabs>
          <w:tab w:pos="440" w:val="left"/>
        </w:tabs>
        <w:autoSpaceDE w:val="0"/>
        <w:widowControl/>
        <w:spacing w:line="182" w:lineRule="exact" w:before="44" w:after="10"/>
        <w:ind w:left="120" w:right="6768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Cash flows from investing activities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Loans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162"/>
        </w:trPr>
        <w:tc>
          <w:tcPr>
            <w:tcW w:type="dxa" w:w="689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Disbursements . . . . . . . . . . . . . . . . . . . . . . . . .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160" w:lineRule="exact" w:before="2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Principal repayments . . . . . . . . . . . . . . . . . . . .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160" w:lineRule="exact" w:before="2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Principal prepayments . . . . . . . . . . . . . . . . . . .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220" w:right="194" w:firstLine="32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Loan origination fees received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Net derivatives-loans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Other investing activities, net . . . . . . . . . . . . . . . . . . . . . . . . . . . . . . . . . . . . . . . . . . . . . . . . . . . . . . . . .</w:t>
            </w:r>
          </w:p>
        </w:tc>
        <w:tc>
          <w:tcPr>
            <w:tcW w:type="dxa" w:w="2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$(30,471) $(33,375) $(25,465) 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15,456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12,991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12,296 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529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344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472 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34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27 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84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76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66 </w:t>
            </w:r>
          </w:p>
        </w:tc>
      </w:tr>
      <w:tr>
        <w:trPr>
          <w:trHeight w:hRule="exact" w:val="224"/>
        </w:trPr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7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(246) 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(154) 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(141) </w:t>
            </w:r>
          </w:p>
        </w:tc>
      </w:tr>
      <w:tr>
        <w:trPr>
          <w:trHeight w:hRule="exact" w:val="267"/>
        </w:trPr>
        <w:tc>
          <w:tcPr>
            <w:tcW w:type="dxa" w:w="68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cash used in investing activities . . . . . . . . . . . . . . . . . . . . . . . . . . . . . . . . . . . . . . . . . . . .</w:t>
            </w:r>
          </w:p>
        </w:tc>
        <w:tc>
          <w:tcPr>
            <w:tcW w:type="dxa" w:w="7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(14,614) 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(20,081) </w:t>
            </w:r>
          </w:p>
        </w:tc>
        <w:tc>
          <w:tcPr>
            <w:tcW w:type="dxa" w:w="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(12,745) </w:t>
            </w:r>
          </w:p>
        </w:tc>
      </w:tr>
    </w:tbl>
    <w:p>
      <w:pPr>
        <w:autoSpaceDN w:val="0"/>
        <w:tabs>
          <w:tab w:pos="440" w:val="left"/>
        </w:tabs>
        <w:autoSpaceDE w:val="0"/>
        <w:widowControl/>
        <w:spacing w:line="182" w:lineRule="exact" w:before="32" w:after="10"/>
        <w:ind w:left="120" w:right="2304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Cash flows from financing activities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>Medium and long-term borrowings . . . . . . . . . . . . . . . . . . . . . . 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340"/>
        <w:gridCol w:w="2340"/>
        <w:gridCol w:w="2340"/>
        <w:gridCol w:w="2340"/>
      </w:tblGrid>
      <w:tr>
        <w:trPr>
          <w:trHeight w:hRule="exact" w:val="162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New issues . . . . . . . . . 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64,300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52,152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42,056 </w:t>
            </w:r>
          </w:p>
        </w:tc>
      </w:tr>
      <w:tr>
        <w:trPr>
          <w:trHeight w:hRule="exact" w:val="198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Retirements . . . . . . . . . 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(37,220)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(30,888)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(30,275) 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0"/>
        <w:ind w:left="4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Short-term borrowings (original maturities greater than 90 days)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162"/>
        </w:trPr>
        <w:tc>
          <w:tcPr>
            <w:tcW w:type="dxa" w:w="6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New issues . . .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26,573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20,483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25,358 </w:t>
            </w:r>
          </w:p>
        </w:tc>
      </w:tr>
      <w:tr>
        <w:trPr>
          <w:trHeight w:hRule="exact" w:val="180"/>
        </w:trPr>
        <w:tc>
          <w:tcPr>
            <w:tcW w:type="dxa" w:w="6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Retirements . . .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(23,076)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(22,270)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(25,846) </w:t>
            </w:r>
          </w:p>
        </w:tc>
      </w:tr>
      <w:tr>
        <w:trPr>
          <w:trHeight w:hRule="exact" w:val="180"/>
        </w:trPr>
        <w:tc>
          <w:tcPr>
            <w:tcW w:type="dxa" w:w="6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short-term borrowings (original maturities less than 90 days)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419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807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(4,716) </w:t>
            </w:r>
          </w:p>
        </w:tc>
      </w:tr>
      <w:tr>
        <w:trPr>
          <w:trHeight w:hRule="exact" w:val="180"/>
        </w:trPr>
        <w:tc>
          <w:tcPr>
            <w:tcW w:type="dxa" w:w="6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derivatives-borrowings . . . . . . . . . . . . . . . . . . . . . . . . . . . . . .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88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10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(787) </w:t>
            </w:r>
          </w:p>
        </w:tc>
      </w:tr>
      <w:tr>
        <w:trPr>
          <w:trHeight w:hRule="exact" w:val="180"/>
        </w:trPr>
        <w:tc>
          <w:tcPr>
            <w:tcW w:type="dxa" w:w="6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Capital subscriptions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459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633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1,320 </w:t>
            </w:r>
          </w:p>
        </w:tc>
      </w:tr>
      <w:tr>
        <w:trPr>
          <w:trHeight w:hRule="exact" w:val="224"/>
        </w:trPr>
        <w:tc>
          <w:tcPr>
            <w:tcW w:type="dxa" w:w="68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Other financing activities, net . . . . . . . . . . . . . . . . . . . . . . . . . . . . . . . . . . . . . . . . . . . . . . . . . . . . . . . . .</w:t>
            </w:r>
          </w:p>
        </w:tc>
        <w:tc>
          <w:tcPr>
            <w:tcW w:type="dxa" w:w="7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(6) </w:t>
            </w:r>
          </w:p>
        </w:tc>
        <w:tc>
          <w:tcPr>
            <w:tcW w:type="dxa" w:w="7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6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(5) </w:t>
            </w:r>
          </w:p>
        </w:tc>
      </w:tr>
      <w:tr>
        <w:trPr>
          <w:trHeight w:hRule="exact" w:val="267"/>
        </w:trPr>
        <w:tc>
          <w:tcPr>
            <w:tcW w:type="dxa" w:w="68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cash provided by financing activities . . . . . . . . . . . . . . . . . . . . . . . . . . . . . . . . . . . . . . . .</w:t>
            </w:r>
          </w:p>
        </w:tc>
        <w:tc>
          <w:tcPr>
            <w:tcW w:type="dxa" w:w="7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31,537 </w:t>
            </w:r>
          </w:p>
        </w:tc>
        <w:tc>
          <w:tcPr>
            <w:tcW w:type="dxa" w:w="7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20,927 </w:t>
            </w:r>
          </w:p>
        </w:tc>
        <w:tc>
          <w:tcPr>
            <w:tcW w:type="dxa" w:w="6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7,105 </w:t>
            </w:r>
          </w:p>
        </w:tc>
      </w:tr>
    </w:tbl>
    <w:p>
      <w:pPr>
        <w:autoSpaceDN w:val="0"/>
        <w:autoSpaceDE w:val="0"/>
        <w:widowControl/>
        <w:spacing w:line="160" w:lineRule="exact" w:before="56" w:after="1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Cash flows from operating activities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18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income . . . . . . 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2,100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2,142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1,144 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0"/>
        <w:ind w:left="4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Adjustments to reconcile net income to net cash (used in) provided by operating activities: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340"/>
        <w:gridCol w:w="2340"/>
        <w:gridCol w:w="2340"/>
        <w:gridCol w:w="2340"/>
      </w:tblGrid>
      <w:tr>
        <w:trPr>
          <w:trHeight w:hRule="exact" w:val="16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Unrealized mark-to-market (gains) losses on non-trading portfolios, net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(256)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(289)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155 </w:t>
            </w:r>
          </w:p>
        </w:tc>
      </w:tr>
      <w:tr>
        <w:trPr>
          <w:trHeight w:hRule="exact" w:val="180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Currency remeasurement losses (gains), net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(73)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(39) </w:t>
            </w:r>
          </w:p>
        </w:tc>
      </w:tr>
      <w:tr>
        <w:trPr>
          <w:trHeight w:hRule="exact" w:val="180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Depreciation and amortization and capitalized interest on loans, net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419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614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535 </w:t>
            </w:r>
          </w:p>
        </w:tc>
      </w:tr>
      <w:tr>
        <w:trPr>
          <w:trHeight w:hRule="exact" w:val="198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Provision for losses on loans and other exposures, (release) charge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(75)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94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685 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0"/>
        <w:ind w:left="4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Changes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340"/>
        <w:gridCol w:w="2340"/>
        <w:gridCol w:w="2340"/>
        <w:gridCol w:w="2340"/>
      </w:tblGrid>
      <w:tr>
        <w:trPr>
          <w:trHeight w:hRule="exact" w:val="162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Investments-Trading . . . . . . . . . . . . . . . . . .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(17,200)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(4,288)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3,173 </w:t>
            </w:r>
          </w:p>
        </w:tc>
      </w:tr>
      <w:tr>
        <w:trPr>
          <w:trHeight w:hRule="exact" w:val="180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investment securities purchased/traded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(410)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608 </w:t>
            </w:r>
          </w:p>
        </w:tc>
      </w:tr>
      <w:tr>
        <w:trPr>
          <w:trHeight w:hRule="exact" w:val="198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derivatives-investments . . . . . . . . . . . .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(1,200)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1,063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(826) 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0"/>
        <w:ind w:left="76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Net securities purchased/sold under resale/repurchase agreements and payable for cash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62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8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collateral received . . . . . . . . . . . . . . . . .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132 </w:t>
            </w:r>
          </w:p>
        </w:tc>
        <w:tc>
          <w:tcPr>
            <w:tcW w:type="dxa" w:w="17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128 </w:t>
            </w:r>
          </w:p>
        </w:tc>
        <w:tc>
          <w:tcPr>
            <w:tcW w:type="dxa" w:w="11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(94) </w:t>
            </w:r>
          </w:p>
        </w:tc>
      </w:tr>
      <w:tr>
        <w:trPr>
          <w:trHeight w:hRule="exact" w:val="18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7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Accrued income on loans and guarantee fees receivable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549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(676)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(2,230) </w:t>
            </w:r>
          </w:p>
        </w:tc>
      </w:tr>
      <w:tr>
        <w:trPr>
          <w:trHeight w:hRule="exact" w:val="18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7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Miscellaneous assets . . . . . . . . . . . . . . . . .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(373)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232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(4) </w:t>
            </w:r>
          </w:p>
        </w:tc>
      </w:tr>
      <w:tr>
        <w:trPr>
          <w:trHeight w:hRule="exact" w:val="18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7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Accrued interest on borrowings . . . . . . . .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(1,704)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393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2,051 </w:t>
            </w:r>
          </w:p>
        </w:tc>
      </w:tr>
      <w:tr>
        <w:trPr>
          <w:trHeight w:hRule="exact" w:val="18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7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Accounts payable and miscellaneous liabilities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593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232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463 </w:t>
            </w:r>
          </w:p>
        </w:tc>
      </w:tr>
      <w:tr>
        <w:trPr>
          <w:trHeight w:hRule="exact" w:val="224"/>
        </w:trPr>
        <w:tc>
          <w:tcPr>
            <w:tcW w:type="dxa" w:w="70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7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Pension and other post-retirement benefits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15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(59)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86 </w:t>
            </w:r>
          </w:p>
        </w:tc>
      </w:tr>
      <w:tr>
        <w:trPr>
          <w:trHeight w:hRule="exact" w:val="260"/>
        </w:trPr>
        <w:tc>
          <w:tcPr>
            <w:tcW w:type="dxa" w:w="70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10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cash (used in) provided by operating activities . . . . . . . . . . . . . . . . . . . . . . . . . . . . . . . .</w:t>
            </w:r>
          </w:p>
        </w:tc>
        <w:tc>
          <w:tcPr>
            <w:tcW w:type="dxa" w:w="77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(16,932) </w:t>
            </w:r>
          </w:p>
        </w:tc>
        <w:tc>
          <w:tcPr>
            <w:tcW w:type="dxa" w:w="1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(897) </w:t>
            </w:r>
          </w:p>
        </w:tc>
        <w:tc>
          <w:tcPr>
            <w:tcW w:type="dxa" w:w="1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5,707 </w:t>
            </w:r>
          </w:p>
        </w:tc>
      </w:tr>
      <w:tr>
        <w:trPr>
          <w:trHeight w:hRule="exact" w:val="260"/>
        </w:trPr>
        <w:tc>
          <w:tcPr>
            <w:tcW w:type="dxa" w:w="70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Effect of exchange rate changes on unrestricted and restricted cash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</w:t>
            </w:r>
          </w:p>
        </w:tc>
        <w:tc>
          <w:tcPr>
            <w:tcW w:type="dxa" w:w="77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 </w:t>
            </w:r>
          </w:p>
        </w:tc>
        <w:tc>
          <w:tcPr>
            <w:tcW w:type="dxa" w:w="1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(6) </w:t>
            </w:r>
          </w:p>
        </w:tc>
        <w:tc>
          <w:tcPr>
            <w:tcW w:type="dxa" w:w="1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 </w:t>
            </w:r>
          </w:p>
        </w:tc>
      </w:tr>
      <w:tr>
        <w:trPr>
          <w:trHeight w:hRule="exact" w:val="216"/>
        </w:trPr>
        <w:tc>
          <w:tcPr>
            <w:tcW w:type="dxa" w:w="70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Net (decrease) increase in unrestricted and restricted cash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</w:t>
            </w:r>
          </w:p>
        </w:tc>
        <w:tc>
          <w:tcPr>
            <w:tcW w:type="dxa" w:w="77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(5) </w:t>
            </w:r>
          </w:p>
        </w:tc>
        <w:tc>
          <w:tcPr>
            <w:tcW w:type="dxa" w:w="17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(57) </w:t>
            </w:r>
          </w:p>
        </w:tc>
        <w:tc>
          <w:tcPr>
            <w:tcW w:type="dxa" w:w="118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68 </w:t>
            </w:r>
          </w:p>
        </w:tc>
      </w:tr>
      <w:tr>
        <w:trPr>
          <w:trHeight w:hRule="exact" w:val="224"/>
        </w:trPr>
        <w:tc>
          <w:tcPr>
            <w:tcW w:type="dxa" w:w="70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Unrestricted and restricted cash at the beginning of the fiscal year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</w:t>
            </w:r>
          </w:p>
        </w:tc>
        <w:tc>
          <w:tcPr>
            <w:tcW w:type="dxa" w:w="77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490 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547 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479 </w:t>
            </w:r>
          </w:p>
        </w:tc>
      </w:tr>
      <w:tr>
        <w:trPr>
          <w:trHeight w:hRule="exact" w:val="272"/>
        </w:trPr>
        <w:tc>
          <w:tcPr>
            <w:tcW w:type="dxa" w:w="70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Unrestricted and restricted cash at the end of the fiscal year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</w:t>
            </w:r>
          </w:p>
        </w:tc>
        <w:tc>
          <w:tcPr>
            <w:tcW w:type="dxa" w:w="2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5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485 </w:t>
            </w:r>
          </w:p>
        </w:tc>
        <w:tc>
          <w:tcPr>
            <w:tcW w:type="dxa" w:w="1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6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490 </w:t>
            </w:r>
          </w:p>
        </w:tc>
        <w:tc>
          <w:tcPr>
            <w:tcW w:type="dxa" w:w="1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547 </w:t>
            </w:r>
          </w:p>
        </w:tc>
      </w:tr>
    </w:tbl>
    <w:p>
      <w:pPr>
        <w:autoSpaceDN w:val="0"/>
        <w:tabs>
          <w:tab w:pos="440" w:val="left"/>
        </w:tabs>
        <w:autoSpaceDE w:val="0"/>
        <w:widowControl/>
        <w:spacing w:line="182" w:lineRule="exact" w:before="68" w:after="10"/>
        <w:ind w:left="120" w:right="3744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Supplemental disclosure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Increase (decrease) in ending balances resulting from exchange rate fluctuations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6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Loans outstanding . . . . . . . . . . . . . . . . . . . . . . . . . . . . . . . . . . . . . . . . . . . . . . . . . . . . . . . . . . . . . .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5,105 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(822) $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1,817 </w:t>
            </w:r>
          </w:p>
        </w:tc>
      </w:tr>
      <w:tr>
        <w:trPr>
          <w:trHeight w:hRule="exact" w:val="18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Investment portfolio . . . . . . . . . . . . . . . . . . . . . . . . . . . . . . . . . . . . . . . . . . . . . . . . . . . . . . . . . . . .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231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17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 </w:t>
            </w:r>
          </w:p>
        </w:tc>
      </w:tr>
      <w:tr>
        <w:trPr>
          <w:trHeight w:hRule="exact" w:val="18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Borrowing portfolio . . . . . . . . . . . . . . . . . . . . . . . . . . . . . . . . . . . . . . . . . . . . . . . . . . . . . . . . . . . .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4,148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(577)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1,397 </w:t>
            </w:r>
          </w:p>
        </w:tc>
      </w:tr>
      <w:tr>
        <w:trPr>
          <w:trHeight w:hRule="exact" w:val="18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Capitalized interest and loan origination fees included in total loans . . . . . . . . . . . . . . . . . . . . . . . . . . .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308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155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73 </w:t>
            </w:r>
          </w:p>
        </w:tc>
      </w:tr>
      <w:tr>
        <w:trPr>
          <w:trHeight w:hRule="exact" w:val="248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Interest paid on borrowing portfolio . . . . . . . . . . . . . . . . . . . . . . . . . . . . . . . . . . . . . . . . . . . . . . . . . . . .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16,046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14,265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6,948 </w:t>
            </w:r>
          </w:p>
        </w:tc>
      </w:tr>
    </w:tbl>
    <w:p>
      <w:pPr>
        <w:autoSpaceDN w:val="0"/>
        <w:autoSpaceDE w:val="0"/>
        <w:widowControl/>
        <w:spacing w:line="200" w:lineRule="exact" w:before="228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 xml:space="preserve">The Notes to Financial Statements are an integral part of these Statements. </w:t>
      </w:r>
    </w:p>
    <w:p>
      <w:pPr>
        <w:autoSpaceDN w:val="0"/>
        <w:autoSpaceDE w:val="0"/>
        <w:widowControl/>
        <w:spacing w:line="200" w:lineRule="exact" w:before="65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105 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50" w:lineRule="exact" w:before="242" w:after="0"/>
        <w:ind w:left="120" w:right="4032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UMMARY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L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OANS </w:t>
      </w: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p>
      <w:pPr>
        <w:autoSpaceDN w:val="0"/>
        <w:autoSpaceDE w:val="0"/>
        <w:widowControl/>
        <w:spacing w:line="160" w:lineRule="exact" w:before="316" w:after="38"/>
        <w:ind w:left="0" w:right="245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Undisbursed balance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03"/>
        </w:trPr>
        <w:tc>
          <w:tcPr>
            <w:tcW w:type="dxa" w:w="388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Borrower </w:t>
            </w:r>
          </w:p>
        </w:tc>
        <w:tc>
          <w:tcPr>
            <w:tcW w:type="dxa" w:w="1100"/>
            <w:gridSpan w:val="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loans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Signed loan 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of </w:t>
            </w:r>
          </w:p>
        </w:tc>
      </w:tr>
      <w:tr>
        <w:trPr>
          <w:trHeight w:hRule="exact" w:val="160"/>
        </w:trPr>
        <w:tc>
          <w:tcPr>
            <w:tcW w:type="dxa" w:w="936"/>
            <w:vMerge/>
            <w:tcBorders>
              <w:bottom w:sz="8.0" w:val="single" w:color="#221F1F"/>
            </w:tcBorders>
          </w:tcPr>
          <w:p/>
        </w:tc>
        <w:tc>
          <w:tcPr>
            <w:tcW w:type="dxa" w:w="1872"/>
            <w:gridSpan w:val="2"/>
            <w:vMerge/>
            <w:tcBorders>
              <w:bottom w:sz="8.0" w:val="single" w:color="#221F1F"/>
            </w:tcBorders>
          </w:tcPr>
          <w:p/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approved but 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loans </w:t>
            </w:r>
          </w:p>
        </w:tc>
      </w:tr>
      <w:tr>
        <w:trPr>
          <w:trHeight w:hRule="exact" w:val="174"/>
        </w:trPr>
        <w:tc>
          <w:tcPr>
            <w:tcW w:type="dxa" w:w="936"/>
            <w:vMerge/>
            <w:tcBorders>
              <w:bottom w:sz="8.0" w:val="single" w:color="#221F1F"/>
            </w:tcBorders>
          </w:tcPr>
          <w:p/>
        </w:tc>
        <w:tc>
          <w:tcPr>
            <w:tcW w:type="dxa" w:w="1872"/>
            <w:gridSpan w:val="2"/>
            <w:vMerge/>
            <w:tcBorders>
              <w:bottom w:sz="8.0" w:val="single" w:color="#221F1F"/>
            </w:tcBorders>
          </w:tcPr>
          <w:p/>
        </w:tc>
        <w:tc>
          <w:tcPr>
            <w:tcW w:type="dxa" w:w="110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not yet signed </w:t>
            </w:r>
          </w:p>
        </w:tc>
        <w:tc>
          <w:tcPr>
            <w:tcW w:type="dxa" w:w="104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commitment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c</w:t>
            </w:r>
          </w:p>
        </w:tc>
        <w:tc>
          <w:tcPr>
            <w:tcW w:type="dxa" w:w="102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  <w:tc>
          <w:tcPr>
            <w:tcW w:type="dxa" w:w="10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d</w:t>
            </w:r>
          </w:p>
        </w:tc>
      </w:tr>
      <w:tr>
        <w:trPr>
          <w:trHeight w:hRule="exact" w:val="220"/>
        </w:trPr>
        <w:tc>
          <w:tcPr>
            <w:tcW w:type="dxa" w:w="388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Albania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</w:t>
            </w:r>
          </w:p>
        </w:tc>
        <w:tc>
          <w:tcPr>
            <w:tcW w:type="dxa" w:w="42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1,679 </w:t>
            </w:r>
          </w:p>
        </w:tc>
        <w:tc>
          <w:tcPr>
            <w:tcW w:type="dxa" w:w="48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44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624 </w:t>
            </w:r>
          </w:p>
        </w:tc>
        <w:tc>
          <w:tcPr>
            <w:tcW w:type="dxa" w:w="38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1,055 </w:t>
            </w:r>
          </w:p>
        </w:tc>
        <w:tc>
          <w:tcPr>
            <w:tcW w:type="dxa" w:w="106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0.37%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Angola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7,621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250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2,467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4,904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1.73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Antigua and Barbuda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Argentina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15,748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230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3,397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12,121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4.28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Armenia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1,494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196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197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1,101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0.39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Azerbaijan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1,289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333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956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0.34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Bahamas, The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0.04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Barbados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303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30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54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219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0.08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Belarus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1,012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1,012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0.36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Belize .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111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70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0.02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Bolivia, Plurinational State of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1,568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621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947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0.33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Bosnia and Herzegovina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1,481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94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550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837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0.30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Botswana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784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118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666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0.24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Brazil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21,795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4,258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2,154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15,383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5.43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Bulgaria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67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67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0.02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Cabo Verde, Republic of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0.01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Cameroon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1,159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282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877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0.31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Chile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150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583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167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0.06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China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19,775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764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4,666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14,345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5.07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Colombia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18,077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700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807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16,570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5.85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Congo, Republic of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551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280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271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0.10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Costa Rica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3,154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335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1,334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1,485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0.52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Côte d’Ivoire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180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180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0.06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Croatia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1,785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487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1,298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0.46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Dominican Republic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3,703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1,349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2,354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0.83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Ecuador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7,018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675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6,343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2.24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Egypt, Arab Republic of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14,510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1,930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12,580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4.44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El Salvador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2,188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120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1,051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1,017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0.36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Eswatini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429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65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40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324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0.11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Fiji . . .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204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25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179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0.06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Gabon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988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163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168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657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0.23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Georgia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2,346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589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1,757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0.62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Grenada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14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Guatemala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2,524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400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26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2,098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0.74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India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34,455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910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8,959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24,586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8.69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Indonesia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29,799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2,226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6,228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21,345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7.54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Iran, Islamic Republic of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139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0.05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Iraq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4,047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930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421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2,696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0.95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Jamaica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1,229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128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1,101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0.39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Jordan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8,016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2,277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5,739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2.03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Kazakhstan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4,645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655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211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3,779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1.33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Kenya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2,028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2,025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0.72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Kosovo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86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86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0.03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Lebanon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2,294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250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907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1,137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0.40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Mauritius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272 </w:t>
            </w:r>
          </w:p>
        </w:tc>
        <w:tc>
          <w:tcPr>
            <w:tcW w:type="dxa" w:w="110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184 </w:t>
            </w:r>
          </w:p>
        </w:tc>
        <w:tc>
          <w:tcPr>
            <w:tcW w:type="dxa" w:w="102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88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0.03 </w:t>
            </w:r>
          </w:p>
        </w:tc>
      </w:tr>
      <w:tr>
        <w:trPr>
          <w:trHeight w:hRule="exact" w:val="21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Mexico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13,827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13,827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4.88%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Moldova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862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525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337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0.12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Mongolia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280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224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0.02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Montenegro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380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85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295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0.10 </w:t>
            </w:r>
          </w:p>
        </w:tc>
      </w:tr>
      <w:tr>
        <w:trPr>
          <w:trHeight w:hRule="exact" w:val="252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Morocco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16,506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619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3,778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12,109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4.28 </w:t>
            </w:r>
          </w:p>
        </w:tc>
      </w:tr>
    </w:tbl>
    <w:p>
      <w:pPr>
        <w:autoSpaceDN w:val="0"/>
        <w:autoSpaceDE w:val="0"/>
        <w:widowControl/>
        <w:spacing w:line="200" w:lineRule="exact" w:before="31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106 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UMMARY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L</w:t>
      </w:r>
      <w:r>
        <w:rPr>
          <w:rFonts w:ascii="Times" w:hAnsi="Times" w:eastAsia="Times"/>
          <w:b/>
          <w:i w:val="0"/>
          <w:color w:val="044A72"/>
          <w:sz w:val="28"/>
        </w:rPr>
        <w:t>OANS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3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</w:p>
    <w:p>
      <w:pPr>
        <w:autoSpaceDN w:val="0"/>
        <w:autoSpaceDE w:val="0"/>
        <w:widowControl/>
        <w:spacing w:line="180" w:lineRule="exact" w:before="14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p>
      <w:pPr>
        <w:autoSpaceDN w:val="0"/>
        <w:autoSpaceDE w:val="0"/>
        <w:widowControl/>
        <w:spacing w:line="160" w:lineRule="exact" w:before="316" w:after="38"/>
        <w:ind w:left="0" w:right="245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Undisbursed balance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3"/>
        </w:trPr>
        <w:tc>
          <w:tcPr>
            <w:tcW w:type="dxa" w:w="388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Borrower </w:t>
            </w:r>
          </w:p>
        </w:tc>
        <w:tc>
          <w:tcPr>
            <w:tcW w:type="dxa" w:w="119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loans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9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Signed loan </w:t>
            </w:r>
          </w:p>
        </w:tc>
        <w:tc>
          <w:tcPr>
            <w:tcW w:type="dxa" w:w="10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27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of </w:t>
            </w:r>
          </w:p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approved but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loans </w:t>
            </w:r>
          </w:p>
        </w:tc>
      </w:tr>
      <w:tr>
        <w:trPr>
          <w:trHeight w:hRule="exact" w:val="174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not yet signed </w:t>
            </w:r>
          </w:p>
        </w:tc>
        <w:tc>
          <w:tcPr>
            <w:tcW w:type="dxa" w:w="96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commitment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c</w:t>
            </w:r>
          </w:p>
        </w:tc>
        <w:tc>
          <w:tcPr>
            <w:tcW w:type="dxa" w:w="109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  <w:tc>
          <w:tcPr>
            <w:tcW w:type="dxa" w:w="10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d</w:t>
            </w:r>
          </w:p>
        </w:tc>
      </w:tr>
      <w:tr>
        <w:trPr>
          <w:trHeight w:hRule="exact" w:val="230"/>
        </w:trPr>
        <w:tc>
          <w:tcPr>
            <w:tcW w:type="dxa" w:w="388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Namibia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</w:t>
            </w:r>
          </w:p>
        </w:tc>
        <w:tc>
          <w:tcPr>
            <w:tcW w:type="dxa" w:w="119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100 </w:t>
            </w:r>
          </w:p>
        </w:tc>
        <w:tc>
          <w:tcPr>
            <w:tcW w:type="dxa" w:w="100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100 </w:t>
            </w:r>
          </w:p>
        </w:tc>
        <w:tc>
          <w:tcPr>
            <w:tcW w:type="dxa" w:w="109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6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Nigeria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2,916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1,570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1,346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0.48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North Macedonia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966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17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210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739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0.26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Pakistan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5,227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2,408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2,819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1.00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Panama .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2,093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128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1,965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0.70 </w:t>
            </w:r>
          </w:p>
        </w:tc>
      </w:tr>
      <w:tr>
        <w:trPr>
          <w:trHeight w:hRule="exact" w:val="22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Papua New Guinea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80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76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Paraguay .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1,449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323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1,126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0.40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Peru . . . . .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7,135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650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927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5,558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1.96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Philippines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19,612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4,091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15,521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5.48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Poland . . .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5,882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147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5,735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2.03 </w:t>
            </w:r>
          </w:p>
        </w:tc>
      </w:tr>
      <w:tr>
        <w:trPr>
          <w:trHeight w:hRule="exact" w:val="22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Romania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8,134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1,367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6,767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2.39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Serbia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3,392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864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2,528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0.89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Seychelles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208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18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182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0.07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South Africa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5,445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1,937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3,508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1.24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Sri Lanka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1,230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171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1,059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0.37 </w:t>
            </w:r>
          </w:p>
        </w:tc>
      </w:tr>
      <w:tr>
        <w:trPr>
          <w:trHeight w:hRule="exact" w:val="22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St. Lucia .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Suriname .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58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27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0.01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Thailand . .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458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458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0.16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Timor-Leste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*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Trinidad and Tobago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20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0.01 </w:t>
            </w:r>
          </w:p>
        </w:tc>
      </w:tr>
      <w:tr>
        <w:trPr>
          <w:trHeight w:hRule="exact" w:val="22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Tunisia . .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6,660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568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1,311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4,781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1.69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Türkiye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25,217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887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10,922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13,408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4.74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Turkmenistan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20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20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0.01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Ukraine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17,505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641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16,864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5.96 </w:t>
            </w:r>
          </w:p>
        </w:tc>
      </w:tr>
      <w:tr>
        <w:trPr>
          <w:trHeight w:hRule="exact" w:val="200"/>
        </w:trPr>
        <w:tc>
          <w:tcPr>
            <w:tcW w:type="dxa" w:w="38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Uruguay . . . . . . . . . . . . . . . . . . . . . . . . . . . . . . . . . . .</w:t>
            </w:r>
          </w:p>
        </w:tc>
        <w:tc>
          <w:tcPr>
            <w:tcW w:type="dxa" w:w="11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1,500 </w:t>
            </w:r>
          </w:p>
        </w:tc>
        <w:tc>
          <w:tcPr>
            <w:tcW w:type="dxa" w:w="100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59 </w:t>
            </w:r>
          </w:p>
        </w:tc>
        <w:tc>
          <w:tcPr>
            <w:tcW w:type="dxa" w:w="109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1,441 </w:t>
            </w:r>
          </w:p>
        </w:tc>
        <w:tc>
          <w:tcPr>
            <w:tcW w:type="dxa" w:w="10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0.51 </w:t>
            </w:r>
          </w:p>
        </w:tc>
      </w:tr>
      <w:tr>
        <w:trPr>
          <w:trHeight w:hRule="exact" w:val="22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Uzbekistan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3,634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257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3,377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1.19 </w:t>
            </w:r>
          </w:p>
        </w:tc>
      </w:tr>
      <w:tr>
        <w:trPr>
          <w:trHeight w:hRule="exact" w:val="180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Viet Nam . . . . . . . . . . . . . . . . . . . . . . . . . . . . . . . . . .</w:t>
            </w:r>
          </w:p>
        </w:tc>
        <w:tc>
          <w:tcPr>
            <w:tcW w:type="dxa" w:w="1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2,588 </w:t>
            </w:r>
          </w:p>
        </w:tc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508 </w:t>
            </w:r>
          </w:p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2,080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0.74 </w:t>
            </w:r>
          </w:p>
        </w:tc>
      </w:tr>
      <w:tr>
        <w:trPr>
          <w:trHeight w:hRule="exact" w:val="228"/>
        </w:trPr>
        <w:tc>
          <w:tcPr>
            <w:tcW w:type="dxa" w:w="38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Zimbabwe . . . . . . . . . . . . . . . . . . . . . . . . . . . . . . . . .</w:t>
            </w:r>
          </w:p>
        </w:tc>
        <w:tc>
          <w:tcPr>
            <w:tcW w:type="dxa" w:w="11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426 </w:t>
            </w:r>
          </w:p>
        </w:tc>
        <w:tc>
          <w:tcPr>
            <w:tcW w:type="dxa" w:w="10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10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426 </w:t>
            </w:r>
          </w:p>
        </w:tc>
        <w:tc>
          <w:tcPr>
            <w:tcW w:type="dxa" w:w="10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0.15 </w:t>
            </w:r>
          </w:p>
        </w:tc>
      </w:tr>
      <w:tr>
        <w:trPr>
          <w:trHeight w:hRule="exact" w:val="264"/>
        </w:trPr>
        <w:tc>
          <w:tcPr>
            <w:tcW w:type="dxa" w:w="38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Total-June 30, 2025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11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$ 375,435 </w:t>
            </w:r>
          </w:p>
        </w:tc>
        <w:tc>
          <w:tcPr>
            <w:tcW w:type="dxa" w:w="10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$ 15,475 </w:t>
            </w:r>
          </w:p>
        </w:tc>
        <w:tc>
          <w:tcPr>
            <w:tcW w:type="dxa" w:w="9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$ 76,870 </w:t>
            </w:r>
          </w:p>
        </w:tc>
        <w:tc>
          <w:tcPr>
            <w:tcW w:type="dxa" w:w="10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3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$ 283,090 </w:t>
            </w:r>
          </w:p>
        </w:tc>
        <w:tc>
          <w:tcPr>
            <w:tcW w:type="dxa" w:w="10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100% </w:t>
            </w:r>
          </w:p>
        </w:tc>
      </w:tr>
      <w:tr>
        <w:trPr>
          <w:trHeight w:hRule="exact" w:val="304"/>
        </w:trPr>
        <w:tc>
          <w:tcPr>
            <w:tcW w:type="dxa" w:w="38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Total-June 30, 2024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11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$ 348,248 </w:t>
            </w:r>
          </w:p>
        </w:tc>
        <w:tc>
          <w:tcPr>
            <w:tcW w:type="dxa" w:w="10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$ 18,297 </w:t>
            </w:r>
          </w:p>
        </w:tc>
        <w:tc>
          <w:tcPr>
            <w:tcW w:type="dxa" w:w="9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$ 66,761 </w:t>
            </w:r>
          </w:p>
        </w:tc>
        <w:tc>
          <w:tcPr>
            <w:tcW w:type="dxa" w:w="10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3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$ 263,190 </w:t>
            </w:r>
          </w:p>
        </w:tc>
        <w:tc>
          <w:tcPr>
            <w:tcW w:type="dxa" w:w="10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8"/>
        </w:trPr>
        <w:tc>
          <w:tcPr>
            <w:tcW w:type="dxa" w:w="38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Notes </w:t>
      </w:r>
    </w:p>
    <w:p>
      <w:pPr>
        <w:autoSpaceDN w:val="0"/>
        <w:tabs>
          <w:tab w:pos="500" w:val="left"/>
        </w:tabs>
        <w:autoSpaceDE w:val="0"/>
        <w:widowControl/>
        <w:spacing w:line="216" w:lineRule="exact" w:before="11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9"/>
        </w:rPr>
        <w:t xml:space="preserve">a.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Indicates a country for which a guarantee is provided under an Exposure Exchange Agreement (EEA) with a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multilateral development organization (see Note D—Loans and Other Exposures). The amount of the guarantees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is not included in the figures in the Statement above. </w:t>
      </w:r>
    </w:p>
    <w:p>
      <w:pPr>
        <w:autoSpaceDN w:val="0"/>
        <w:tabs>
          <w:tab w:pos="500" w:val="left"/>
        </w:tabs>
        <w:autoSpaceDE w:val="0"/>
        <w:widowControl/>
        <w:spacing w:line="216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9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Indicates a country for which a guarantee has been received, under an EEA with a multilateral development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organization or from another guarantee provider (see Note D—Loans and Other Exposures). The effect of the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guarantee is not included in the figures in the Statement above. </w:t>
      </w:r>
    </w:p>
    <w:p>
      <w:pPr>
        <w:autoSpaceDN w:val="0"/>
        <w:tabs>
          <w:tab w:pos="500" w:val="left"/>
        </w:tabs>
        <w:autoSpaceDE w:val="0"/>
        <w:widowControl/>
        <w:spacing w:line="216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9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Loan agreements totaling $6,656 million ($7,624 million—June 30, 2024) have been signed, but the loans are not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effective and disbursements do not start until the borrowers and/or guarantors take certain actions and furnish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documents. </w:t>
      </w:r>
    </w:p>
    <w:p>
      <w:pPr>
        <w:autoSpaceDN w:val="0"/>
        <w:tabs>
          <w:tab w:pos="500" w:val="left"/>
        </w:tabs>
        <w:autoSpaceDE w:val="0"/>
        <w:widowControl/>
        <w:spacing w:line="190" w:lineRule="exact" w:before="2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9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May differ from the calculated figures or sum of individual figures shown due to rounding. </w:t>
      </w:r>
    </w:p>
    <w:p>
      <w:pPr>
        <w:autoSpaceDN w:val="0"/>
        <w:tabs>
          <w:tab w:pos="500" w:val="left"/>
        </w:tabs>
        <w:autoSpaceDE w:val="0"/>
        <w:widowControl/>
        <w:spacing w:line="190" w:lineRule="exact" w:before="2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9"/>
        </w:rPr>
        <w:t xml:space="preserve">* </w:t>
      </w:r>
      <w:r>
        <w:tab/>
      </w:r>
      <w:r>
        <w:rPr>
          <w:rFonts w:ascii="Times" w:hAnsi="Times" w:eastAsia="Times"/>
          <w:b w:val="0"/>
          <w:i/>
          <w:color w:val="231F20"/>
          <w:sz w:val="19"/>
        </w:rPr>
        <w:t xml:space="preserve">Indicates amount less than $0.5 million or 0.005% </w:t>
      </w:r>
    </w:p>
    <w:p>
      <w:pPr>
        <w:autoSpaceDN w:val="0"/>
        <w:autoSpaceDE w:val="0"/>
        <w:widowControl/>
        <w:spacing w:line="200" w:lineRule="exact" w:before="544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 xml:space="preserve">The Notes to Financial Statements are an integral part of these Statements. </w:t>
      </w:r>
    </w:p>
    <w:p>
      <w:pPr>
        <w:autoSpaceDN w:val="0"/>
        <w:autoSpaceDE w:val="0"/>
        <w:widowControl/>
        <w:spacing w:line="200" w:lineRule="exact" w:before="29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107 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0" w:lineRule="exact" w:before="332" w:after="0"/>
        <w:ind w:left="120" w:right="3312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TO </w:t>
      </w:r>
      <w:r>
        <w:rPr>
          <w:rFonts w:ascii="Times" w:hAnsi="Times" w:eastAsia="Times"/>
          <w:b/>
          <w:i w:val="0"/>
          <w:color w:val="044A72"/>
          <w:sz w:val="36"/>
        </w:rPr>
        <w:t>C</w:t>
      </w:r>
      <w:r>
        <w:rPr>
          <w:rFonts w:ascii="Times" w:hAnsi="Times" w:eastAsia="Times"/>
          <w:b/>
          <w:i w:val="0"/>
          <w:color w:val="044A72"/>
          <w:sz w:val="28"/>
        </w:rPr>
        <w:t>APITAL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TOCK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</w:p>
    <w:p>
      <w:pPr>
        <w:autoSpaceDN w:val="0"/>
        <w:autoSpaceDE w:val="0"/>
        <w:widowControl/>
        <w:spacing w:line="240" w:lineRule="exact" w:before="45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</w:p>
    <w:p>
      <w:pPr>
        <w:autoSpaceDN w:val="0"/>
        <w:autoSpaceDE w:val="0"/>
        <w:widowControl/>
        <w:spacing w:line="180" w:lineRule="exact" w:before="144" w:after="2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76"/>
        </w:trPr>
        <w:tc>
          <w:tcPr>
            <w:tcW w:type="dxa" w:w="231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2"/>
            <w:gridSpan w:val="5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2" w:after="0"/>
              <w:ind w:left="10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Subscriptions </w:t>
            </w:r>
          </w:p>
        </w:tc>
        <w:tc>
          <w:tcPr>
            <w:tcW w:type="dxa" w:w="181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Voting Power </w:t>
            </w:r>
          </w:p>
        </w:tc>
      </w:tr>
      <w:tr>
        <w:trPr>
          <w:trHeight w:hRule="exact" w:val="206"/>
        </w:trPr>
        <w:tc>
          <w:tcPr>
            <w:tcW w:type="dxa" w:w="231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Member </w:t>
            </w:r>
          </w:p>
        </w:tc>
        <w:tc>
          <w:tcPr>
            <w:tcW w:type="dxa" w:w="926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4142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918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90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subject to </w:t>
            </w:r>
          </w:p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92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shares </w:t>
            </w:r>
          </w:p>
        </w:tc>
        <w:tc>
          <w:tcPr>
            <w:tcW w:type="dxa" w:w="12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0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 in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0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call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b</w:t>
            </w:r>
          </w:p>
        </w:tc>
        <w:tc>
          <w:tcPr>
            <w:tcW w:type="dxa" w:w="91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votes </w:t>
            </w:r>
          </w:p>
        </w:tc>
        <w:tc>
          <w:tcPr>
            <w:tcW w:type="dxa" w:w="9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290"/>
        </w:trPr>
        <w:tc>
          <w:tcPr>
            <w:tcW w:type="dxa" w:w="231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Afghanistan . . . . . . . . . . .</w:t>
            </w:r>
          </w:p>
        </w:tc>
        <w:tc>
          <w:tcPr>
            <w:tcW w:type="dxa" w:w="926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506 </w:t>
            </w:r>
          </w:p>
        </w:tc>
        <w:tc>
          <w:tcPr>
            <w:tcW w:type="dxa" w:w="122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0.02%  $</w:t>
            </w:r>
          </w:p>
        </w:tc>
        <w:tc>
          <w:tcPr>
            <w:tcW w:type="dxa" w:w="1188"/>
            <w:gridSpan w:val="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61.0 $</w:t>
            </w:r>
          </w:p>
        </w:tc>
        <w:tc>
          <w:tcPr>
            <w:tcW w:type="dxa" w:w="71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5.1 $</w:t>
            </w:r>
          </w:p>
        </w:tc>
        <w:tc>
          <w:tcPr>
            <w:tcW w:type="dxa" w:w="102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55.9 </w:t>
            </w:r>
          </w:p>
        </w:tc>
        <w:tc>
          <w:tcPr>
            <w:tcW w:type="dxa" w:w="91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1,348 </w:t>
            </w:r>
          </w:p>
        </w:tc>
        <w:tc>
          <w:tcPr>
            <w:tcW w:type="dxa" w:w="90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0.05%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Albania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1,355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163.5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8.5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154.9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2,197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Algeria .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13,689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0.51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1,651.4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118.4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1,533.0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14,531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0.51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Angola .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4,068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0.15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490.7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28.8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461.9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4,910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0.17 </w:t>
            </w:r>
          </w:p>
        </w:tc>
      </w:tr>
      <w:tr>
        <w:trPr>
          <w:trHeight w:hRule="exact" w:val="23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Antigua and Barbuda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659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79.5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2.3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77.2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1,501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9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Argentina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28,897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4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1.07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3,486.0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235.6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3,250.4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29,739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1.04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Armenia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2,006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242.0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13.8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228.2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2,848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Australia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39,054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1.44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4,711.3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342.1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4,369.1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39,896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1.39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Austria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18,143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0.67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2,188.7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157.4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2,031.3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18,985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0.66 </w:t>
            </w:r>
          </w:p>
        </w:tc>
      </w:tr>
      <w:tr>
        <w:trPr>
          <w:trHeight w:hRule="exact" w:val="23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Azerbaijan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2,876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346.9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21.1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325.9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3,718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0.13 </w:t>
            </w:r>
          </w:p>
        </w:tc>
      </w:tr>
      <w:tr>
        <w:trPr>
          <w:trHeight w:hRule="exact" w:val="29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Bahamas, The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1,503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181.3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10.3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171.1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2,345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Bahrain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1,648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198.8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11.9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186.9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2,490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Bangladesh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7,884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0.29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951.1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65.1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886.0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8,726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0.30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Barbados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948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114.4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4.5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109.9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1,790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3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Belarus .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4,547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0.17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548.5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34.6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513.9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5,389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0.19 </w:t>
            </w:r>
          </w:p>
        </w:tc>
      </w:tr>
      <w:tr>
        <w:trPr>
          <w:trHeight w:hRule="exact" w:val="29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Belgium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43,281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1.60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5,221.2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380.0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4,841.2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44,123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1.54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Belize . .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646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77.9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3.1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74.8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1,488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2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Benin . .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1,536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185.3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10.0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175.3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2,378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4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Bhutan .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829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100.0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4.2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95.8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1,671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</w:tbl>
    <w:p>
      <w:pPr>
        <w:autoSpaceDN w:val="0"/>
        <w:autoSpaceDE w:val="0"/>
        <w:widowControl/>
        <w:spacing w:line="200" w:lineRule="exact" w:before="8" w:after="1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Bolivia, Plurinational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2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State of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2,846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343.3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18.9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324.4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3,688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0.13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82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Bosnia and </w:t>
            </w:r>
          </w:p>
        </w:tc>
        <w:tc>
          <w:tcPr>
            <w:tcW w:type="dxa" w:w="102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980 </w:t>
            </w:r>
          </w:p>
        </w:tc>
        <w:tc>
          <w:tcPr>
            <w:tcW w:type="dxa" w:w="9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118.2 </w:t>
            </w:r>
          </w:p>
        </w:tc>
        <w:tc>
          <w:tcPr>
            <w:tcW w:type="dxa" w:w="86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10.3 </w:t>
            </w:r>
          </w:p>
        </w:tc>
        <w:tc>
          <w:tcPr>
            <w:tcW w:type="dxa" w:w="11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107.9 </w:t>
            </w:r>
          </w:p>
        </w:tc>
        <w:tc>
          <w:tcPr>
            <w:tcW w:type="dxa" w:w="104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1,822 </w:t>
            </w:r>
          </w:p>
        </w:tc>
        <w:tc>
          <w:tcPr>
            <w:tcW w:type="dxa" w:w="7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2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Herzegovina . . . . . . . . .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Botswana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110.5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105.1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1,758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2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Brazil .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53,509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1.98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6,455.1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386.8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6,068.3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54,351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1.89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Brunei Darussalam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2,373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286.3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15.2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271.1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3,215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26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Bulgaria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7,609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917.9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64.5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853.4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8,451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0.29 </w:t>
            </w:r>
          </w:p>
        </w:tc>
      </w:tr>
      <w:tr>
        <w:trPr>
          <w:trHeight w:hRule="exact" w:val="27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Burkina Faso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1,519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183.2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9.7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173.5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2,361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Burundi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1,043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125.8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121.3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1,885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1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Cabo Verde, Republic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2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87.9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85.7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1,571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2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Cambodia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74.7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68.3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1,461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3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Cameroon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2,202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265.6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253.3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3,044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9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Canada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70,455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2.60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8,499.3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619.5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7,879.8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71,297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2.49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16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Central African </w:t>
            </w:r>
          </w:p>
        </w:tc>
        <w:tc>
          <w:tcPr>
            <w:tcW w:type="dxa" w:w="108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975 </w:t>
            </w:r>
          </w:p>
        </w:tc>
        <w:tc>
          <w:tcPr>
            <w:tcW w:type="dxa" w:w="84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4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117.6 </w:t>
            </w:r>
          </w:p>
        </w:tc>
        <w:tc>
          <w:tcPr>
            <w:tcW w:type="dxa" w:w="9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3.9 </w:t>
            </w:r>
          </w:p>
        </w:tc>
        <w:tc>
          <w:tcPr>
            <w:tcW w:type="dxa" w:w="108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113.8 </w:t>
            </w:r>
          </w:p>
        </w:tc>
        <w:tc>
          <w:tcPr>
            <w:tcW w:type="dxa" w:w="11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1,817 </w:t>
            </w:r>
          </w:p>
        </w:tc>
        <w:tc>
          <w:tcPr>
            <w:tcW w:type="dxa" w:w="7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Republic . . . . . . . . . . . .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Chad . . .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975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117.6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3.9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113.8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1,817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2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Chile . .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11,787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0.44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1,421.9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101.3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1,320.7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12,629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0.44 </w:t>
            </w:r>
          </w:p>
        </w:tc>
      </w:tr>
      <w:tr>
        <w:trPr>
          <w:trHeight w:hRule="exact" w:val="29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China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166,859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6.16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20,129.0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1,445.1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18,683.9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167,701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5.85 </w:t>
            </w:r>
          </w:p>
        </w:tc>
      </w:tr>
    </w:tbl>
    <w:p>
      <w:pPr>
        <w:autoSpaceDN w:val="0"/>
        <w:autoSpaceDE w:val="0"/>
        <w:widowControl/>
        <w:spacing w:line="200" w:lineRule="exact" w:before="31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108 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TO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C</w:t>
      </w:r>
      <w:r>
        <w:rPr>
          <w:rFonts w:ascii="Times" w:hAnsi="Times" w:eastAsia="Times"/>
          <w:b/>
          <w:i w:val="0"/>
          <w:color w:val="044A72"/>
          <w:sz w:val="28"/>
        </w:rPr>
        <w:t>APITAL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TOCK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474"/>
        </w:trPr>
        <w:tc>
          <w:tcPr>
            <w:tcW w:type="dxa" w:w="231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2"/>
            <w:gridSpan w:val="4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10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Subscriptions </w:t>
            </w:r>
          </w:p>
        </w:tc>
        <w:tc>
          <w:tcPr>
            <w:tcW w:type="dxa" w:w="181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Voting Power </w:t>
            </w:r>
          </w:p>
        </w:tc>
      </w:tr>
      <w:tr>
        <w:trPr>
          <w:trHeight w:hRule="exact" w:val="206"/>
        </w:trPr>
        <w:tc>
          <w:tcPr>
            <w:tcW w:type="dxa" w:w="231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Member </w:t>
            </w:r>
          </w:p>
        </w:tc>
        <w:tc>
          <w:tcPr>
            <w:tcW w:type="dxa" w:w="926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4142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918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90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</w:tr>
      <w:tr>
        <w:trPr>
          <w:trHeight w:hRule="exact" w:val="160"/>
        </w:trPr>
        <w:tc>
          <w:tcPr>
            <w:tcW w:type="dxa" w:w="117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170"/>
            <w:vMerge/>
            <w:tcBorders>
              <w:top w:sz="8.0" w:val="single" w:color="#221F1F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subject to </w:t>
            </w:r>
          </w:p>
        </w:tc>
        <w:tc>
          <w:tcPr>
            <w:tcW w:type="dxa" w:w="1170"/>
            <w:vMerge/>
            <w:tcBorders>
              <w:top w:sz="8.0" w:val="single" w:color="#221F1F"/>
            </w:tcBorders>
          </w:tcPr>
          <w:p/>
        </w:tc>
        <w:tc>
          <w:tcPr>
            <w:tcW w:type="dxa" w:w="1170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117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92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shares </w:t>
            </w:r>
          </w:p>
        </w:tc>
        <w:tc>
          <w:tcPr>
            <w:tcW w:type="dxa" w:w="10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0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9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 in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14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call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b</w:t>
            </w:r>
          </w:p>
        </w:tc>
        <w:tc>
          <w:tcPr>
            <w:tcW w:type="dxa" w:w="91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votes </w:t>
            </w:r>
          </w:p>
        </w:tc>
        <w:tc>
          <w:tcPr>
            <w:tcW w:type="dxa" w:w="9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300"/>
        </w:trPr>
        <w:tc>
          <w:tcPr>
            <w:tcW w:type="dxa" w:w="23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Colombia . . . . . . . . . . . . .</w:t>
            </w:r>
          </w:p>
        </w:tc>
        <w:tc>
          <w:tcPr>
            <w:tcW w:type="dxa" w:w="92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11,806 </w:t>
            </w:r>
          </w:p>
        </w:tc>
        <w:tc>
          <w:tcPr>
            <w:tcW w:type="dxa" w:w="4142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0.44% 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1,424.2 $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101.2 $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1,323.0 </w:t>
            </w:r>
          </w:p>
        </w:tc>
        <w:tc>
          <w:tcPr>
            <w:tcW w:type="dxa" w:w="9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12,648 </w:t>
            </w:r>
          </w:p>
        </w:tc>
        <w:tc>
          <w:tcPr>
            <w:tcW w:type="dxa" w:w="9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0.44% </w:t>
            </w:r>
          </w:p>
        </w:tc>
      </w:tr>
      <w:tr>
        <w:trPr>
          <w:trHeight w:hRule="exact" w:val="248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Comoros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369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44.5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1.0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43.5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1,211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Congo, Democratic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Republic of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3,416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412.1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381.1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4,258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Congo, Republic of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1,051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126.8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122.4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1,893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Costa Rica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1,392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167.9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155.6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2,234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Côte d’Ivoire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4,270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0.16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515.1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33.3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481.9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5,112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0.18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Croatia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3,376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407.3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29.9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377.4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4,218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Cyprus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2,111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254.7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238.6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2,953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Czechia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9,451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0.35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1,140.1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1,058.2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10,293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Denmark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21,061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2,540.7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182.4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2,358.3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21,903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0.76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Djibouti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96.6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93.8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1,643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Dominica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84.3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1,541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Dominican Republic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3,142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379.0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353.9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3,984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0.14 </w:t>
            </w:r>
          </w:p>
        </w:tc>
      </w:tr>
      <w:tr>
        <w:trPr>
          <w:trHeight w:hRule="exact" w:val="24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Ecuador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3,828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461.8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437.7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4,670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0.16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Egypt, Arab Republic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2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10,682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1,288.6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76.8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1,211.8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11,524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0.40 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El Salvador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552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66.6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5.5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1,394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Equatorial Guinea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715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86.3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2.7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1,557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Eritrea .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593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71.5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1.8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69.7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1,435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Estonia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1,372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165.5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9.5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156.1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2,214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Eswatini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609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73.5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3.7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1,451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Ethiopia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1,470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177.3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169.1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2,312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Fiji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1,407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169.7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9.8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159.9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2,249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Finland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13,726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1,655.8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118.5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1,537.3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14,568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0.51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France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108,611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4.01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13,102.3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956.6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12,145.7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109,453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3.82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Gabon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1,110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133.9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126.9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1,952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Gambia, The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777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93.7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2.7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1,619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Georgia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2,590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312.4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18.6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293.8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3,432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0.12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Germany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118,578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4.38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14,304.7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1,043.5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13,261.1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119,420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4.16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Ghana . .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2,202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265.6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16.1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249.5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3,044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Greece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4,460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0.16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538.0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40.4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497.6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5,302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0.18 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Grenada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673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81.2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78.8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1,515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Guatemala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2,001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241.4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12.4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229.0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2,843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Guinea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1,864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224.9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214.9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2,706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Guinea-Bissau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73.9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1,455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8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Guyana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1,724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208.0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196.5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2,566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</w:tr>
    </w:tbl>
    <w:p>
      <w:pPr>
        <w:autoSpaceDN w:val="0"/>
        <w:autoSpaceDE w:val="0"/>
        <w:widowControl/>
        <w:spacing w:line="200" w:lineRule="exact" w:before="3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109 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TO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C</w:t>
      </w:r>
      <w:r>
        <w:rPr>
          <w:rFonts w:ascii="Times" w:hAnsi="Times" w:eastAsia="Times"/>
          <w:b/>
          <w:i w:val="0"/>
          <w:color w:val="044A72"/>
          <w:sz w:val="28"/>
        </w:rPr>
        <w:t>APITAL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TOCK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74"/>
        </w:trPr>
        <w:tc>
          <w:tcPr>
            <w:tcW w:type="dxa" w:w="231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2"/>
            <w:gridSpan w:val="5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10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Subscriptions </w:t>
            </w:r>
          </w:p>
        </w:tc>
        <w:tc>
          <w:tcPr>
            <w:tcW w:type="dxa" w:w="181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Voting Power </w:t>
            </w:r>
          </w:p>
        </w:tc>
      </w:tr>
      <w:tr>
        <w:trPr>
          <w:trHeight w:hRule="exact" w:val="206"/>
        </w:trPr>
        <w:tc>
          <w:tcPr>
            <w:tcW w:type="dxa" w:w="231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Member </w:t>
            </w:r>
          </w:p>
        </w:tc>
        <w:tc>
          <w:tcPr>
            <w:tcW w:type="dxa" w:w="926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4142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918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90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subject to </w:t>
            </w:r>
          </w:p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92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shares </w:t>
            </w:r>
          </w:p>
        </w:tc>
        <w:tc>
          <w:tcPr>
            <w:tcW w:type="dxa" w:w="12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0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 in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0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call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b</w:t>
            </w:r>
          </w:p>
        </w:tc>
        <w:tc>
          <w:tcPr>
            <w:tcW w:type="dxa" w:w="91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votes </w:t>
            </w:r>
          </w:p>
        </w:tc>
        <w:tc>
          <w:tcPr>
            <w:tcW w:type="dxa" w:w="9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300"/>
        </w:trPr>
        <w:tc>
          <w:tcPr>
            <w:tcW w:type="dxa" w:w="231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Haiti . . . . . . . . . . . . . . . . .</w:t>
            </w:r>
          </w:p>
        </w:tc>
        <w:tc>
          <w:tcPr>
            <w:tcW w:type="dxa" w:w="926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1,550 </w:t>
            </w:r>
          </w:p>
        </w:tc>
        <w:tc>
          <w:tcPr>
            <w:tcW w:type="dxa" w:w="122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0.06%  $</w:t>
            </w:r>
          </w:p>
        </w:tc>
        <w:tc>
          <w:tcPr>
            <w:tcW w:type="dxa" w:w="1188"/>
            <w:gridSpan w:val="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187.0 $</w:t>
            </w:r>
          </w:p>
        </w:tc>
        <w:tc>
          <w:tcPr>
            <w:tcW w:type="dxa" w:w="71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7.8 $</w:t>
            </w:r>
          </w:p>
        </w:tc>
        <w:tc>
          <w:tcPr>
            <w:tcW w:type="dxa" w:w="102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179.2 </w:t>
            </w:r>
          </w:p>
        </w:tc>
        <w:tc>
          <w:tcPr>
            <w:tcW w:type="dxa" w:w="91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2,392 </w:t>
            </w:r>
          </w:p>
        </w:tc>
        <w:tc>
          <w:tcPr>
            <w:tcW w:type="dxa" w:w="90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0.08%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Honduras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641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77.3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2.3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75.0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1,483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Hungary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12,456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0.46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1,502.6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107.4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1,395.2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13,298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0.46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Iceland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1,975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238.3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14.8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223.5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2,817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India . . .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85,175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3.14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10,275.1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738.0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9,537.1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86,017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3.00 </w:t>
            </w:r>
          </w:p>
        </w:tc>
      </w:tr>
      <w:tr>
        <w:trPr>
          <w:trHeight w:hRule="exact" w:val="308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Indonesia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28,863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1.07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3,481.9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249.9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3,232.0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29,705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1.04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Iran, Islamic Republic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2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34,963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1.29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4,217.8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254.3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3,963.4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35,805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1.25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Iraq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5,085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613.4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564.5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5,927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0.21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Ireland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9,415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1,135.8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1,055.5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10,257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0.36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Israel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7,386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891.0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62.6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828.4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8,228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0.29 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Italy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76,144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2.81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9,185.6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668.6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8,517.1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76,986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2.68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Jamaica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3,741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0.14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451.3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30.5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420.8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4,583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0.16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Japan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199,885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7.38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24,113.1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1,751.9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22,361.2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200,727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7.00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Jordan . . . .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2,337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281.9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16.5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265.4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3,179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Kazakhstan . . . .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4,573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0.17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551.7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31.3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520.4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5,415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0.19 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Kenya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3,435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414.4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393.2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4,277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0.15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Kiribati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680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82.0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1,522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Korea, Republic 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45,285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1.67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5,463.0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389.9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5,073.1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46,127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1.61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Kosovo, Republic of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1,538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185.5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174.1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2,380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Kuwait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20,944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2,526.6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167.7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2,358.9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21,786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0.76 </w:t>
            </w:r>
          </w:p>
        </w:tc>
      </w:tr>
      <w:tr>
        <w:trPr>
          <w:trHeight w:hRule="exact" w:val="308"/>
        </w:trPr>
        <w:tc>
          <w:tcPr>
            <w:tcW w:type="dxa" w:w="22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Kyrgyz Republic . . . . . . .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1,107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133.5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5.7 </w:t>
            </w:r>
          </w:p>
        </w:tc>
        <w:tc>
          <w:tcPr>
            <w:tcW w:type="dxa" w:w="108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127.9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1,949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2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Lao People’s Democratic </w:t>
            </w:r>
          </w:p>
        </w:tc>
        <w:tc>
          <w:tcPr>
            <w:tcW w:type="dxa" w:w="102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355 </w:t>
            </w:r>
          </w:p>
        </w:tc>
        <w:tc>
          <w:tcPr>
            <w:tcW w:type="dxa" w:w="9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0.01 </w:t>
            </w:r>
          </w:p>
        </w:tc>
        <w:tc>
          <w:tcPr>
            <w:tcW w:type="dxa" w:w="12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42.8 </w:t>
            </w:r>
          </w:p>
        </w:tc>
        <w:tc>
          <w:tcPr>
            <w:tcW w:type="dxa" w:w="82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3.3 </w:t>
            </w:r>
          </w:p>
        </w:tc>
        <w:tc>
          <w:tcPr>
            <w:tcW w:type="dxa" w:w="11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39.5 </w:t>
            </w:r>
          </w:p>
        </w:tc>
        <w:tc>
          <w:tcPr>
            <w:tcW w:type="dxa" w:w="104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1,197 </w:t>
            </w:r>
          </w:p>
        </w:tc>
        <w:tc>
          <w:tcPr>
            <w:tcW w:type="dxa" w:w="7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Republic . . . . . . . . . . . .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Latvia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2,027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244.5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15.3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229.3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2,869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Lebanon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1,062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128.1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6.3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121.8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1,904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6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Lesotho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1,057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127.5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4.6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122.9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1,899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8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Liberia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606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73.1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1,448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Libya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9,935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1,198.5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1,126.4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10,777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0.38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Lithuania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2,258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272.4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255.1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3,100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Luxembourg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2,806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338.5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316.4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3,648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0.13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Madagascar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2,506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302.3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284.4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3,348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0.12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Malawi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1,722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207.7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10.2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197.5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2,564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Malaysia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10,447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0.39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1,260.3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75.4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1,184.8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11,289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0.39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Maldives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63.3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61.3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1,367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Mali . .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2,035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245.5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231.4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2,877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Malta .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1,533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2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184.9 </w:t>
            </w:r>
          </w:p>
        </w:tc>
        <w:tc>
          <w:tcPr>
            <w:tcW w:type="dxa" w:w="8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10.9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174.0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2,375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</w:tbl>
    <w:p>
      <w:pPr>
        <w:autoSpaceDN w:val="0"/>
        <w:autoSpaceDE w:val="0"/>
        <w:widowControl/>
        <w:spacing w:line="200" w:lineRule="exact" w:before="3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110 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TO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C</w:t>
      </w:r>
      <w:r>
        <w:rPr>
          <w:rFonts w:ascii="Times" w:hAnsi="Times" w:eastAsia="Times"/>
          <w:b/>
          <w:i w:val="0"/>
          <w:color w:val="044A72"/>
          <w:sz w:val="28"/>
        </w:rPr>
        <w:t>APITAL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TOCK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74"/>
        </w:trPr>
        <w:tc>
          <w:tcPr>
            <w:tcW w:type="dxa" w:w="231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2"/>
            <w:gridSpan w:val="5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10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Subscriptions </w:t>
            </w:r>
          </w:p>
        </w:tc>
        <w:tc>
          <w:tcPr>
            <w:tcW w:type="dxa" w:w="181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Voting Power </w:t>
            </w:r>
          </w:p>
        </w:tc>
      </w:tr>
      <w:tr>
        <w:trPr>
          <w:trHeight w:hRule="exact" w:val="206"/>
        </w:trPr>
        <w:tc>
          <w:tcPr>
            <w:tcW w:type="dxa" w:w="231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Member </w:t>
            </w:r>
          </w:p>
        </w:tc>
        <w:tc>
          <w:tcPr>
            <w:tcW w:type="dxa" w:w="926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4142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918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90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subject to </w:t>
            </w:r>
          </w:p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92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shares </w:t>
            </w:r>
          </w:p>
        </w:tc>
        <w:tc>
          <w:tcPr>
            <w:tcW w:type="dxa" w:w="12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0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 in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0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call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b</w:t>
            </w:r>
          </w:p>
        </w:tc>
        <w:tc>
          <w:tcPr>
            <w:tcW w:type="dxa" w:w="91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votes </w:t>
            </w:r>
          </w:p>
        </w:tc>
        <w:tc>
          <w:tcPr>
            <w:tcW w:type="dxa" w:w="9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300"/>
        </w:trPr>
        <w:tc>
          <w:tcPr>
            <w:tcW w:type="dxa" w:w="23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Marshall Islands . . . . . . .</w:t>
            </w:r>
          </w:p>
        </w:tc>
        <w:tc>
          <w:tcPr>
            <w:tcW w:type="dxa" w:w="92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469 </w:t>
            </w:r>
          </w:p>
        </w:tc>
        <w:tc>
          <w:tcPr>
            <w:tcW w:type="dxa" w:w="12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0.02%  $</w:t>
            </w:r>
          </w:p>
        </w:tc>
        <w:tc>
          <w:tcPr>
            <w:tcW w:type="dxa" w:w="1188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56.6 $</w:t>
            </w:r>
          </w:p>
        </w:tc>
        <w:tc>
          <w:tcPr>
            <w:tcW w:type="dxa" w:w="71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0.9 $</w:t>
            </w:r>
          </w:p>
        </w:tc>
        <w:tc>
          <w:tcPr>
            <w:tcW w:type="dxa" w:w="102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55.7 </w:t>
            </w:r>
          </w:p>
        </w:tc>
        <w:tc>
          <w:tcPr>
            <w:tcW w:type="dxa" w:w="9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1,311 </w:t>
            </w:r>
          </w:p>
        </w:tc>
        <w:tc>
          <w:tcPr>
            <w:tcW w:type="dxa" w:w="9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0.05%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Mauritania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1,308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157.8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6.1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151.7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2,150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Mauritius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1,780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214.7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13.1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201.6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2,622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</w:tr>
      <w:tr>
        <w:trPr>
          <w:trHeight w:hRule="exact" w:val="248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Mexico .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47,720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1.76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5,756.7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413.1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5,343.6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48,562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1.69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Micronesia, Federated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States of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57.8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56.8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1,321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Moldova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2,419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291.8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17.2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274.6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3,261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Mongolia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100.0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5.6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94.4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1,671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Montenegro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971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117.1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6.6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110.5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1,813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Morocco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8,069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0.30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973.4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906.6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8,911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Mozambique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1,332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160.7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153.9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2,174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Myanmar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3,465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418.0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396.6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4,307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Namibia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1,930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232.8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11.7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221.1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2,772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Nauru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586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70.7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68.3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1,428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Nepal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1,528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184.3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8.6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175.7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2,370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Netherlands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54,111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6,527.7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475.4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6,052.3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54,953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1.92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New Zealand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11,261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1,358.5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1,261.6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12,103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0.42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Nicaragua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120.5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5.3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115.2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1,841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Niger .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1,233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148.7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5.6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143.1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2,075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Nigeria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19,417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2,342.4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168.0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2,174.3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20,259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North Macedonia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641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77.3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5.7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71.7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1,483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Norway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16,746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0.62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2,020.2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145.0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1,875.1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17,588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0.61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Oman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1,978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238.6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226.5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2,820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Pakistan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14,148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1,706.7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122.4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1,584.3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14,990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0.52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Palau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*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858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Panama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1,138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137.3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127.0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1,980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Papua New Guinea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2,273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274.2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258.1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3,115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Paraguay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2,037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245.7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231.6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2,879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Peru . .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9,092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0.34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1,096.8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1,019.3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9,934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Philippines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11,887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0.44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1,434.0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102.1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1,331.9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12,729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0.44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Poland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20,474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0.76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2,469.9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177.1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2,292.8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21,316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0.74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Portugal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8,937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1,078.1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1,001.9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9,779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0.34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Qatar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1,389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167.6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156.5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2,231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Romania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8,210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990.4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72.4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918.0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9,052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0.32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Russian Federation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79,121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2.92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9,544.8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685.8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8,859.0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79,963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2.79 </w:t>
            </w:r>
          </w:p>
        </w:tc>
      </w:tr>
      <w:tr>
        <w:trPr>
          <w:trHeight w:hRule="exact" w:val="28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Rwanda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1,502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181.2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173.7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2,344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</w:tbl>
    <w:p>
      <w:pPr>
        <w:autoSpaceDN w:val="0"/>
        <w:autoSpaceDE w:val="0"/>
        <w:widowControl/>
        <w:spacing w:line="200" w:lineRule="exact" w:before="5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111 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TO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C</w:t>
      </w:r>
      <w:r>
        <w:rPr>
          <w:rFonts w:ascii="Times" w:hAnsi="Times" w:eastAsia="Times"/>
          <w:b/>
          <w:i w:val="0"/>
          <w:color w:val="044A72"/>
          <w:sz w:val="28"/>
        </w:rPr>
        <w:t>APITAL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TOCK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74"/>
        </w:trPr>
        <w:tc>
          <w:tcPr>
            <w:tcW w:type="dxa" w:w="231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2"/>
            <w:gridSpan w:val="5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10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Subscriptions </w:t>
            </w:r>
          </w:p>
        </w:tc>
        <w:tc>
          <w:tcPr>
            <w:tcW w:type="dxa" w:w="181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Voting Power </w:t>
            </w:r>
          </w:p>
        </w:tc>
      </w:tr>
      <w:tr>
        <w:trPr>
          <w:trHeight w:hRule="exact" w:val="206"/>
        </w:trPr>
        <w:tc>
          <w:tcPr>
            <w:tcW w:type="dxa" w:w="231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Member </w:t>
            </w:r>
          </w:p>
        </w:tc>
        <w:tc>
          <w:tcPr>
            <w:tcW w:type="dxa" w:w="926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4142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918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90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subject to </w:t>
            </w:r>
          </w:p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92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shares </w:t>
            </w:r>
          </w:p>
        </w:tc>
        <w:tc>
          <w:tcPr>
            <w:tcW w:type="dxa" w:w="12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0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 in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0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call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b</w:t>
            </w:r>
          </w:p>
        </w:tc>
        <w:tc>
          <w:tcPr>
            <w:tcW w:type="dxa" w:w="91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votes </w:t>
            </w:r>
          </w:p>
        </w:tc>
        <w:tc>
          <w:tcPr>
            <w:tcW w:type="dxa" w:w="9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300"/>
        </w:trPr>
        <w:tc>
          <w:tcPr>
            <w:tcW w:type="dxa" w:w="231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St. Kitts and Nevis . . . . . .</w:t>
            </w:r>
          </w:p>
        </w:tc>
        <w:tc>
          <w:tcPr>
            <w:tcW w:type="dxa" w:w="926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275 </w:t>
            </w:r>
          </w:p>
        </w:tc>
        <w:tc>
          <w:tcPr>
            <w:tcW w:type="dxa" w:w="122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0.01%  $</w:t>
            </w:r>
          </w:p>
        </w:tc>
        <w:tc>
          <w:tcPr>
            <w:tcW w:type="dxa" w:w="1188"/>
            <w:gridSpan w:val="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33.2 $</w:t>
            </w:r>
          </w:p>
        </w:tc>
        <w:tc>
          <w:tcPr>
            <w:tcW w:type="dxa" w:w="71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0.3 $</w:t>
            </w:r>
          </w:p>
        </w:tc>
        <w:tc>
          <w:tcPr>
            <w:tcW w:type="dxa" w:w="1022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32.9 </w:t>
            </w:r>
          </w:p>
        </w:tc>
        <w:tc>
          <w:tcPr>
            <w:tcW w:type="dxa" w:w="918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1,117 </w:t>
            </w:r>
          </w:p>
        </w:tc>
        <w:tc>
          <w:tcPr>
            <w:tcW w:type="dxa" w:w="900"/>
            <w:tcBorders>
              <w:top w:sz="8.0" w:val="single" w:color="#221F1F"/>
            </w:tcBorders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0.04% </w:t>
            </w:r>
          </w:p>
        </w:tc>
      </w:tr>
      <w:tr>
        <w:trPr>
          <w:trHeight w:hRule="exact" w:val="248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St. Lucia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699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84.3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2.6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81.7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1,541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2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St. Vincent and the </w:t>
            </w:r>
          </w:p>
        </w:tc>
        <w:tc>
          <w:tcPr>
            <w:tcW w:type="dxa" w:w="102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387 </w:t>
            </w:r>
          </w:p>
        </w:tc>
        <w:tc>
          <w:tcPr>
            <w:tcW w:type="dxa" w:w="9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0.01 </w:t>
            </w:r>
          </w:p>
        </w:tc>
        <w:tc>
          <w:tcPr>
            <w:tcW w:type="dxa" w:w="116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46.7 </w:t>
            </w:r>
          </w:p>
        </w:tc>
        <w:tc>
          <w:tcPr>
            <w:tcW w:type="dxa" w:w="86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1.6 </w:t>
            </w:r>
          </w:p>
        </w:tc>
        <w:tc>
          <w:tcPr>
            <w:tcW w:type="dxa" w:w="11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45.1 </w:t>
            </w:r>
          </w:p>
        </w:tc>
        <w:tc>
          <w:tcPr>
            <w:tcW w:type="dxa" w:w="104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1,229 </w:t>
            </w:r>
          </w:p>
        </w:tc>
        <w:tc>
          <w:tcPr>
            <w:tcW w:type="dxa" w:w="7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Grenadines . . . . . . . . . .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Samoa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114.2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109.2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1,789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6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San Marino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595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71.8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69.3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1,437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8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Sao Tome and Principe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85.0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1,547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Saudi Arabia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76,967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2.84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9,284.9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668.3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8,616.6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77,809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2.71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Senegal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2,942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354.9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17.5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337.4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3,784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0.13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Serbia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4,133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498.6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36.6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462.0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4,975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0.17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Seychelles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31.7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31.6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1,105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Sierra Leone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1,043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125.8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4.6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121.2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1,885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Singapore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7,109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0.26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857.6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794.6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7,951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0.28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Slovak Republic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4,785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577.2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536.2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5,627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Slovenia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2,037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245.7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227.8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2,879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Solomon Islands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87.9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2.3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1,571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</w:tbl>
    <w:p>
      <w:pPr>
        <w:autoSpaceDN w:val="0"/>
        <w:autoSpaceDE w:val="0"/>
        <w:widowControl/>
        <w:spacing w:line="200" w:lineRule="exact" w:before="8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Somalia, Federal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Republic of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76.2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1,474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South Africa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20,793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2,508.4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180.0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2,328.4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21,635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South Sudan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1,437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173.4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8.6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164.8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2,279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Spain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52,895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1.95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6,381.0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461.2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5,919.8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53,737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1.87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Sri Lanka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6,282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757.8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706.9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7,124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0.25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Sudan .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1,989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239.9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224.5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2,831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Suriname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412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47.7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1,254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Sweden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25,148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0.93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3,033.7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219.1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2,814.6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25,990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0.91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Switzerland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40,889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1.51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4,932.6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357.9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4,574.7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41,731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1.45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Syrian Arab Republic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2,452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295.8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14.0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281.8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3,294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Tajikistan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1,204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145.2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139.9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2,046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Tanzania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1,295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156.2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10.0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146.2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2,137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Thailand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13,752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1,659.0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118.1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1,540.9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14,594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0.51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Timor-Leste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753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90.8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87.8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1,595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Togo . . . . . . . . . . . . . . . . 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1,598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192.8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8.1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184.7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2,440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0.09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Tonga .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96.0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92.5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1,638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Trinidad and Tobago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3,376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407.3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22.8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384.5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4,218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0.15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Tunisia .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2,064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249.0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18.3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230.7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2,906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Türkiye . . . .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30,668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1.13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3,699.6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264.5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3,435.1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31,510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1.10 </w:t>
            </w:r>
          </w:p>
        </w:tc>
      </w:tr>
      <w:tr>
        <w:trPr>
          <w:trHeight w:hRule="exact" w:val="240"/>
        </w:trPr>
        <w:tc>
          <w:tcPr>
            <w:tcW w:type="dxa" w:w="23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Turkmenistan . . . . . . . . . .</w:t>
            </w:r>
          </w:p>
        </w:tc>
        <w:tc>
          <w:tcPr>
            <w:tcW w:type="dxa" w:w="10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627 </w:t>
            </w:r>
          </w:p>
        </w:tc>
        <w:tc>
          <w:tcPr>
            <w:tcW w:type="dxa" w:w="9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0.02 </w:t>
            </w:r>
          </w:p>
        </w:tc>
        <w:tc>
          <w:tcPr>
            <w:tcW w:type="dxa" w:w="11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75.6 </w:t>
            </w:r>
          </w:p>
        </w:tc>
        <w:tc>
          <w:tcPr>
            <w:tcW w:type="dxa" w:w="86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3.6 </w:t>
            </w:r>
          </w:p>
        </w:tc>
        <w:tc>
          <w:tcPr>
            <w:tcW w:type="dxa" w:w="11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72.0 </w:t>
            </w:r>
          </w:p>
        </w:tc>
        <w:tc>
          <w:tcPr>
            <w:tcW w:type="dxa" w:w="10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1,469 </w:t>
            </w:r>
          </w:p>
        </w:tc>
        <w:tc>
          <w:tcPr>
            <w:tcW w:type="dxa" w:w="70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 </w:t>
            </w:r>
          </w:p>
        </w:tc>
      </w:tr>
    </w:tbl>
    <w:p>
      <w:pPr>
        <w:autoSpaceDN w:val="0"/>
        <w:autoSpaceDE w:val="0"/>
        <w:widowControl/>
        <w:spacing w:line="200" w:lineRule="exact" w:before="3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112 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>TO</w:t>
      </w:r>
    </w:p>
    <w:p>
      <w:pPr>
        <w:autoSpaceDN w:val="0"/>
        <w:autoSpaceDE w:val="0"/>
        <w:widowControl/>
        <w:spacing w:line="36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C</w:t>
      </w:r>
      <w:r>
        <w:rPr>
          <w:rFonts w:ascii="Times" w:hAnsi="Times" w:eastAsia="Times"/>
          <w:b/>
          <w:i w:val="0"/>
          <w:color w:val="044A72"/>
          <w:sz w:val="28"/>
        </w:rPr>
        <w:t>APITAL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TOCK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Expressed 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1"/>
        <w:gridCol w:w="1041"/>
        <w:gridCol w:w="1041"/>
        <w:gridCol w:w="1041"/>
        <w:gridCol w:w="1041"/>
        <w:gridCol w:w="1041"/>
        <w:gridCol w:w="1041"/>
        <w:gridCol w:w="1041"/>
        <w:gridCol w:w="1041"/>
      </w:tblGrid>
      <w:tr>
        <w:trPr>
          <w:trHeight w:hRule="exact" w:val="474"/>
        </w:trPr>
        <w:tc>
          <w:tcPr>
            <w:tcW w:type="dxa" w:w="231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2"/>
            <w:gridSpan w:val="5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10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Subscriptions </w:t>
            </w:r>
          </w:p>
        </w:tc>
        <w:tc>
          <w:tcPr>
            <w:tcW w:type="dxa" w:w="183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Voting Power </w:t>
            </w:r>
          </w:p>
        </w:tc>
      </w:tr>
      <w:tr>
        <w:trPr>
          <w:trHeight w:hRule="exact" w:val="206"/>
        </w:trPr>
        <w:tc>
          <w:tcPr>
            <w:tcW w:type="dxa" w:w="231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Member </w:t>
            </w:r>
          </w:p>
        </w:tc>
        <w:tc>
          <w:tcPr>
            <w:tcW w:type="dxa" w:w="926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4142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918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Number of </w:t>
            </w:r>
          </w:p>
        </w:tc>
        <w:tc>
          <w:tcPr>
            <w:tcW w:type="dxa" w:w="920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</w:tr>
      <w:tr>
        <w:trPr>
          <w:trHeight w:hRule="exact" w:val="160"/>
        </w:trPr>
        <w:tc>
          <w:tcPr>
            <w:tcW w:type="dxa" w:w="1041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1"/>
            <w:vMerge/>
            <w:tcBorders>
              <w:top w:sz="8.0" w:val="single" w:color="#221F1F"/>
            </w:tcBorders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Percentage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subject to </w:t>
            </w:r>
          </w:p>
        </w:tc>
        <w:tc>
          <w:tcPr>
            <w:tcW w:type="dxa" w:w="1041"/>
            <w:vMerge/>
            <w:tcBorders>
              <w:top w:sz="8.0" w:val="single" w:color="#221F1F"/>
            </w:tcBorders>
          </w:tcPr>
          <w:p/>
        </w:tc>
        <w:tc>
          <w:tcPr>
            <w:tcW w:type="dxa" w:w="1041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184"/>
        </w:trPr>
        <w:tc>
          <w:tcPr>
            <w:tcW w:type="dxa" w:w="1041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92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shares </w:t>
            </w:r>
          </w:p>
        </w:tc>
        <w:tc>
          <w:tcPr>
            <w:tcW w:type="dxa" w:w="12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0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 in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a,b</w:t>
            </w:r>
          </w:p>
        </w:tc>
        <w:tc>
          <w:tcPr>
            <w:tcW w:type="dxa" w:w="102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call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a,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b</w:t>
            </w:r>
          </w:p>
        </w:tc>
        <w:tc>
          <w:tcPr>
            <w:tcW w:type="dxa" w:w="91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votes </w:t>
            </w:r>
          </w:p>
        </w:tc>
        <w:tc>
          <w:tcPr>
            <w:tcW w:type="dxa" w:w="9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total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</w:tr>
      <w:tr>
        <w:trPr>
          <w:trHeight w:hRule="exact" w:val="300"/>
        </w:trPr>
        <w:tc>
          <w:tcPr>
            <w:tcW w:type="dxa" w:w="23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Tuvalu . . . . . . . . . . . . . . .</w:t>
            </w:r>
          </w:p>
        </w:tc>
        <w:tc>
          <w:tcPr>
            <w:tcW w:type="dxa" w:w="92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461 </w:t>
            </w:r>
          </w:p>
        </w:tc>
        <w:tc>
          <w:tcPr>
            <w:tcW w:type="dxa" w:w="12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0.02%  $</w:t>
            </w:r>
          </w:p>
        </w:tc>
        <w:tc>
          <w:tcPr>
            <w:tcW w:type="dxa" w:w="1188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55.6 $</w:t>
            </w:r>
          </w:p>
        </w:tc>
        <w:tc>
          <w:tcPr>
            <w:tcW w:type="dxa" w:w="71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1.5 $</w:t>
            </w:r>
          </w:p>
        </w:tc>
        <w:tc>
          <w:tcPr>
            <w:tcW w:type="dxa" w:w="102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54.1 </w:t>
            </w:r>
          </w:p>
        </w:tc>
        <w:tc>
          <w:tcPr>
            <w:tcW w:type="dxa" w:w="9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1,303 </w:t>
            </w:r>
          </w:p>
        </w:tc>
        <w:tc>
          <w:tcPr>
            <w:tcW w:type="dxa" w:w="9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0.05%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Uganda .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1,128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136.1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9.6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126.5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1,970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0.07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Ukraine . . . . . . . .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14,361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1,732.4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108.5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1,623.9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15,203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0.53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United Arab Emirates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7,043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849.6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66.2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783.4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7,885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0.27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United Kingdom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108,611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4.01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13,102.3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975.7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12,126.6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109,453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3.82 </w:t>
            </w:r>
          </w:p>
        </w:tc>
      </w:tr>
      <w:tr>
        <w:trPr>
          <w:trHeight w:hRule="exact" w:val="30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United States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451,968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16.68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54,523.2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3,896.0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50,627.1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452,810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15.79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Uruguay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3,732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0.14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450.2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28.1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422.1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4,574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0.16 </w:t>
            </w:r>
          </w:p>
        </w:tc>
      </w:tr>
      <w:tr>
        <w:trPr>
          <w:trHeight w:hRule="exact" w:val="240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Uzbekistan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4,238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0.16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511.3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32.9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478.4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5,080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0.18 </w:t>
            </w:r>
          </w:p>
        </w:tc>
      </w:tr>
      <w:tr>
        <w:trPr>
          <w:trHeight w:hRule="exact" w:val="248"/>
        </w:trPr>
        <w:tc>
          <w:tcPr>
            <w:tcW w:type="dxa" w:w="23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Vanuatu . . . . . . . . . . . . . .</w:t>
            </w:r>
          </w:p>
        </w:tc>
        <w:tc>
          <w:tcPr>
            <w:tcW w:type="dxa" w:w="926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765 </w:t>
            </w:r>
          </w:p>
        </w:tc>
        <w:tc>
          <w:tcPr>
            <w:tcW w:type="dxa" w:w="122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0.03 </w:t>
            </w:r>
          </w:p>
        </w:tc>
        <w:tc>
          <w:tcPr>
            <w:tcW w:type="dxa" w:w="840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92.3 </w:t>
            </w:r>
          </w:p>
        </w:tc>
        <w:tc>
          <w:tcPr>
            <w:tcW w:type="dxa" w:w="1060"/>
            <w:gridSpan w:val="2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3.1 </w:t>
            </w:r>
          </w:p>
        </w:tc>
        <w:tc>
          <w:tcPr>
            <w:tcW w:type="dxa" w:w="10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89.2 </w:t>
            </w:r>
          </w:p>
        </w:tc>
        <w:tc>
          <w:tcPr>
            <w:tcW w:type="dxa" w:w="918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1,607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0.06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rHeight w:hRule="exact" w:val="232"/>
        </w:trPr>
        <w:tc>
          <w:tcPr>
            <w:tcW w:type="dxa" w:w="23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Venezuela, Republica </w:t>
            </w:r>
          </w:p>
        </w:tc>
        <w:tc>
          <w:tcPr>
            <w:tcW w:type="dxa" w:w="114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20,361 </w:t>
            </w:r>
          </w:p>
        </w:tc>
        <w:tc>
          <w:tcPr>
            <w:tcW w:type="dxa" w:w="91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0.75 </w:t>
            </w:r>
          </w:p>
        </w:tc>
        <w:tc>
          <w:tcPr>
            <w:tcW w:type="dxa" w:w="10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2,456.2 </w:t>
            </w:r>
          </w:p>
        </w:tc>
        <w:tc>
          <w:tcPr>
            <w:tcW w:type="dxa" w:w="900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150.8 </w:t>
            </w:r>
          </w:p>
        </w:tc>
        <w:tc>
          <w:tcPr>
            <w:tcW w:type="dxa" w:w="852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2,305.5 </w:t>
            </w:r>
          </w:p>
        </w:tc>
        <w:tc>
          <w:tcPr>
            <w:tcW w:type="dxa" w:w="1406"/>
            <w:vMerge w:val="restart"/>
            <w:tcBorders/>
            <w:shd w:fill="d1d2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21,203 </w:t>
            </w:r>
          </w:p>
        </w:tc>
        <w:tc>
          <w:tcPr>
            <w:tcW w:type="dxa" w:w="7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0.74 </w:t>
            </w:r>
          </w:p>
        </w:tc>
      </w:tr>
      <w:tr>
        <w:trPr>
          <w:trHeight w:hRule="exact" w:val="260"/>
        </w:trPr>
        <w:tc>
          <w:tcPr>
            <w:tcW w:type="dxa" w:w="2322"/>
            <w:tcBorders/>
            <w:shd w:fill="d1d2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Bolivariana de . . . . . . .</w:t>
            </w:r>
          </w:p>
        </w:tc>
        <w:tc>
          <w:tcPr>
            <w:tcW w:type="dxa" w:w="1171"/>
            <w:vMerge/>
            <w:tcBorders/>
          </w:tcPr>
          <w:p/>
        </w:tc>
        <w:tc>
          <w:tcPr>
            <w:tcW w:type="dxa" w:w="1171"/>
            <w:vMerge/>
            <w:tcBorders/>
          </w:tcPr>
          <w:p/>
        </w:tc>
        <w:tc>
          <w:tcPr>
            <w:tcW w:type="dxa" w:w="1171"/>
            <w:vMerge/>
            <w:tcBorders/>
          </w:tcPr>
          <w:p/>
        </w:tc>
        <w:tc>
          <w:tcPr>
            <w:tcW w:type="dxa" w:w="1171"/>
            <w:vMerge/>
            <w:tcBorders/>
          </w:tcPr>
          <w:p/>
        </w:tc>
        <w:tc>
          <w:tcPr>
            <w:tcW w:type="dxa" w:w="1171"/>
            <w:vMerge/>
            <w:tcBorders/>
          </w:tcPr>
          <w:p/>
        </w:tc>
        <w:tc>
          <w:tcPr>
            <w:tcW w:type="dxa" w:w="1171"/>
            <w:vMerge/>
            <w:tcBorders/>
          </w:tcPr>
          <w:p/>
        </w:tc>
        <w:tc>
          <w:tcPr>
            <w:tcW w:type="dxa" w:w="117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Viet Nam . .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5,311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640.7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47.0 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593.7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6,153 </w:t>
            </w:r>
          </w:p>
        </w:tc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0.21 </w:t>
            </w:r>
          </w:p>
        </w:tc>
      </w:tr>
      <w:tr>
        <w:trPr>
          <w:trHeight w:hRule="exact" w:val="240"/>
        </w:trPr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Yemen, Republic of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2,212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0.08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266.8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14.0 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252.8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3,054 </w:t>
            </w:r>
          </w:p>
        </w:tc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0.11 </w:t>
            </w:r>
          </w:p>
        </w:tc>
      </w:tr>
      <w:tr>
        <w:trPr>
          <w:trHeight w:hRule="exact" w:val="240"/>
        </w:trPr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Zambia . . . . . . . . . . . . . . .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4,727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0.17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570.2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38.7 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531.5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5,569 </w:t>
            </w:r>
          </w:p>
        </w:tc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0.19 </w:t>
            </w:r>
          </w:p>
        </w:tc>
      </w:tr>
      <w:tr>
        <w:trPr>
          <w:trHeight w:hRule="exact" w:val="244"/>
        </w:trPr>
        <w:tc>
          <w:tcPr>
            <w:tcW w:type="dxa" w:w="232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Zimbabwe . . . . . . . . . . . . .</w:t>
            </w:r>
          </w:p>
        </w:tc>
        <w:tc>
          <w:tcPr>
            <w:tcW w:type="dxa" w:w="11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2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3,575 </w:t>
            </w:r>
          </w:p>
        </w:tc>
        <w:tc>
          <w:tcPr>
            <w:tcW w:type="dxa" w:w="9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0.13 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431.3 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22.4 </w:t>
            </w:r>
          </w:p>
        </w:tc>
        <w:tc>
          <w:tcPr>
            <w:tcW w:type="dxa" w:w="8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408.9 </w:t>
            </w:r>
          </w:p>
        </w:tc>
        <w:tc>
          <w:tcPr>
            <w:tcW w:type="dxa" w:w="14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2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4,417 </w:t>
            </w:r>
          </w:p>
        </w:tc>
        <w:tc>
          <w:tcPr>
            <w:tcW w:type="dxa" w:w="7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0.15 </w:t>
            </w:r>
          </w:p>
        </w:tc>
      </w:tr>
      <w:tr>
        <w:trPr>
          <w:trHeight w:hRule="exact" w:val="320"/>
        </w:trPr>
        <w:tc>
          <w:tcPr>
            <w:tcW w:type="dxa" w:w="23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Total-June 30, 2025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</w:t>
            </w:r>
          </w:p>
        </w:tc>
        <w:tc>
          <w:tcPr>
            <w:tcW w:type="dxa" w:w="11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2,709,291 </w:t>
            </w:r>
          </w:p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</w:t>
            </w:r>
          </w:p>
        </w:tc>
        <w:tc>
          <w:tcPr>
            <w:tcW w:type="dxa" w:w="10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326,835 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22,911 </w:t>
            </w:r>
          </w:p>
        </w:tc>
        <w:tc>
          <w:tcPr>
            <w:tcW w:type="dxa" w:w="225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303,924  2,868,429 </w:t>
            </w:r>
          </w:p>
        </w:tc>
        <w:tc>
          <w:tcPr>
            <w:tcW w:type="dxa" w:w="7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100% </w:t>
            </w:r>
          </w:p>
        </w:tc>
      </w:tr>
      <w:tr>
        <w:trPr>
          <w:trHeight w:hRule="exact" w:val="360"/>
        </w:trPr>
        <w:tc>
          <w:tcPr>
            <w:tcW w:type="dxa" w:w="23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Total-June 30, 2024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</w:t>
            </w:r>
          </w:p>
        </w:tc>
        <w:tc>
          <w:tcPr>
            <w:tcW w:type="dxa" w:w="11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2,678,098 </w:t>
            </w:r>
          </w:p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323,072 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22,452 </w:t>
            </w:r>
          </w:p>
        </w:tc>
        <w:tc>
          <w:tcPr>
            <w:tcW w:type="dxa" w:w="2258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300,620  2,835,535 </w:t>
            </w:r>
          </w:p>
        </w:tc>
        <w:tc>
          <w:tcPr>
            <w:tcW w:type="dxa" w:w="7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23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2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7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Notes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a.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May differ from the calculated figures or sum of individual figures shown due to rounding.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See Notes to Financial Statements, Note B—Capital Stock, Maintenance of Value, and Membership.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 member of the Development Assistance Committee of the Organization for Economic Cooperation and </w:t>
      </w:r>
    </w:p>
    <w:p>
      <w:pPr>
        <w:autoSpaceDN w:val="0"/>
        <w:autoSpaceDE w:val="0"/>
        <w:widowControl/>
        <w:spacing w:line="200" w:lineRule="exact" w:before="4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Development (OECD).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*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Indicates amount less than $0.5 million or 0.005% </w:t>
      </w:r>
    </w:p>
    <w:p>
      <w:pPr>
        <w:autoSpaceDN w:val="0"/>
        <w:autoSpaceDE w:val="0"/>
        <w:widowControl/>
        <w:spacing w:line="200" w:lineRule="exact" w:before="2840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 xml:space="preserve">The Notes to Financial Statements are an integral part of these Statements. </w:t>
      </w:r>
    </w:p>
    <w:p>
      <w:pPr>
        <w:autoSpaceDN w:val="0"/>
        <w:autoSpaceDE w:val="0"/>
        <w:widowControl/>
        <w:spacing w:line="200" w:lineRule="exact" w:before="3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113 </w:t>
      </w:r>
    </w:p>
    <w:p>
      <w:pPr>
        <w:sectPr>
          <w:pgSz w:w="12240" w:h="15840"/>
          <w:pgMar w:top="880" w:right="1428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N</w:t>
      </w:r>
      <w:r>
        <w:rPr>
          <w:rFonts w:ascii="Times" w:hAnsi="Times" w:eastAsia="Times"/>
          <w:b/>
          <w:i w:val="0"/>
          <w:color w:val="044A72"/>
          <w:sz w:val="28"/>
        </w:rPr>
        <w:t>OTES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T</w:t>
      </w:r>
      <w:r>
        <w:rPr>
          <w:rFonts w:ascii="Times" w:hAnsi="Times" w:eastAsia="Times"/>
          <w:b/>
          <w:i w:val="0"/>
          <w:color w:val="044A72"/>
          <w:sz w:val="28"/>
        </w:rPr>
        <w:t>O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F</w:t>
      </w:r>
      <w:r>
        <w:rPr>
          <w:rFonts w:ascii="Times" w:hAnsi="Times" w:eastAsia="Times"/>
          <w:b/>
          <w:i w:val="0"/>
          <w:color w:val="044A72"/>
          <w:sz w:val="28"/>
        </w:rPr>
        <w:t>INANCIAL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</w:p>
    <w:p>
      <w:pPr>
        <w:autoSpaceDN w:val="0"/>
        <w:autoSpaceDE w:val="0"/>
        <w:widowControl/>
        <w:spacing w:line="200" w:lineRule="exact" w:before="108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PURPOSE AND AFFILIATED ORGANIZATIONS </w:t>
      </w:r>
    </w:p>
    <w:p>
      <w:pPr>
        <w:autoSpaceDN w:val="0"/>
        <w:autoSpaceDE w:val="0"/>
        <w:widowControl/>
        <w:spacing w:line="240" w:lineRule="exact" w:before="10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International Bank for Reconstruction and Development (IBRD) is an international organization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commenced operations in 1946. The principal purpose of IBRD is to promote sustainable economic development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reduce poverty in its member countries, primarily by providing loans, guarantees and related technical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assistance for specific projects and for programs of economic reform in developing member countries.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activities of IBRD are complemented by those of three affiliated organizations, the International Development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Association (IDA), the International Finance Corporation (IFC), and the Multilateral Investment Guarantee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Agency (MIGA). Each of these organizations is legally and financially independent from IBRD, with separate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 and liabilities, and IBRD is not liable for their respective obligations. Transactions with these affiliated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organizations are disclosed in the notes that follow. </w:t>
      </w:r>
    </w:p>
    <w:p>
      <w:pPr>
        <w:autoSpaceDN w:val="0"/>
        <w:autoSpaceDE w:val="0"/>
        <w:widowControl/>
        <w:spacing w:line="240" w:lineRule="exact" w:before="19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 immune from taxation pursuant to Article VII, Section 9, </w:t>
      </w:r>
      <w:r>
        <w:rPr>
          <w:rFonts w:ascii="Times" w:hAnsi="Times" w:eastAsia="Times"/>
          <w:b w:val="0"/>
          <w:i/>
          <w:color w:val="231F20"/>
          <w:sz w:val="20"/>
        </w:rPr>
        <w:t>Immunities from Taxation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of IBRD’s Articles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Agreement. </w:t>
      </w:r>
    </w:p>
    <w:p>
      <w:pPr>
        <w:autoSpaceDN w:val="0"/>
        <w:autoSpaceDE w:val="0"/>
        <w:widowControl/>
        <w:spacing w:line="200" w:lineRule="exact" w:before="2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A—SUMMARY OF SIGNIFICANT ACCOUNTING AND RELATED POLICIES 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financial statements are prepared in conformity with accounting principles generally accepted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States of America (U.S. GAAP). </w:t>
      </w:r>
    </w:p>
    <w:p>
      <w:pPr>
        <w:autoSpaceDN w:val="0"/>
        <w:autoSpaceDE w:val="0"/>
        <w:widowControl/>
        <w:spacing w:line="240" w:lineRule="exact" w:before="20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preparation of financial statements in conformity with U.S. GAAP requires management to make estimates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assumptions that affect the reported amounts of assets and liabilities and disclosure of contingent assets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at the date of the financial statements and the reported amounts of revenue and expenses during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 periods. Due to the inherent uncertainty involved in making these estimates, actual results could differ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these estimates. Significant judgment has been used in the valuation of certain financial instruments,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determination of the adequacy of the accumulated provisions for losses on loans and other exposures,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determination of the net periodic cost from pension and other postretirement benefits plans, and the present value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projected benefit obligations. </w:t>
      </w:r>
    </w:p>
    <w:p>
      <w:pPr>
        <w:autoSpaceDN w:val="0"/>
        <w:autoSpaceDE w:val="0"/>
        <w:widowControl/>
        <w:spacing w:line="240" w:lineRule="exact" w:before="19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Certain reclassifications of the prior year’s information have been made to conform with the current year’s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presentation. </w:t>
      </w:r>
    </w:p>
    <w:p>
      <w:pPr>
        <w:autoSpaceDN w:val="0"/>
        <w:autoSpaceDE w:val="0"/>
        <w:widowControl/>
        <w:spacing w:line="200" w:lineRule="exact" w:before="3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Translation and Remeasurement of Currencies 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financial statements are expressed in terms of U.S. dollars for the purpose of reporting IBRD’s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 and the results of its operations. IBRD’s functional currencies are the U.S. dollar and euro. </w:t>
      </w:r>
    </w:p>
    <w:p>
      <w:pPr>
        <w:autoSpaceDN w:val="0"/>
        <w:autoSpaceDE w:val="0"/>
        <w:widowControl/>
        <w:spacing w:line="240" w:lineRule="exact" w:before="20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 and liabilities are translated at market exchange rates in effect at the end of the reporting period. Revenue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expenses are translated at either the market exchange rates in effect on the dates on which they are recognized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at an average of the market exchange rates in effect during the month of the transaction. Remeasurement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adjustments relating to non-functional currencies are reflected in the Statements of Income, while translation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adjustments for assets and liabilities denominated in euro are reflected in the Statements of Comprehensive Income. </w:t>
      </w:r>
    </w:p>
    <w:p>
      <w:pPr>
        <w:autoSpaceDN w:val="0"/>
        <w:autoSpaceDE w:val="0"/>
        <w:widowControl/>
        <w:spacing w:line="200" w:lineRule="exact" w:before="33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Paid-In Capital </w:t>
      </w:r>
    </w:p>
    <w:p>
      <w:pPr>
        <w:autoSpaceDN w:val="0"/>
        <w:autoSpaceDE w:val="0"/>
        <w:widowControl/>
        <w:spacing w:line="200" w:lineRule="exact" w:before="14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Valuation of Capital Stock </w:t>
      </w:r>
    </w:p>
    <w:p>
      <w:pPr>
        <w:autoSpaceDN w:val="0"/>
        <w:autoSpaceDE w:val="0"/>
        <w:widowControl/>
        <w:spacing w:line="240" w:lineRule="exact" w:before="1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the Articles of Agreement, the capital stock of IBRD is expressed in terms of “U.S. dollars of the weight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fineness in effect on July 1, 1944” (“1944 dollars”). Following the abolition of gold as a common denominator of </w:t>
      </w:r>
    </w:p>
    <w:p>
      <w:pPr>
        <w:autoSpaceDN w:val="0"/>
        <w:autoSpaceDE w:val="0"/>
        <w:widowControl/>
        <w:spacing w:line="200" w:lineRule="exact" w:before="29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114 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monetary system and the repeal of the provision of the U.S. law defining the par value of the U.S. dollar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terms of gold, the pre-existing basis for translating 1944 dollars into current dollars or into any other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 eliminated. The Executive Directors of IBRD have decided, until such time as the relevant provisions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Articles of Agreement are amended, that the words “U.S. dollars of the weight and fineness in effect on July 1,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1944” in Article II, Section 2(a) of the Articles of Agreement of IBRD are interpreted to mean the Special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Drawing Right (SDR) introduced by the International Monetary Fund, as valued in terms of U.S. dollars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immediately before the introduction of the basket method of valuing the SDR on July 1, 1974, such value being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$1.20635 for one SDR (“1974 SDR”). </w:t>
      </w:r>
    </w:p>
    <w:p>
      <w:pPr>
        <w:autoSpaceDN w:val="0"/>
        <w:autoSpaceDE w:val="0"/>
        <w:widowControl/>
        <w:spacing w:line="200" w:lineRule="exact" w:before="326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Nonnegotiable, Noninterest-bearing Demand Obligations on Account of Subscribed Capital </w:t>
      </w:r>
    </w:p>
    <w:p>
      <w:pPr>
        <w:autoSpaceDN w:val="0"/>
        <w:autoSpaceDE w:val="0"/>
        <w:widowControl/>
        <w:spacing w:line="240" w:lineRule="exact" w:before="9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demand obligations are held in bank accounts which bear IBRD’s name and are carried and reported at face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as a reduction to equity. Payments on some of these instruments are due to IBRD upon demand. Others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due to IBRD on demand, but only after IBRD’s callable subscribed capital has been entirely called pursuant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Article IV, Section 2 (a) of the Articles of Agreement. </w:t>
      </w:r>
    </w:p>
    <w:p>
      <w:pPr>
        <w:autoSpaceDN w:val="0"/>
        <w:autoSpaceDE w:val="0"/>
        <w:widowControl/>
        <w:spacing w:line="200" w:lineRule="exact" w:before="326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Receivable and deferred amounts to maintain value of currency holdings </w:t>
      </w:r>
    </w:p>
    <w:p>
      <w:pPr>
        <w:autoSpaceDN w:val="0"/>
        <w:autoSpaceDE w:val="0"/>
        <w:widowControl/>
        <w:spacing w:line="240" w:lineRule="exact" w:before="9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Article II, Section 9 of the Articles of Agreement provides for maintenance of value (MOV), at the time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subscription, of national currencies paid-in, which are subject to certain restrictions. MOV is determined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measuring the foreign exchange value of a member’s national currency against the standard of value of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based on the 1974 SDR. MOV receivable are amounts due from members on account of movements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exchange rates from the date of initial subscription, resulting in the reduction in the value of their paid-in capital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denominated in national currencies. Members are required to make payments to IBRD if their currencies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depreciate significantly relative to the standard of value. These amounts may be settled either in cash or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nonnegotiable, noninterest-bearing note, which is due on demand. Furthermore, the Executive Directors have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adopted a policy of reimbursing members whose national currencies appreciate significantly in terms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standard of value. </w:t>
      </w:r>
    </w:p>
    <w:p>
      <w:pPr>
        <w:autoSpaceDN w:val="0"/>
        <w:autoSpaceDE w:val="0"/>
        <w:widowControl/>
        <w:spacing w:line="240" w:lineRule="exact" w:before="19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MOV is deferred when the restriction of national currencies paid-in is lifted and these currencies are being used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IBRD’s operations and/or are being invested, swapped, or loaned to members by IBRD or through IFC. Once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restricted currencies are no longer being used in operations, the related MOV is no longer deferred, but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rather, becomes due on the same terms as other MOV obligations. </w:t>
      </w:r>
    </w:p>
    <w:p>
      <w:pPr>
        <w:autoSpaceDN w:val="0"/>
        <w:autoSpaceDE w:val="0"/>
        <w:widowControl/>
        <w:spacing w:line="240" w:lineRule="exact" w:before="19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MOV receivable balances are shown as components of Equity, under Receivable amounts to maintain value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currency holdings. All MOV payable balances are included in Other liabilities—Accounts payable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miscellaneous liabilities on the Balance Sheets. The net receivable or payable MOV amounts relating to national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currencies used in IBRD’s lending and investing operations are also included as a component of Equity under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Deferred amounts to maintain value of currency holdings. </w:t>
      </w:r>
    </w:p>
    <w:p>
      <w:pPr>
        <w:autoSpaceDN w:val="0"/>
        <w:autoSpaceDE w:val="0"/>
        <w:widowControl/>
        <w:spacing w:line="200" w:lineRule="exact" w:before="32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Withdrawal of Membership </w:t>
      </w:r>
    </w:p>
    <w:p>
      <w:pPr>
        <w:autoSpaceDN w:val="0"/>
        <w:autoSpaceDE w:val="0"/>
        <w:widowControl/>
        <w:spacing w:line="240" w:lineRule="exact" w:before="9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IBRD’s Articles of Agreement, in the event a member withdraws from IBRD, the withdrawing member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entitled to receive the value of its shares payable to the extent the member does not have any outstanding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to IBRD. IBRD’s Articles of Agreement also state that the former member has continuing obligations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IBRD after withdrawal. Specifically, the former member remains fully liable for its entire capital subscription,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both the previously paid-in portion and the callable portion, so long as any part of the loans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contracted before it ceased to be a member are outstanding. </w:t>
      </w:r>
    </w:p>
    <w:p>
      <w:pPr>
        <w:autoSpaceDN w:val="0"/>
        <w:autoSpaceDE w:val="0"/>
        <w:widowControl/>
        <w:spacing w:line="200" w:lineRule="exact" w:before="32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Transfers Approved by the Board of Governors </w:t>
      </w:r>
    </w:p>
    <w:p>
      <w:pPr>
        <w:autoSpaceDN w:val="0"/>
        <w:autoSpaceDE w:val="0"/>
        <w:widowControl/>
        <w:spacing w:line="240" w:lineRule="exact" w:before="9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accordance with IBRD’s Articles of Agreement, as interpreted by the Executive Directors, the Board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 may exercise its reserved power to approve transfers to other entities for development purposes. When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unconditional, these transfers, which are included in the Board of Governors-approved transfers line in the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 of Income, are reported as expenses upon approval. If conditional, these transfers are expensed when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conditions specified for the use by the beneficiaries have been met. The transfers are funded from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preceding fiscal year’s Net Income, Surplus, Restricted Retained Earnings or Other Reserves.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Retained Earnings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Retained Earnings consist of allocated amounts (Special Reserve, General Reserve, Pension Reserve, Surplus,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Cumulative Fair Value Adjustments, Restricted Retained Earnings, Other Reserves) and Unallocated Net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(Loss).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Special Reserve consists of loan commissions set aside pursuant to Article IV, Section 6 of the Articles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Agreement, which are to be held in liquid assets. These assets may be used only for the purpose of meeting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of IBRD on its borrowings and guarantees in the event of default on loans made, participated in,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guaranteed by IBRD. The Special Reserve assets are included under Investments-Trading, and comprise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of the United States Government, its agencies, and other official entities. The allocation of 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commissions to the Special Reserve was discontinued in 1964 with respect to subsequent loans and no further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additions are being made to it.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General Reserve consists of earnings from prior fiscal years which, in the judgment of the Executive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Directors, should be retained in IBRD’s operations.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Pension Reserve consists of the difference between the cumulative actual funding of the Staff Retirement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 and Trust (SRP) and other postretirement benefits plans, and the cumulative accounting income or expense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these plans, from prior fiscal years. This reserve is reduced when pension accounting expenses exceed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actual funding of these plans. In addition, the Pension Reserve also includes investment revenue earned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Post-Employment Benefits Plan (PEBP) portfolio and Post Retirement Contribution Reserve Fund (PCRF),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is used to stabilize IBRD’s contributions to the pension plan.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Surplus consists of earnings from prior fiscal years which are retained by IBRD until a further decision is made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their disposition. Allocations from Surplus are recorded when approved by the Board of Governors.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Cumulative Fair Value Adjustments consist of the unrealized mark-to-market gains or losses on non- trading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portfolios and certain positions in the trading portfolio.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Restricted Retained Earnings consists of contributions or revenue from prior years which are contractually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restricted as to their purpose.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Reserves consist mainly of allocations from Surplus to certain funds and non-functional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translation adjustment gains/losses from prior fiscal years.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Unallocated Net Income (Loss) consists of the current fiscal year’s net income (loss) adjusted for Board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Governors-approved transfers made during the year.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Accumulated other comprehensive income </w:t>
      </w:r>
    </w:p>
    <w:p>
      <w:pPr>
        <w:autoSpaceDN w:val="0"/>
        <w:autoSpaceDE w:val="0"/>
        <w:widowControl/>
        <w:spacing w:line="240" w:lineRule="exact" w:before="12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Comprehensive income or loss consists of net income (loss) and other gains and losses affecting equity that,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U.S. GAAP, are excluded from net income. Other comprehensive income (loss) comprises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translation adjustments on assets and liabilities denominated in euro, DVA on Fair Value Option elected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liabilities, and pension related items, as presented in Statement of Comprehensive income. </w:t>
      </w:r>
    </w:p>
    <w:p>
      <w:pPr>
        <w:autoSpaceDN w:val="0"/>
        <w:autoSpaceDE w:val="0"/>
        <w:widowControl/>
        <w:spacing w:line="200" w:lineRule="exact" w:before="10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116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Loans and Other Exposures 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Loans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IBRD loans are made to or guaranteed by countries that are members of IBRD, except for loans made to IFC.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majority of IBRD’s loans have repayment obligations based on specific currencies. IBRD also holds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multicurrency loans which have repayment obligations in various currencies determined on the basis of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 pooling system. Other exposures comprise signed commitments (including Deferred Drawdown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Options (DDOs) that are effective, and irrevocable commitments), and guarantees.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Generally, loans are reported on the Balance Sheets at amortized cost. Loans with embedded derivatives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assessed for fair value election, or bifurcation of the loan and derivative. Commitment charges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undisbursed balance of loans are recognized in revenue as earned. Any loan origination fees incorporated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terms of a loan are deferred and recognized over the life of the loan as an adjustment of the yield.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unamortized balance of loan origination fees is included as a reduction of the Loans outstanding on the Balance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Sheets, and the amortization of loan origination fees are included in Interest revenue from Loans, net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 of Income. Accrued interest is presented in the Balance Sheets line item Receivables-Accrued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loans and guarantee fees receivable.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It is IBRD’s practice not to reschedule interest or principal payments on its loans or participate in debt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rescheduling agreements with respect to its loans, except for activation of a deferral under the Climate Resilient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Clause (CRDC). Should any other permissible modifications be made to the terms of existing loans,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perform an evaluation to determine the required accounting treatment, including whether the modification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result in the affected loans being accounted for as a new loan or as a continuation of the existing loan.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It is IBRD’s policy to place all loans and other exposures (collectively “exposures”) made to or guaranteed by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of IBRD into nonaccrual status if principal, interest, or other charges with respect to any such exposures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overdue by more than six months, unless IBRD’s management determines that the overdue amount will be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collected in the immediate future. In addition, if loans and other exposures made by IDA to a member country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placed in nonaccrual status, all IBRD loans and other exposures made to, or guaranteed by, that member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 will also be placed in nonaccrual status by IBRD. On the date a member’s exposures are placed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status, unpaid interest and other charges accrued on exposures to the member are deducted from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of the current period.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and other charges on nonaccruing exposures are included in revenue only to the extent that payments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have been received by IBRD. A decision on the restoration of accrual status is made upon arrears clearance. If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collectability risk is considered to be particularly high at the time of arrears clearance, the member’s exposures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may not automatically emerge from nonaccrual status until a suitable period of payment performance has passed.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Loan Commitments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Loan Commitments are undisbursed loans approved by the Executive Directors, for which disbursements are yet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be made. IBRD records a provision for expected losses on undisbursed loan commitments including DDOs,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when signed by both parties. The signature of the loan agreement is a binding event that prevents IBRD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unconditionally withdrawing from the agreement.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Guarantees provided </w:t>
      </w:r>
    </w:p>
    <w:p>
      <w:pPr>
        <w:autoSpaceDN w:val="0"/>
        <w:autoSpaceDE w:val="0"/>
        <w:widowControl/>
        <w:spacing w:line="240" w:lineRule="exact" w:before="12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guarantees are commitments issued by IBRD to guarantee payment by a member country (the debtor)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a third party in the event that a member government (or a government-owned entity) fails to perform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contractual obligations to a third party. 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117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provided are regarded as outstanding when the underlying financial obligation of the debtor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incurred, and called when a guaranteed party demands payment under the guarantee. IBRD would be required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perform under its guarantees if the payments guaranteed were not made by the debtor and the guaranteed party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called the guarantee by demanding payment from IBRD in accordance with the terms of the guarantee.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event that a guarantee of a member country is called, IBRD has the contractual right to require payment from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country.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records the fair value of the obligation to stand ready in Other Liabilities-Accounts payable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miscellaneous liabilities, and a corresponding fees receivable asset in the Receivables-Accrued income on loans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guarantee fees receivable line on IBRD’s Balance Sheets. Upfront guarantee fees received are deferred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amortized over the life of the guarantee.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Guarantees Received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receives third-party guarantees in the form of a credit enhancement to loan exposures. The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enhancements that are contractually attached to the loan reduce the exposure at risk considered in computing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loss provisions.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guarantees that are not contractually attached to the loan are recorded as a recoverable asset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included in Other assets—Miscellaneous on the Balance Sheets. The change in value of the recoverable asset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recorded as Non-interest revenue—Other, net on the Statements of Income.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enhancements that do not meet the requirements to be accounted for as financial guarantees are recorded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derivatives.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Accumulated Provision for Losses on Loans and Other Exposures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determines the appropriate level of accumulated provisions for losses on exposures, which reflects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expected losses inherent in IBRD’s exposures.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Loans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Loan exposures are disaggregated into two groups: exposures in accrual status and exposures in nonaccrual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status. In each group, a credit risk rating is assigned to exposures for each borrower.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total exposure for provisioning is the current exposure and the estimated future exposure, taking into account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disbursements and repayments over the life of the instruments. The expected credit losses related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and other exposures are calculated over the life of the instruments based on the annual estimated exposures,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expected default frequency (probability of default to IBRD) and the estimated loss given default.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provision for expected losses is the sum of the expected annual losses over the life of the instruments.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countries in accrual status, these exposures are grouped in pools of borrowers with a similar risk rating.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determination of a borrower’s rating is based on various factors (see Note D—Loans and other exposures). Each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rating is mapped to an expected default frequency using IBRD’s credit migration matrix, based on historical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observations of credit ratings at the beginning and at the end of each year.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losses on loan exposures comprise estimates of potential losses arising from the economic loss due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delays in receiving payments. The estimated loss given default is determined at each Balance Sheet date, based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IBRD’s historical experience, as well as parameters adjusted for current conditions during the reasonable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supportable forecast period of IBRD. The loss given default is based on the borrower’s eligibility, namely: IBRD,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Blend (IBRD and IDA) and IDA, with the highest loss given default associated with IDA eligibility. The main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factors used to determine the loss given default are the estimated length of delays in receiving loan payments,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and the effective interest rate of the exposure. As the majority of IBRD’s loans carry a variable interest rate,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 severity is impacted by the changes in forward looking market interest rates.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calculation of expected credit losses, IBRD applies a three-year reasonable and supportable forecast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period, representing the most reliable and available economic data during this period. IBRD also applies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ten-year straight-line reversion to the mean to reflect the historical pattern of rating migration to the mean of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portfolio. </w:t>
      </w:r>
    </w:p>
    <w:p>
      <w:pPr>
        <w:autoSpaceDN w:val="0"/>
        <w:autoSpaceDE w:val="0"/>
        <w:widowControl/>
        <w:spacing w:line="240" w:lineRule="exact" w:before="24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This methodology is also applied to countries with exposures in nonaccrual status, although the expected default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frequency is equal to one hundred percent. At times, to reflect certain distinguishing circumstances of a particular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situation, different input assumptions may be used for a specific country.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exposures for countries in nonaccrual status are individually assessed. Exposure for certain countries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accrual status may be individually assessed on the basis that they do not share common risk characteristics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existing pool of exposures. It is IBRD’s practice not to write off loans. All contractual obligations associated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exposures in nonaccrual status have eventually been cleared, and borrowers have emerged from nonaccrual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status. To date, no loans have been written off.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reassesses the adequacy of the accumulated provision on a quarterly basis and adjustments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accumulated provision are recorded as a charge to or release of provision in the Statements of Income.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addition, reasonableness of the inputs used is reassessed quarterly.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Loan Commitments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records the expected credit losses on loan commitments based on the projected disbursements of signed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commitments (adjusted by cancellations based on historical experience), the expected probability of default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estimated loss given default. The provision is included in Other liabilities—Accounts payable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miscellaneous liabilities on the Balance Sheets.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Guarantees provided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records a contingent liability for the expected losses related to guarantees provided over the projected life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instruments, that is determined based on the estimated exposure at default, multiplied by the corresponding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 given default and expected default probability for the projected life of the guarantee. This contingent liability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well as the unamortized balance of the deferred guarantee fees, and the unamortized balance of the obligation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stand-ready, are included in Other Liabilities—Accounts payable and miscellaneous liabilities on the Balance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Sheets.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Exposure Exchange Agreements (EEAs)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executes EEAs with various organizations. While these agreements are not legally considered guarantees,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IBRD’s financial statements they are recognized as financial guarantees as they meet the accounting criteria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financial guarantees. Under an EEA, each party exchanges credit risk exposure of a portfolio supported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underlying loans to borrowers, by providing and receiving guarantees from each other, for the amounts specified.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guarantee provided and the guarantee received are two separate transactions; namely (a) the provision of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guarantee, and (b) the receipt of an asset. There is generally no exchange of cash between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organizations for these transactions.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a guarantee provided under an EEA, IBRD records a liability equivalent to the fair value of the obligation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stand ready. This liability is included in Other liabilities—Accounts payable and miscellaneous liabilities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Balance Sheets and is amortized over the life of the EEA. IBRD also records a liability, and corresponding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expense, in recognition of the risk coverage provided (provision). The change in the provision is recorded as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119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Provision for losses on loans and other exposures on the Statements of Income. The value of this liability reflects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credit quality of the underlying loans in the portfolio and changes over the life of the EEA as the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quality of these loans changes.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a guarantee received under an EEA, IBRD records an asset equivalent to the fair value of the right to be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indemnified. This asset is included in Other assets—Miscellaneous on the Balance Sheets and is amortized over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life of the EEA. IBRD records corresponding income, in recognition of the risk coverage received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(recoverable asset). The change in value of the recoverable asset is recorded as Non-interest revenue—Other,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the Statements of Income. The value of this asset reflects the credit quality of the underlying loans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and changes over the life of the EEA contract as the credit quality of these loans changes.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Statements of Cash Flows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 of IBRD’s Statements of Cash Flows, cash is defined as the amount of Unrestricted cash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Restricted cash under the Due from banks line on the Balance Sheets.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Restricted Cash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This includes amounts which have been received from members as part of their capital subscriptions, as well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donors and other sources, which are restricted for specified purposes. For capital subscriptions, a portion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subscriptions have been paid to IBRD in the national currencies of the members. These amounts are usable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IBRD in its lending and investing operations, only with the consent of the respective members, and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administrative expenses incurred in national currencies.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Investments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securities are classified based on Management’s intention on the date of purchase, their nature,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policies governing the level and use of such investments. As of June 30, 2025, all of the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 in IBRD’s investment portfolio were classified as trading. These securities are carried and reported 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value, or at face value or net asset value (NAV), which approximate fair value.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Where available, quoted market prices are used to determine the fair value of trading securities. These include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most government, agency and corporate obligations, exchange-traded equity securities, Asset- backed 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(ABS), and Mortgage-backed Securities (MBS). For instruments for which market quotations are not available, </w:t>
      </w:r>
      <w:r>
        <w:rPr>
          <w:rFonts w:ascii="Times" w:hAnsi="Times" w:eastAsia="Times"/>
          <w:b w:val="0"/>
          <w:i w:val="0"/>
          <w:color w:val="231F20"/>
          <w:sz w:val="20"/>
        </w:rPr>
        <w:t>fair values are determined using model-based valuation techniques, whether internally-generated or vendor-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supplied, that include the discounted cash flow method using observable market inputs such as yield curves,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spreads, and conditional prepayment rates. Where applicable, unobservable inputs such as estimated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conditional prepayment rates for illiquid instruments, probability of default and loss severity are used. Unless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quoted prices are available, time deposits are reported at face value which approximates fair value, as they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short term in nature. Purchases and sales of securities are recorded on a trade-date basis. Time deposits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money market deposits are recorded at settlement. The first-in first-out method is used to determine the cost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sold in computing the realized gains and losses on these instruments. Derivative instruments used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liquidity management are not designated as hedging instruments for accounting purposes.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revenue is included in the Investments-Trading, net line in the Statements of Income. Unrealized gains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losses for investment securities and related financial instruments held in the trading portfolio are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Unrealized mark-to-market gains (losses) on Investments-Trading portfolio, net line in the Statements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Income. Realized gains and losses on trading securities are recognized in the Statements of Income when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are sold. 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may require collateral in the form of approved liquid securities from individual counterparties or cash,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legal agreements that provide for collateralization, in order to mitigate its credit exposure to these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120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counterparties. For collateral received in the form of cash from counterparties, IBRD invests the amounts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received and records the investment and a corresponding obligation to return the cash. Collateral received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form of liquid securities is only recorded on IBRD’s Balance Sheets to the extent that it has been transferred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securities lending agreements in return for cash. </w:t>
      </w:r>
    </w:p>
    <w:p>
      <w:pPr>
        <w:autoSpaceDN w:val="0"/>
        <w:autoSpaceDE w:val="0"/>
        <w:widowControl/>
        <w:spacing w:line="240" w:lineRule="exact" w:before="358" w:after="0"/>
        <w:ind w:left="120" w:right="432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Securities Purchased Under Resale Agreements, Securities Lent Under Securities Lending Agreements 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and Securities Sold Under Repurchase Agreements and Payable for Cash Collateral Received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purchased under resale agreements, securities lent under securities lending agreements, securities sold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repurchase agreements and payable for cash collateral received are reported at face value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approximates fair value, as they are short term in nature. IBRD receives securities purchased under resale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agreements, monitors the fair value of the securities and, if necessary, closes out transactions and enters into new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repriced transactions. The securities transferred to counterparties under repurchase and security lending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arrangements and the securities transferred to IBRD under resale agreements have not met the accounting criteria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treatment as a sale. Therefore, securities transferred under repurchase agreements and security lending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arrangements are retained as assets on the Balance Sheets, and securities received under resale agreements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recorded on the Balance Sheets. Securities lent under securities lending agreements and sold under 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repurchase agreements as well as securities purchased under resale agreements are presented on a gross basis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is consistent with the manner in which these instruments are settled. The interest earned from 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purchased under resale agreements is included in Investments–Trading, net in the Statements of Income.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expense pertaining to the securities sold under repurchase agreements and security lending arrangements,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included in the Borrowing expenses, net line in the Statements of Income.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Premises and Equipment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Premises and equipment, including leasehold improvements, and information technology assets are carried 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cost less accumulated depreciation and amortization. IBRD computes depreciation and amortization using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straight-line method over the estimated useful lives of the owned assets, which range between three and fifty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years. For leasehold improvements, depreciation is computed over the lesser of the remaining term of the leased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facility or the estimated economic life of the improvement.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Maintenance and repairs are charged to expense as incurred, while major improvements are capitalized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amortized over the estimated useful life.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Lessee Arrangements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lessee arrangements are mostly real estate operating leases. Under these arrangements, IBRD records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right-of-use assets and lease liabilities at lease commencement. Right-of-use assets are reported in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assets—Premises and equipment, net and the related lease liabilities are reported in Other liabilities—Accounts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payable and miscellaneous liabilities. IBRD has elected to account for the lease and non-lease components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together as a single lease component. At lease commencement, lease liabilities are recognized based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 value of the remaining lease payments and discounted using IBRD’s incremental borrowing rate. All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leases are recorded on the Balance Sheets except short-term leases with an initial term of 12 months or less.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Lease expense, including that for short-term leases, is recognized on a straight-line basis over the lease term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recorded in Administrative expenses in the Statements of Income.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Borrowings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 ensure funds are available for lending and liquidity purposes, IBRD borrows in the international capital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markets, offering its securities (discount notes, vanilla and structured bonds) to private and governmental buyers.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issues debt instruments of varying maturities denominated in various currencies with both fixed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variable interest rates.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121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elected the fair value option for debt instruments issued in the capital markets. All changes in fair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are recognized in the related Unrealized mark-to-market gains and losses on non-trading portfolios, net,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line in the Statements of Income, except for changes in the fair value related to IBRD’s own credit risk,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reported in Other Comprehensive Income (OCI) as a Debit Valuation Adjustment (DVA). The DVA on fair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option elected liabilities is measured by revaluing each borrowing instrument to determine the changes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 of that instrument arising from changes in IBRD’s funding spread relative to the applicable reference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Structured bonds issued by IBRD have coupon or repayment terms linked to the level or the performance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rates, foreign exchange rates, equity indices, catastrophic events or commodities.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 of the Statements of Cash Flows, short-term borrowings, if any, with original maturities less than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90 days, are presented net of new issuances and retirements. By contrast, short-term borrowings with original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maturities greater than 90 days and up to one year are presented on a gross basis.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expense relating to all debt instruments in IBRD’s borrowing portfolio is measured on an effective yield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 and is reported as part of Borrowing expenses, net in the Statements of Income.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Amortization of discounts and premiums is recorded using the effective interest method and is included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expenses, net line in the Statements of Income.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Accounting for Borrowings at Amortized Cost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October 2024, IBRD issued hybrid capital in the legal form of debt, which has characteristics of both debt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equity. Hybrid capital is reported at amortized cost and included in Borrowings on the Balance Sheets. This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instrument also contains interest cancellation and principal write down features.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Currently, hybrid capital is available to IBRD’s shareholders, which may also enter into separate agreements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IBRD that allow them to redeem the hybrid capital to satisfy the payment condition for their paid-in portion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any future capital increase to which the shareholder has subscribed. In addition, certain agreements include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option, at IBRD’s discretion, to redeem the instrument at par after an initial period of 5 years.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Hybrid capital is subordinated to IBRD’s unsubordinated debt issuances, senior to IBRD equity and pari-passu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all other subordinated issuances. Hybrid capital carries interest rates similar to those of IBRD’s senior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medium and long-term bonds. Interest on the hybrid capital is cancellable at the sole discretion of IBRD,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mandatorily upon the occurrence of a trigger event (linked to the ratio of non-performing loans over usable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equity, and to the ratio of reported equity-to-assets).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Hybrid capital principal is automatically cancelled in the event IBRD makes a call to its members for callable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Accounting for Derivatives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elected not to designate any hedging relationships for accounting purposes. Rather, all 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 are reported at fair value on the Balance Sheets, with changes in fair values accounted for through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Statements of Income.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presentation of derivative instruments on IBRD’s Balance Sheets reflects the netting of derivative asset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liability positions and the related cash collateral received from the counterparty, when a legally enforceable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master netting agreement exists, and the other requisite conditions are met. In addition, in the Notes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statements, unless stated differently, derivatives are presented on a net basis by instrument. 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 master netting agreement is an industry standard agreement with a counterparty that permits multiple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transactions governed by that agreement to be terminated or accelerated and settled through a single payment in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single currency in the event of a default (e.g., bankruptcy, failure to make a required payment or transfer security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deliver collateral when due). Obligations under master netting agreements are often secured by collateral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posted under an industry standard credit support annex to the master netting agreement. Upon default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counterparty, the collateral agreement grants an entity the right to set-off any amounts payable by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against any posted collateral.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derivative instruments in its investment trading portfolio to manage interest rate and currency risks.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derivatives are carried and reported at fair value. Interest revenue/expenses are reflected as part of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revenue—Investments-Trading, net, while unrealized mark-to-market gains and losses on these derivatives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reflected as part of the Unrealized mark-to-market gains (losses) in Investments-Trading, net line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 of Income.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also uses derivatives in its loan, borrowing and asset/liability management activities. It also offers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intermediation services to clients. In the loan and borrowing portfolios, derivatives are used to modify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interest rate and/or currency characteristics of these portfolios. The interest component of these derivatives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recognized as an adjustment to the related loan revenue and borrowing costs over the life of the 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contracts and is included in the related Interest revenue/expenses lines in the Statements of Income. Changes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values of these derivatives are recorded in the Statements of Income as Unrealized mark-to-market gains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in non-trading portfolios, net.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 of the Statements of Cash Flows, IBRD has elected to report the cash flows associated with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instruments that are used to economically hedge its loans, investments and borrowings, in a manner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consistent with the presentation of the related loan, investment and borrowing cash flows.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contracts include currency forward contracts, to-be-announced (TBA) securities, swaptions, exchange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traded options and futures contracts, currency swaps and interest rate swaps. Currency swaps and interest rate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swaps are either plain vanilla or structured. Currency forward contracts and plain vanilla currency and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 swaps are valued using the discounted cash flow methods using observable market inputs such as yield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curves, foreign exchange rates, basis spreads and funding spreads. For structured currency and interest rate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swaps, which primarily consist of callable swaps linked to interest rates, foreign exchange rates, and equity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indices, valuation models and inputs similar to the ones applicable to structured bond valuations are used. Where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applicable, the models also incorporate significant unobservable inputs such as correlations and long-dated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 volatilities.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Most outstanding derivative positions are transacted over-the-counter and therefore valued using internally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developed valuation models. For commercial and non-commercial counterparties where IBRD has a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receivable position, IBRD calculates a Credit Valuation Adjustment (CVA) to reflect credit risk. For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positions with commercial and non-commercial counterparties where IBRD is in a net payable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position, IBRD calculates a DVA to reflect its own credit risk. The CVA is calculated using future projected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 of the derivative contracts, net of collateral received under credit support agreements, and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probability of counterparty default based on the Credit Default Swaps (CDS) spread and, where applicable, proxy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CDS spreads. The DVA calculation is generally consistent with the CVA methodology and incorporates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own credit spread as observed through the CDS market.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Valuation of Financial Instruments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an established and documented process for determining fair values. Fair value is based upon quoted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 prices for the same or similar securities, where available. Financial instruments for which quoted market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prices are not readily available are valued based on discounted cash flow models and other established valuation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models. These models primarily use market-based or independently-sourced market parameters such as yield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curves, interest rates, volatilities, foreign exchange rates and credit curves, and may incorporate unobservable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inputs, some of which may be significant. Selection of these inputs may involve some judgment. In instances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where management relies on instrument valuations supplied by external pricing vendors, there are procedures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place to validate the appropriateness of the models used as well as inputs applied in determining those values.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fair value of certain investments is calculated using NAV as a practical expedient. To ensure that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valuations are appropriate where internally-developed models are used, IBRD has various controls in place,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include both internal and periodic external verification and review.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Fair Value Hierarchy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instruments are categorized based on the priority of the inputs to the valuation technique. The fair value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hierarchy gives the highest priority to quoted prices in active markets for identical assets or liabilities (Level 1),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next highest priority to observable market-based inputs or inputs that are corroborated by market data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(Level 2) and the lowest priority to unobservable inputs that are not corroborated by market data (Level 3).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assets and liabilities recorded at fair value on the Balance Sheets are categorized based on the inputs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valuation techniques as follows: </w:t>
      </w:r>
    </w:p>
    <w:p>
      <w:pPr>
        <w:autoSpaceDN w:val="0"/>
        <w:tabs>
          <w:tab w:pos="820" w:val="left"/>
        </w:tabs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Level 1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Financial assets and liabilities whose values are based on unadjusted quoted prices for identical assets or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in active markets. </w:t>
      </w:r>
    </w:p>
    <w:p>
      <w:pPr>
        <w:autoSpaceDN w:val="0"/>
        <w:autoSpaceDE w:val="0"/>
        <w:widowControl/>
        <w:spacing w:line="240" w:lineRule="exact" w:before="240" w:after="0"/>
        <w:ind w:left="820" w:right="70" w:hanging="70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Level 2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Financial assets and liabilities whose values are based on quoted prices for similar assets or liabilities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active markets; quoted prices for identical or similar assets or liabilities in markets that are not active;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pricing models for which all significant inputs are observable, either directly or indirectly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substantially the full term of the asset or liability. </w:t>
      </w:r>
    </w:p>
    <w:p>
      <w:pPr>
        <w:autoSpaceDN w:val="0"/>
        <w:tabs>
          <w:tab w:pos="820" w:val="left"/>
        </w:tabs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Level 3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Financial assets and liabilities whose values are based on prices or valuation techniques that require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inputs that are both unobservable and significant to the overall fair value measurement.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policy is to recognize transfers in and transfers out of levels as of the end of the reporting period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they occur.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measured at NAV (or its equivalent) are not classified in the fair value hierarchy.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Accounting for Grant Expenses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recognizes an expense for unconditional grants, such as Contributions to special programs and most Board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Governors-approved transfers, upon approval. IBRD recognizes an expense for conditional grants when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conditions specified for use by the beneficiaries have been met.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Trust Funds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To the extent that IBRD acts as an agent for, or controls Bank-executed activities for trust funds, assets held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behalf of specified beneficiaries are recorded on IBRD’s Balance Sheets, along with corresponding liabilities.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Amounts disbursed from these trust funds are recorded as expenses with corresponding amounts recognized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revenues. For recipient-executed activities for trust funds, since IBRD acts as a trustee, no assets or liabilities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relating to these activities are recorded on the Balance Sheets. In some trust funds, execution is split between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recipient-executed and Bank-executed portions. Decisions on assignment of funding resources between the two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types of execution may be made on an ongoing basis, therefore, the execution of a portion of these available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resources may not yet be assigned. 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also acts as a financial intermediary to provide specific administrative or financial services with a limited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fiduciary or operational role. These arrangements, referred to as Financial Intermediary Funds, include,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example, administration of debt service trust funds, financial intermediation and other more specialized limited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 management roles. For these arrangements, funds are held and disbursed in accordance with instructions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donors or, in some cases, an external governance structure or a body operating on behalf of donors.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Intermediary Funds, since IBRD acts as a trustee, no assets or liabilities relating to these activities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recorded on the Balance Sheets.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Accounting and Reporting Developments 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Evaluated Accounting Standards: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November 2023, the FASB issued ASU 2023-07, Segment Reporting (Topic 280): Improvements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Reportable Segment Disclosures, which requires additional segment disclosures for public entities, including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those with a single reportable segment (such as IBRD). All existing annual disclosures about segment profit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 must be provided on an interim basis in addition to disclosure of significant segment expenses. For IBRD,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ASU became effective for the annual period ended June 30, 2025, and the adoption of the ASU has resulted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additional disclosures (see Note M—Segment Reporting).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June 2022, the Financial Accounting Standards Board (FASB) issued Accounting Standard Update (ASU)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2022-03, Fair Value Measurement (Topic 820)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Fair Value Measurement of Equity Securities Subject to </w:t>
      </w:r>
      <w:r>
        <w:rPr>
          <w:rFonts w:ascii="Times" w:hAnsi="Times" w:eastAsia="Times"/>
          <w:b w:val="0"/>
          <w:i/>
          <w:color w:val="231F20"/>
          <w:sz w:val="20"/>
        </w:rPr>
        <w:t>Contractual Sale Restrictions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which clarifies that a contractual restriction on the sale of an equity security is not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considered part of the unit of account of the equity security and should not be factored in when measuring fair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value. The ASU also clarifies that an entity cannot, as a separate unit of account, recognize and measure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contractual sale restriction. The ASU requires certain disclosures for equity securities subject to contractual sale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restrictions. For IBRD, the ASU became effective from the quarter ending September 30, 2024 (fiscal year 2025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IBRD), and the adoption of the ASU did not have a material impact on IBRD’s financial statements.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Accounting Standards Under Evaluation: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November 2024, the FASB issued ASU 2024-03,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Income Statement—Reporting Comprehensive </w:t>
      </w:r>
      <w:r>
        <w:rPr>
          <w:rFonts w:ascii="Times" w:hAnsi="Times" w:eastAsia="Times"/>
          <w:b w:val="0"/>
          <w:i/>
          <w:color w:val="231F20"/>
          <w:sz w:val="20"/>
        </w:rPr>
        <w:t>Income—Expense Disaggregation Disclosures (Subtopic 220-40)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which requires disaggregated disclosure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statement expenses for public business entities. The ASU does not change the expense captions an entity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presents on the face of the income statement; rather, it requires disaggregation of certain expense captions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specified categories in disclosures within the notes to the financial statements. In January 2025, the FASB issued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ASU 2025-01,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Income Statement—Reporting Comprehensive Income—Expense Disaggregation Disclosures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(Subtopic 220-40): Clarifying the Effective Date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clarifies the effective date of ASU 2024-03. For IBRD,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ASUs will be effective for the annual period ending June 30, 2028 (annual statements of fiscal year 2028,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interim reporting periods thereafter). IBRD is currently evaluating the impact of the ASUs on its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October 2023, the FASB issued ASU 2023-06,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Disclosure Improvements: Codification Amendments in </w:t>
      </w:r>
      <w:r>
        <w:rPr>
          <w:rFonts w:ascii="Times" w:hAnsi="Times" w:eastAsia="Times"/>
          <w:b w:val="0"/>
          <w:i/>
          <w:color w:val="231F20"/>
          <w:sz w:val="20"/>
        </w:rPr>
        <w:t>Response to the SEC’s Disclosure Update and Simplification Initiative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. The new guidance is intended to align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U.S. GAAP requirements with those of the SEC and to facilitate the application of U.S. GAAP for all entities. If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June 30, 2027, the SEC has not removed the related SEC requirement, the related ASU amendment will not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become effective. IBRD is currently evaluating the impact of the ASU on its financial statements. </w:t>
      </w:r>
    </w:p>
    <w:p>
      <w:pPr>
        <w:autoSpaceDN w:val="0"/>
        <w:autoSpaceDE w:val="0"/>
        <w:widowControl/>
        <w:spacing w:line="200" w:lineRule="exact" w:before="18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B—CAPITAL STOCK, MAINTENANCE OF VALUE AND MEMBERSHIP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provides a summary of changes in IBRD’s authorized and subscribed shares: </w:t>
      </w:r>
    </w:p>
    <w:p>
      <w:pPr>
        <w:autoSpaceDN w:val="0"/>
        <w:autoSpaceDE w:val="0"/>
        <w:widowControl/>
        <w:spacing w:line="200" w:lineRule="exact" w:before="398" w:after="24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B1: IBRD’s Shares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658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Authorized shares </w:t>
            </w:r>
          </w:p>
        </w:tc>
        <w:tc>
          <w:tcPr>
            <w:tcW w:type="dxa" w:w="125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Subscribed shares </w:t>
            </w:r>
          </w:p>
        </w:tc>
      </w:tr>
      <w:tr>
        <w:trPr>
          <w:trHeight w:hRule="exact" w:val="310"/>
        </w:trPr>
        <w:tc>
          <w:tcPr>
            <w:tcW w:type="dxa" w:w="658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of June 30, 2023 . . . . . . . . . . . . . . . . . . . . . . . . . . . . . . . . . . . . . . . . . . . . . . .</w:t>
            </w:r>
          </w:p>
        </w:tc>
        <w:tc>
          <w:tcPr>
            <w:tcW w:type="dxa" w:w="135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2,783,873 </w:t>
            </w:r>
          </w:p>
        </w:tc>
        <w:tc>
          <w:tcPr>
            <w:tcW w:type="dxa" w:w="125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2,634,728 </w:t>
            </w:r>
          </w:p>
        </w:tc>
      </w:tr>
      <w:tr>
        <w:trPr>
          <w:trHeight w:hRule="exact" w:val="256"/>
        </w:trPr>
        <w:tc>
          <w:tcPr>
            <w:tcW w:type="dxa" w:w="65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General Capital Increase/Selective Capital Increase (GCI/SCI) . . . . . . . . .</w:t>
            </w:r>
          </w:p>
        </w:tc>
        <w:tc>
          <w:tcPr>
            <w:tcW w:type="dxa" w:w="13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2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43,370 </w:t>
            </w:r>
          </w:p>
        </w:tc>
      </w:tr>
      <w:tr>
        <w:trPr>
          <w:trHeight w:hRule="exact" w:val="304"/>
        </w:trPr>
        <w:tc>
          <w:tcPr>
            <w:tcW w:type="dxa" w:w="65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of June 30, 2024 . . . . . . . . . . . . . . . . . . . . . . . . . . . . . . . . . . . . . . . . . . . . . . .</w:t>
            </w:r>
          </w:p>
        </w:tc>
        <w:tc>
          <w:tcPr>
            <w:tcW w:type="dxa" w:w="13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2,783,873 </w:t>
            </w:r>
          </w:p>
        </w:tc>
        <w:tc>
          <w:tcPr>
            <w:tcW w:type="dxa" w:w="12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2,678,098 </w:t>
            </w:r>
          </w:p>
        </w:tc>
      </w:tr>
      <w:tr>
        <w:trPr>
          <w:trHeight w:hRule="exact" w:val="256"/>
        </w:trPr>
        <w:tc>
          <w:tcPr>
            <w:tcW w:type="dxa" w:w="65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GCI/SCI . . . . . . . . . . . . . . . . . . . . . . . . . . . . . . . . . . . . . . . . . . . . . . . . . . . .</w:t>
            </w:r>
          </w:p>
        </w:tc>
        <w:tc>
          <w:tcPr>
            <w:tcW w:type="dxa" w:w="13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2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31,193 </w:t>
            </w:r>
          </w:p>
        </w:tc>
      </w:tr>
      <w:tr>
        <w:trPr>
          <w:trHeight w:hRule="exact" w:val="320"/>
        </w:trPr>
        <w:tc>
          <w:tcPr>
            <w:tcW w:type="dxa" w:w="65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of June 30, 2025 . . . . . . . . . . . . . . . . . . . . . . . . . . . . . . . . . . . . . . . . . . . . . . .</w:t>
            </w:r>
          </w:p>
        </w:tc>
        <w:tc>
          <w:tcPr>
            <w:tcW w:type="dxa" w:w="13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2,783,873 </w:t>
            </w:r>
          </w:p>
        </w:tc>
        <w:tc>
          <w:tcPr>
            <w:tcW w:type="dxa" w:w="12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2,709,291 </w:t>
            </w:r>
          </w:p>
        </w:tc>
      </w:tr>
      <w:tr>
        <w:trPr>
          <w:trHeight w:hRule="exact" w:val="160"/>
        </w:trPr>
        <w:tc>
          <w:tcPr>
            <w:tcW w:type="dxa" w:w="65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8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provides a summary of the changes in subscribed capital, uncalled portion of subscriptions,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paid-in capital: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B2: IBRD’s Capital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40"/>
        </w:trPr>
        <w:tc>
          <w:tcPr>
            <w:tcW w:type="dxa" w:w="5464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Subscribed capital </w:t>
            </w:r>
          </w:p>
        </w:tc>
        <w:tc>
          <w:tcPr>
            <w:tcW w:type="dxa" w:w="12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Uncalled portion </w:t>
            </w:r>
          </w:p>
        </w:tc>
        <w:tc>
          <w:tcPr>
            <w:tcW w:type="dxa" w:w="1052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Paid-in capital </w:t>
            </w:r>
          </w:p>
        </w:tc>
      </w:tr>
      <w:tr>
        <w:trPr>
          <w:trHeight w:hRule="exact" w:val="194"/>
        </w:trPr>
        <w:tc>
          <w:tcPr>
            <w:tcW w:type="dxa" w:w="2340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129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subscriptions </w:t>
            </w:r>
          </w:p>
        </w:tc>
        <w:tc>
          <w:tcPr>
            <w:tcW w:type="dxa" w:w="2340"/>
            <w:vMerge/>
            <w:tcBorders>
              <w:top w:sz="4.0" w:val="single" w:color="#221F1F"/>
              <w:bottom w:sz="8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546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of June 30, 2023 . . . . . . . . . . . . . . . . . . . . . . . . . . . . . . . . . . . .</w:t>
            </w:r>
          </w:p>
        </w:tc>
        <w:tc>
          <w:tcPr>
            <w:tcW w:type="dxa" w:w="13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$317,840 </w:t>
            </w:r>
          </w:p>
        </w:tc>
        <w:tc>
          <w:tcPr>
            <w:tcW w:type="dxa" w:w="129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$(296,021) </w:t>
            </w:r>
          </w:p>
        </w:tc>
        <w:tc>
          <w:tcPr>
            <w:tcW w:type="dxa" w:w="105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$21,819 </w:t>
            </w:r>
          </w:p>
        </w:tc>
      </w:tr>
      <w:tr>
        <w:trPr>
          <w:trHeight w:hRule="exact" w:val="256"/>
        </w:trPr>
        <w:tc>
          <w:tcPr>
            <w:tcW w:type="dxa" w:w="54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GCI/SCI . . . . . . . . . . . . . . . . . . . . . . . . . . . . . . . . . . . . . . . . .</w:t>
            </w:r>
          </w:p>
        </w:tc>
        <w:tc>
          <w:tcPr>
            <w:tcW w:type="dxa" w:w="13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5,232 </w:t>
            </w:r>
          </w:p>
        </w:tc>
        <w:tc>
          <w:tcPr>
            <w:tcW w:type="dxa" w:w="12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(4,599) </w:t>
            </w:r>
          </w:p>
        </w:tc>
        <w:tc>
          <w:tcPr>
            <w:tcW w:type="dxa" w:w="10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633 </w:t>
            </w:r>
          </w:p>
        </w:tc>
      </w:tr>
      <w:tr>
        <w:trPr>
          <w:trHeight w:hRule="exact" w:val="304"/>
        </w:trPr>
        <w:tc>
          <w:tcPr>
            <w:tcW w:type="dxa" w:w="54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of June 30, 2024 . . . . . . . . . . . . . . . . . . . . . . . . . . . . . . . . . . . .</w:t>
            </w:r>
          </w:p>
        </w:tc>
        <w:tc>
          <w:tcPr>
            <w:tcW w:type="dxa" w:w="139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323,072 </w:t>
            </w:r>
          </w:p>
        </w:tc>
        <w:tc>
          <w:tcPr>
            <w:tcW w:type="dxa" w:w="12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(300,620) </w:t>
            </w:r>
          </w:p>
        </w:tc>
        <w:tc>
          <w:tcPr>
            <w:tcW w:type="dxa" w:w="105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22,452 </w:t>
            </w:r>
          </w:p>
        </w:tc>
      </w:tr>
      <w:tr>
        <w:trPr>
          <w:trHeight w:hRule="exact" w:val="256"/>
        </w:trPr>
        <w:tc>
          <w:tcPr>
            <w:tcW w:type="dxa" w:w="54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GCI/SCI . . . . . . . . . . . . . . . . . . . . . . . . . . . . . . . . . . . . . . . . .</w:t>
            </w:r>
          </w:p>
        </w:tc>
        <w:tc>
          <w:tcPr>
            <w:tcW w:type="dxa" w:w="13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3,763 </w:t>
            </w:r>
          </w:p>
        </w:tc>
        <w:tc>
          <w:tcPr>
            <w:tcW w:type="dxa" w:w="12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(3,304) </w:t>
            </w:r>
          </w:p>
        </w:tc>
        <w:tc>
          <w:tcPr>
            <w:tcW w:type="dxa" w:w="10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459 </w:t>
            </w:r>
          </w:p>
        </w:tc>
      </w:tr>
      <w:tr>
        <w:trPr>
          <w:trHeight w:hRule="exact" w:val="320"/>
        </w:trPr>
        <w:tc>
          <w:tcPr>
            <w:tcW w:type="dxa" w:w="54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 of June 30, 2025 . . . . . . . . . . . . . . . . . . . . . . . . . . . . . . . . . . . .</w:t>
            </w:r>
          </w:p>
        </w:tc>
        <w:tc>
          <w:tcPr>
            <w:tcW w:type="dxa" w:w="13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$326,835 </w:t>
            </w:r>
          </w:p>
        </w:tc>
        <w:tc>
          <w:tcPr>
            <w:tcW w:type="dxa" w:w="12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$(303,924) </w:t>
            </w:r>
          </w:p>
        </w:tc>
        <w:tc>
          <w:tcPr>
            <w:tcW w:type="dxa" w:w="10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$22,911 </w:t>
            </w:r>
          </w:p>
        </w:tc>
      </w:tr>
      <w:tr>
        <w:trPr>
          <w:trHeight w:hRule="exact" w:val="160"/>
        </w:trPr>
        <w:tc>
          <w:tcPr>
            <w:tcW w:type="dxa" w:w="54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8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uncalled portion of subscriptions is subject to call only when required to meet the obligations incurred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as a result of borrowings (excluding hybrid capital) or guaranteeing loans.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On October 1, 2018, IBRD’s Board of Governors approved two resolutions that increased IBRD’s authorized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capital. The total increase in authorized capital was $57.5 billion, of which, $27.8 billion and $29.7 billion relate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the GCI and SCI, respectively. Under the terms of the 2018 GCI and SCI, paid-in capital is expected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by up to $7.5 billion. On May 23, 2023, the Board approved the extension of the subscription period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GCI and SCI from October 1, 2023 to October 1, 2025. As of June 30, 2025, the cumulative subscription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payments received under the 2018 capital increases were $6.5 billion. </w:t>
      </w:r>
    </w:p>
    <w:p>
      <w:pPr>
        <w:autoSpaceDN w:val="0"/>
        <w:autoSpaceDE w:val="0"/>
        <w:widowControl/>
        <w:spacing w:line="200" w:lineRule="exact" w:before="32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126 </w:t>
      </w:r>
    </w:p>
    <w:p>
      <w:pPr>
        <w:sectPr>
          <w:pgSz w:w="12240" w:h="15840"/>
          <w:pgMar w:top="74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Amounts to Maintain the Value of Currency Holdings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summarizes the amounts to Maintain the Value of Currency (MOV), classified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components of equity: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B3: MOV balances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71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326"/>
        </w:trPr>
        <w:tc>
          <w:tcPr>
            <w:tcW w:type="dxa" w:w="7110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MOV receivable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$(325) </w:t>
            </w:r>
          </w:p>
        </w:tc>
        <w:tc>
          <w:tcPr>
            <w:tcW w:type="dxa" w:w="992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$(337) </w:t>
            </w:r>
          </w:p>
        </w:tc>
      </w:tr>
      <w:tr>
        <w:trPr>
          <w:trHeight w:hRule="exact" w:val="304"/>
        </w:trPr>
        <w:tc>
          <w:tcPr>
            <w:tcW w:type="dxa" w:w="71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Deferred MOV receivable . . . . . . . . . . . . . . . . . . . . . . . . . . . . . . . . . . . . . . . . . . . .</w:t>
            </w:r>
          </w:p>
        </w:tc>
        <w:tc>
          <w:tcPr>
            <w:tcW w:type="dxa" w:w="11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(168) </w:t>
            </w:r>
          </w:p>
        </w:tc>
        <w:tc>
          <w:tcPr>
            <w:tcW w:type="dxa" w:w="99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(428) </w:t>
            </w:r>
          </w:p>
        </w:tc>
      </w:tr>
      <w:tr>
        <w:trPr>
          <w:trHeight w:hRule="exact" w:val="256"/>
        </w:trPr>
        <w:tc>
          <w:tcPr>
            <w:tcW w:type="dxa" w:w="71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Deferred demand obligations . . . .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(130) </w:t>
            </w:r>
          </w:p>
        </w:tc>
        <w:tc>
          <w:tcPr>
            <w:tcW w:type="dxa" w:w="9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(130) </w:t>
            </w:r>
          </w:p>
        </w:tc>
      </w:tr>
      <w:tr>
        <w:trPr>
          <w:trHeight w:hRule="exact" w:val="32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Deferred MOV receivable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$(298) </w:t>
            </w:r>
          </w:p>
        </w:tc>
        <w:tc>
          <w:tcPr>
            <w:tcW w:type="dxa" w:w="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$(558) </w:t>
            </w:r>
          </w:p>
        </w:tc>
      </w:tr>
      <w:tr>
        <w:trPr>
          <w:trHeight w:hRule="exact" w:val="16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C—INVESTMENTS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investments include the liquid asset portfolio, holdings relating to the Post Employment Benefit Plan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(PEBP), the Post Retirement Contribution Reserve Fund (PCRF), the IBRD Surplus-Funded Livable Planet Fund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(LPF1), and the Grant Facility for Project Preparation (GFPP).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held by IBRD are designated as trading and reported at fair value or at face value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approximates fair value. As of June 30, 2025, Investments were primarily comprised of government, agency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corporate obligations and time deposits (43% and 51%, respectively), with all of the instruments classified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Level 1 or Level 2 within the fair value hierarchy.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 summary of IBRD’s Investments-Trading is as follows: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C1: Investments – Trading composition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8124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10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280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Government, agency and corporate obligations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44,151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$32,353 </w:t>
            </w:r>
          </w:p>
        </w:tc>
      </w:tr>
      <w:tr>
        <w:trPr>
          <w:trHeight w:hRule="exact" w:val="240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Time deposits 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52,283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45,991 </w:t>
            </w:r>
          </w:p>
        </w:tc>
      </w:tr>
      <w:tr>
        <w:trPr>
          <w:trHeight w:hRule="exact" w:val="240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Asset-backed Securities (ABS)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1,880 </w:t>
            </w:r>
          </w:p>
        </w:tc>
      </w:tr>
      <w:tr>
        <w:trPr>
          <w:trHeight w:hRule="exact" w:val="240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fund investments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2,775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2,155 </w:t>
            </w:r>
          </w:p>
        </w:tc>
      </w:tr>
      <w:tr>
        <w:trPr>
          <w:trHeight w:hRule="exact" w:val="280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Equity securities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349 </w:t>
            </w:r>
          </w:p>
        </w:tc>
      </w:tr>
      <w:tr>
        <w:trPr>
          <w:trHeight w:hRule="exact" w:val="296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 . . . . . . . . . . . .</w:t>
            </w:r>
          </w:p>
        </w:tc>
        <w:tc>
          <w:tcPr>
            <w:tcW w:type="dxa" w:w="10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$102,674 </w:t>
            </w:r>
          </w:p>
        </w:tc>
        <w:tc>
          <w:tcPr>
            <w:tcW w:type="dxa" w:w="10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$82,728 </w:t>
            </w:r>
          </w:p>
        </w:tc>
      </w:tr>
      <w:tr>
        <w:trPr>
          <w:trHeight w:hRule="exact" w:val="160"/>
        </w:trPr>
        <w:tc>
          <w:tcPr>
            <w:tcW w:type="dxa" w:w="704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PEBP holdings as investments in hedge funds, private equity funds, commingled funds, credit </w:t>
            </w:r>
          </w:p>
        </w:tc>
      </w:tr>
    </w:tbl>
    <w:p>
      <w:pPr>
        <w:autoSpaceDN w:val="0"/>
        <w:tabs>
          <w:tab w:pos="520" w:val="left"/>
        </w:tabs>
        <w:autoSpaceDE w:val="0"/>
        <w:widowControl/>
        <w:spacing w:line="232" w:lineRule="exact" w:before="0" w:after="0"/>
        <w:ind w:left="120" w:right="0" w:firstLine="0"/>
        <w:jc w:val="left"/>
      </w:pP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strategy funds and real asset funds, at net asset value (NAV) and investments held by the IBRD Surplus-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Funded Livable Planet Fund (LPF1) and the Grant Facility for Project Preparation (GFPP) at fair value.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Relates to PEBP holdings. </w:t>
      </w:r>
    </w:p>
    <w:p>
      <w:pPr>
        <w:autoSpaceDN w:val="0"/>
        <w:autoSpaceDE w:val="0"/>
        <w:widowControl/>
        <w:spacing w:line="200" w:lineRule="exact" w:before="22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manages its investments on a net portfolio basis. As of June 30, 2025, the largest holdings from a single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within the net investment portfolio was the Government of Japan (7%). The following table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summarizes IBRD’s net investment portfolio position: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C2: Net investment portfolio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71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310"/>
        </w:trPr>
        <w:tc>
          <w:tcPr>
            <w:tcW w:type="dxa" w:w="711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Investments-Trading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$102,674 </w:t>
            </w:r>
          </w:p>
        </w:tc>
        <w:tc>
          <w:tcPr>
            <w:tcW w:type="dxa" w:w="9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$82,728 </w:t>
            </w:r>
          </w:p>
        </w:tc>
      </w:tr>
      <w:tr>
        <w:trPr>
          <w:trHeight w:hRule="exact" w:val="248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Securities purchased under resale agreements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Securities sold under repurchase agreements, securities lent under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120"/>
        <w:gridCol w:w="3120"/>
        <w:gridCol w:w="3120"/>
      </w:tblGrid>
      <w:tr>
        <w:trPr>
          <w:trHeight w:hRule="exact" w:val="242"/>
        </w:trPr>
        <w:tc>
          <w:tcPr>
            <w:tcW w:type="dxa" w:w="7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lending agreements, and payable for cash collateral received </w:t>
            </w:r>
            <w:r>
              <w:rPr>
                <w:rFonts w:ascii="Times" w:hAnsi="Times" w:eastAsia="Times"/>
                <w:b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(344)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(277)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Derivative assets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32"/>
        </w:trPr>
        <w:tc>
          <w:tcPr>
            <w:tcW w:type="dxa" w:w="7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Currency swaps and forward contracts . . . . . . . . . . . . . . . . . . . . . . . . . . . . . . . . . .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173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812 </w:t>
            </w:r>
          </w:p>
        </w:tc>
      </w:tr>
      <w:tr>
        <w:trPr>
          <w:trHeight w:hRule="exact" w:val="240"/>
        </w:trPr>
        <w:tc>
          <w:tcPr>
            <w:tcW w:type="dxa" w:w="7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 . . . . . . . . . . . . . . . . . . . . . . . . . . . . . . . . . . . . . . . . . . . . . . . . . .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</w:tr>
      <w:tr>
        <w:trPr>
          <w:trHeight w:hRule="exact" w:val="256"/>
        </w:trPr>
        <w:tc>
          <w:tcPr>
            <w:tcW w:type="dxa" w:w="70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 . . . . . . .</w:t>
            </w:r>
          </w:p>
        </w:tc>
        <w:tc>
          <w:tcPr>
            <w:tcW w:type="dxa" w:w="11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</w:tr>
      <w:tr>
        <w:trPr>
          <w:trHeight w:hRule="exact" w:val="336"/>
        </w:trPr>
        <w:tc>
          <w:tcPr>
            <w:tcW w:type="dxa" w:w="70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 . . . .</w:t>
            </w:r>
          </w:p>
        </w:tc>
        <w:tc>
          <w:tcPr>
            <w:tcW w:type="dxa" w:w="115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263 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827 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Derivative liabilities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32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Currency swaps and forward contracts . . . . . . . . . . . . . . . . . . 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(1,149)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(68) </w:t>
            </w:r>
          </w:p>
        </w:tc>
      </w:tr>
      <w:tr>
        <w:trPr>
          <w:trHeight w:hRule="exact" w:val="240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 . . . . . . . . . . . . . . . . . . . . . . . . . . . . . . . . . . 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(57)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(450) </w:t>
            </w:r>
          </w:p>
        </w:tc>
      </w:tr>
      <w:tr>
        <w:trPr>
          <w:trHeight w:hRule="exact" w:val="280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20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8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(1,206)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(518) </w:t>
            </w:r>
          </w:p>
        </w:tc>
      </w:tr>
      <w:tr>
        <w:trPr>
          <w:trHeight w:hRule="exact" w:val="280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Cash held in investment portfolio </w:t>
            </w:r>
            <w:r>
              <w:rPr>
                <w:rFonts w:ascii="Times" w:hAnsi="Times" w:eastAsia="Times"/>
                <w:b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308 </w:t>
            </w:r>
          </w:p>
        </w:tc>
      </w:tr>
      <w:tr>
        <w:trPr>
          <w:trHeight w:hRule="exact" w:val="240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Receivable from investment securities traded and other assets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438 </w:t>
            </w:r>
          </w:p>
        </w:tc>
      </w:tr>
      <w:tr>
        <w:trPr>
          <w:trHeight w:hRule="exact" w:val="240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Payable for investment securities purchased </w:t>
            </w:r>
            <w:r>
              <w:rPr>
                <w:rFonts w:ascii="Times" w:hAnsi="Times" w:eastAsia="Times"/>
                <w:b/>
                <w:i w:val="0"/>
                <w:color w:val="231F20"/>
                <w:sz w:val="13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(199)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(561) </w:t>
            </w:r>
          </w:p>
        </w:tc>
      </w:tr>
      <w:tr>
        <w:trPr>
          <w:trHeight w:hRule="exact" w:val="280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IFC PCRF payable </w:t>
            </w:r>
            <w:r>
              <w:rPr>
                <w:rFonts w:ascii="Times" w:hAnsi="Times" w:eastAsia="Times"/>
                <w:b/>
                <w:i w:val="0"/>
                <w:color w:val="231F20"/>
                <w:sz w:val="13"/>
              </w:rPr>
              <w:t>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(502)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(344) </w:t>
            </w:r>
          </w:p>
        </w:tc>
      </w:tr>
      <w:tr>
        <w:trPr>
          <w:trHeight w:hRule="exact" w:val="296"/>
        </w:trPr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investment portfolio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</w:t>
            </w:r>
          </w:p>
        </w:tc>
        <w:tc>
          <w:tcPr>
            <w:tcW w:type="dxa" w:w="11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$101,098 </w:t>
            </w:r>
          </w:p>
        </w:tc>
        <w:tc>
          <w:tcPr>
            <w:tcW w:type="dxa" w:w="10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$82,680 </w:t>
            </w:r>
          </w:p>
        </w:tc>
      </w:tr>
      <w:tr>
        <w:trPr>
          <w:trHeight w:hRule="exact" w:val="160"/>
        </w:trPr>
        <w:tc>
          <w:tcPr>
            <w:tcW w:type="dxa" w:w="70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96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$32 million cash collateral received from counterparties under derivative agreements ($21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million—June 30, 2024).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3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swaptions, options, and futures contracts.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3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This amount is included in Unrestricted cash under Due from banks on the Balance Sheets.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3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There were no liabilities related to short sales ($59 million—June 30, 2024). </w:t>
      </w:r>
    </w:p>
    <w:p>
      <w:pPr>
        <w:autoSpaceDN w:val="0"/>
        <w:tabs>
          <w:tab w:pos="520" w:val="left"/>
        </w:tabs>
        <w:autoSpaceDE w:val="0"/>
        <w:widowControl/>
        <w:spacing w:line="23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See Note H -Transactions with affiliated organizations, Liabilities are included in Other liabilities –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Accounts payable and miscellaneous liabilities on the Balance Sheets.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C3: Net investment portfolio composition </w:t>
      </w:r>
    </w:p>
    <w:p>
      <w:pPr>
        <w:autoSpaceDN w:val="0"/>
        <w:autoSpaceDE w:val="0"/>
        <w:widowControl/>
        <w:spacing w:line="180" w:lineRule="exact" w:before="154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276"/>
        </w:trPr>
        <w:tc>
          <w:tcPr>
            <w:tcW w:type="dxa" w:w="821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Net investment portfolio . . . . . . . . . . . . . . . . . . . 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22"/>
        </w:trPr>
        <w:tc>
          <w:tcPr>
            <w:tcW w:type="dxa" w:w="7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Liquid assets . . . . . . . . . . . . . . . . . . . . . . . . . . . . . . . . . . . . . . . . . . . . . . . . . . . . . .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96,043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$78,792 </w:t>
            </w:r>
          </w:p>
        </w:tc>
      </w:tr>
      <w:tr>
        <w:trPr>
          <w:trHeight w:hRule="exact" w:val="264"/>
        </w:trPr>
        <w:tc>
          <w:tcPr>
            <w:tcW w:type="dxa" w:w="71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PEBP, PCRF and Other holdings . . . . . . . . . . . . . . . . . . . . . . . . . . . . . . . . . . . . . .</w:t>
            </w:r>
          </w:p>
        </w:tc>
        <w:tc>
          <w:tcPr>
            <w:tcW w:type="dxa" w:w="11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5,055 </w:t>
            </w:r>
          </w:p>
        </w:tc>
        <w:tc>
          <w:tcPr>
            <w:tcW w:type="dxa" w:w="7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3,888 </w:t>
            </w:r>
          </w:p>
        </w:tc>
      </w:tr>
      <w:tr>
        <w:trPr>
          <w:trHeight w:hRule="exact" w:val="320"/>
        </w:trPr>
        <w:tc>
          <w:tcPr>
            <w:tcW w:type="dxa" w:w="71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 .</w:t>
            </w:r>
          </w:p>
        </w:tc>
        <w:tc>
          <w:tcPr>
            <w:tcW w:type="dxa" w:w="11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$101,098 </w:t>
            </w:r>
          </w:p>
        </w:tc>
        <w:tc>
          <w:tcPr>
            <w:tcW w:type="dxa" w:w="7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$82,680 </w:t>
            </w:r>
          </w:p>
        </w:tc>
      </w:tr>
      <w:tr>
        <w:trPr>
          <w:trHeight w:hRule="exact" w:val="160"/>
        </w:trPr>
        <w:tc>
          <w:tcPr>
            <w:tcW w:type="dxa" w:w="71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6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derivative instruments to manage the associated currency and interest rate risks in the portfolio.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details of these instruments, see Note F—Derivative Instruments. After considering the effects of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derivatives, IBRD’s investment portfolio is predominantly denominated in U.S. dollars.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Commercial Credit Risk </w:t>
      </w:r>
    </w:p>
    <w:p>
      <w:pPr>
        <w:autoSpaceDN w:val="0"/>
        <w:autoSpaceDE w:val="0"/>
        <w:widowControl/>
        <w:spacing w:line="240" w:lineRule="exact" w:before="12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 of risk management, IBRD is party to a variety of financial transactions, certain of which involve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elements of credit risk. Credit risk exposure represents the maximum potential loss due to possible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non-performance by obligors and counterparties under the terms of the contracts. For all securities, IBRD limits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trading to a list of authorized dealers and counterparties. In addition, IBRD may require collateral in connection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resale agreements and swap agreements. The collateral serves to mitigate IBRD’s exposure to credit risk.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Swap Agreements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risk is mitigated through the application of eligibility criteria and volume limits for transactions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individual counterparties and through the use of mark-to-market collateral arrangements for swap transactions.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may require collateral in the form of cash or other approved liquid securities from individual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counterparties in order to mitigate its credit exposure.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entered into master derivative agreements that contain legally enforceable close-out netting provisions.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agreements may further reduce the gross credit risk exposure related to the swaps. Credit risk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assets subject to a master derivatives arrangement is further reduced under these agreements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extent that payments and receipts with the counterparty are netted at settlement. The reduction in exposure as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result of these netting provisions can vary due to the impact of changes in market conditions on existing and new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transactions. For more information on netting and offsetting provisions, see Note F—Derivative Instruments.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is a summary of the collateral received by IBRD for swap transactions: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C4: Collateral received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274"/>
        </w:trPr>
        <w:tc>
          <w:tcPr>
            <w:tcW w:type="dxa" w:w="821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Collateral received . . . . . . . . . . . . . . . . . . . . . . . 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32"/>
        </w:trPr>
        <w:tc>
          <w:tcPr>
            <w:tcW w:type="dxa" w:w="7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Cash . .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 </w:t>
            </w:r>
          </w:p>
        </w:tc>
      </w:tr>
      <w:tr>
        <w:trPr>
          <w:trHeight w:hRule="exact" w:val="256"/>
        </w:trPr>
        <w:tc>
          <w:tcPr>
            <w:tcW w:type="dxa" w:w="736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Securities .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488 </w:t>
            </w:r>
          </w:p>
        </w:tc>
        <w:tc>
          <w:tcPr>
            <w:tcW w:type="dxa" w:w="6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322 </w:t>
            </w:r>
          </w:p>
        </w:tc>
      </w:tr>
      <w:tr>
        <w:trPr>
          <w:trHeight w:hRule="exact" w:val="320"/>
        </w:trPr>
        <w:tc>
          <w:tcPr>
            <w:tcW w:type="dxa" w:w="736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collateral received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$520 </w:t>
            </w:r>
          </w:p>
        </w:tc>
        <w:tc>
          <w:tcPr>
            <w:tcW w:type="dxa" w:w="6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$343 </w:t>
            </w:r>
          </w:p>
        </w:tc>
      </w:tr>
      <w:tr>
        <w:trPr>
          <w:trHeight w:hRule="exact" w:val="304"/>
        </w:trPr>
        <w:tc>
          <w:tcPr>
            <w:tcW w:type="dxa" w:w="736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Collateral permitted to be repledged . . . . . . . . . . . . . . . . . . . . . . . . . . . . . . . . . . . . . . . .</w:t>
            </w:r>
          </w:p>
        </w:tc>
        <w:tc>
          <w:tcPr>
            <w:tcW w:type="dxa" w:w="11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$520 </w:t>
            </w:r>
          </w:p>
        </w:tc>
        <w:tc>
          <w:tcPr>
            <w:tcW w:type="dxa" w:w="6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$343 </w:t>
            </w:r>
          </w:p>
        </w:tc>
      </w:tr>
      <w:tr>
        <w:trPr>
          <w:trHeight w:hRule="exact" w:val="240"/>
        </w:trPr>
        <w:tc>
          <w:tcPr>
            <w:tcW w:type="dxa" w:w="7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Amount of collateral repledged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96"/>
        </w:trPr>
        <w:tc>
          <w:tcPr>
            <w:tcW w:type="dxa" w:w="736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Amount of cash collateral invested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 </w:t>
            </w:r>
          </w:p>
        </w:tc>
        <w:tc>
          <w:tcPr>
            <w:tcW w:type="dxa" w:w="6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200" w:lineRule="exact" w:before="45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Securities Financing Activities </w:t>
      </w:r>
    </w:p>
    <w:p>
      <w:pPr>
        <w:autoSpaceDN w:val="0"/>
        <w:autoSpaceDE w:val="0"/>
        <w:widowControl/>
        <w:spacing w:line="240" w:lineRule="exact" w:before="122" w:after="0"/>
        <w:ind w:left="120" w:right="6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may engage in securities lending and repurchases, against adequate collateral, as well as secured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and reverse repurchases (resales) of government and agency obligations, corporate securities, ABS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Mortgage-backed securities (MBS). These transactions, if any, are conducted under legally enforceable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master netting arrangements, which allow IBRD to reduce its gross credit exposure related to these transactions.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presents its securities lending and repurchases, as well as resales, on a gross basis on the Balance Sheets.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there were no amounts that could potentially be offset as a result of legally enforceable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master netting arrangements ($59 million—June 30, 2024). 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129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lending and repurchase agreements expose IBRD to several risks, including counterparty risk,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reinvestment risk, and risk of a collateral gap (due to increases or decrease in the fair value of collateral pledged).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procedures in place to ensure that trading activity and balances under these agreements are below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predefined counterparty and maturity limits, and to actively manage net counterparty exposure, after collateral,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using daily market values. Whenever the collateral pledged by IBRD related to its borrowings under repurchase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agreements and securities lending agreements declines in value, the transaction is re-priced as appropriate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returning cash or pledging additional collateral.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Transfers of securities by IBRD to counterparties are not accounted for as sales as the accounting criteria for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treatment as a sale have not been met. Counterparties are permitted to repledge these securities until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repurchase date.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liabilities relating to securities transferred under repurchase or securities lending agreements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$312 million ($256 million—June 30, 2024) and there were no unsettled trades relating to repurchase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lending agreements (Nil —June 30, 2024). There were no replacement trades entered into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anticipation of maturing trades of a similar amount (Nil—June 30, 2024). As of June 30, 2025 and June 30, 2024,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remaining contractual maturity of these agreements was up to 30 days. The securities transferred were mainly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comprised of government and agency obligations, equity securities and sovereign debt.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the case of resale agreements, IBRD receives collateral in the form of liquid securities and is permitted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repledge these securities. While these transactions are legally considered to be true purchases and sales,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received are not recorded on IBRD’s Balance Sheets as the accounting criteria for treatment as a sale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have not been met. As of June 30, 2025 and June 30, 2024, there were no unsettled trades pertaining to 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purchased under resale agreements. For resale agreements, IBRD received securities with a fair value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$15 million as of June 30, 2025 ($79 million—June 30, 2024). As of June 30, 2025 and June 30, 2024, none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securities had been transferred under repurchase or security lending agreements. </w:t>
      </w:r>
    </w:p>
    <w:p>
      <w:pPr>
        <w:autoSpaceDN w:val="0"/>
        <w:autoSpaceDE w:val="0"/>
        <w:widowControl/>
        <w:spacing w:line="200" w:lineRule="exact" w:before="3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D—LOANS AND OTHER EXPOSURES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loans and other exposures (collectively, “exposures”) are generally made to, or guaranteed by, member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 of IBRD. In addition, IBRD may also make loans to the International Finance Corporation (IFC),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affiliated organization, without any guarantee. Other exposures include signed loan commitments such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Deferred Drawdown Options (DDOs) and irrevocable commitments and guarantees. As of June 30, 2025, all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loans were reported at amortized cost.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derivatives to manage the currency risk and the interest rate risk between its loans and borrowings.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details regarding derivatives used in the loan portfolio, see Note F—Derivative Instruments.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majority of IBRD’s loans outstanding are denominated in U.S. dollars (78%) and euro (20%).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excludes the interest receivable balance from the amortized cost basis and from the related disclosures.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Accrued interest receivable on loans of $3,297 million June 30, 2025 ($3,706 million—June 30, 2024)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included in Receivables- Accrued income on loans and guarantee fees receivable in the Balance Sheets.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0.5% of IBRD’s loans were in nonaccrual status and related to two borrowers (see Table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D6: Loans in nonaccrual status). The total accumulated provision for losses on loans in accrual status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status accounted for 0.8% of the total loan portfolio. Based on IBRD’s internal credit quality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indicators, the majority of loans outstanding are in the medium-risk or high-risk classes. </w:t>
      </w:r>
    </w:p>
    <w:p>
      <w:pPr>
        <w:autoSpaceDN w:val="0"/>
        <w:autoSpaceDE w:val="0"/>
        <w:widowControl/>
        <w:spacing w:line="200" w:lineRule="exact" w:before="1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130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 summary of IBRD’s loans outstanding by currency and by interest rate characteristics (fixed or variable) is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follows: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D1: Loans outstanding by currency and interest rate structure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dollars, except as otherwise noted </w:t>
      </w:r>
    </w:p>
    <w:p>
      <w:pPr>
        <w:autoSpaceDN w:val="0"/>
        <w:autoSpaceDE w:val="0"/>
        <w:widowControl/>
        <w:spacing w:line="160" w:lineRule="exact" w:before="336" w:after="40"/>
        <w:ind w:left="0" w:right="295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hRule="exact" w:val="224"/>
        </w:trPr>
        <w:tc>
          <w:tcPr>
            <w:tcW w:type="dxa" w:w="3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3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U.S. dollars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Euro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Japanese Yen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Others </w:t>
            </w:r>
          </w:p>
        </w:tc>
        <w:tc>
          <w:tcPr>
            <w:tcW w:type="dxa" w:w="2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Outstanding </w:t>
            </w:r>
          </w:p>
        </w:tc>
      </w:tr>
      <w:tr>
        <w:trPr>
          <w:trHeight w:hRule="exact" w:val="260"/>
        </w:trPr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Fixed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Variable </w:t>
            </w:r>
          </w:p>
        </w:tc>
        <w:tc>
          <w:tcPr>
            <w:tcW w:type="dxa" w:w="3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Fixed Variable Fixed Variable Fixed Variable Fixed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Variable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Multicurrency terms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15 $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402 $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3 $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7 $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4 $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2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4 $ 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— $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22 $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413 $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435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9.89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7.25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2.78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7.36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2.78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7.36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7.41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7.26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7.26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Average Maturity (years)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0.11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0.62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0.62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0.29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0.01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Variable-spread terms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— $178,794 $</w:t>
            </w:r>
          </w:p>
        </w:tc>
        <w:tc>
          <w:tcPr>
            <w:tcW w:type="dxa" w:w="3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— $36,763 $ — $1,869 $ — $2,133 $</w:t>
            </w:r>
          </w:p>
        </w:tc>
        <w:tc>
          <w:tcPr>
            <w:tcW w:type="dxa" w:w="1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$219,559 $219,559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5.45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3.01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1.00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9.41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5.04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5.04 </w:t>
            </w:r>
          </w:p>
        </w:tc>
      </w:tr>
      <w:tr>
        <w:trPr>
          <w:trHeight w:hRule="exact" w:val="21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Average Maturity (years)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8.74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8.55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8.17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6.28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8.68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8.68 </w:t>
            </w:r>
          </w:p>
        </w:tc>
      </w:tr>
    </w:tbl>
    <w:p>
      <w:pPr>
        <w:autoSpaceDN w:val="0"/>
        <w:autoSpaceDE w:val="0"/>
        <w:widowControl/>
        <w:spacing w:line="160" w:lineRule="exact" w:before="20" w:after="2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6"/>
        </w:rPr>
        <w:t>Fixed-spread terms . . . . . . . . . . . . . . .</w:t>
      </w:r>
      <w:r>
        <w:rPr>
          <w:rFonts w:ascii="Times" w:hAnsi="Times" w:eastAsia="Times"/>
          <w:b w:val="0"/>
          <w:i w:val="0"/>
          <w:color w:val="231F20"/>
          <w:sz w:val="16"/>
        </w:rPr>
        <w:t>$17,250 $ 23,172 $13,147 $</w:t>
      </w:r>
      <w:r>
        <w:rPr>
          <w:rFonts w:ascii="Times" w:hAnsi="Times" w:eastAsia="Times"/>
          <w:b w:val="0"/>
          <w:i w:val="0"/>
          <w:color w:val="231F20"/>
          <w:sz w:val="16"/>
        </w:rPr>
        <w:t>8,074 $ — $</w:t>
      </w:r>
      <w:r>
        <w:rPr>
          <w:rFonts w:ascii="Times" w:hAnsi="Times" w:eastAsia="Times"/>
          <w:b w:val="0"/>
          <w:i w:val="0"/>
          <w:color w:val="231F20"/>
          <w:sz w:val="16"/>
        </w:rPr>
        <w:t>690 $ 380 $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383 $30,777 $ 32,319 $ 63,096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18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3.26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5.88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2.11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3.26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1.04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9.54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8.03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2.85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5.15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4.03 </w:t>
            </w:r>
          </w:p>
        </w:tc>
      </w:tr>
      <w:tr>
        <w:trPr>
          <w:trHeight w:hRule="exact" w:val="24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Average Maturity (years) . . . . . 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7.10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8.40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9.10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6.62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3.76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9.13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6.67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7.98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7.83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7.90 </w:t>
            </w:r>
          </w:p>
        </w:tc>
      </w:tr>
      <w:tr>
        <w:trPr>
          <w:trHeight w:hRule="exact" w:val="240"/>
        </w:trPr>
        <w:tc>
          <w:tcPr>
            <w:tcW w:type="dxa" w:w="5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Loans Outstanding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$17,265 $202,368 $13,150 $44,844 $</w:t>
            </w:r>
          </w:p>
        </w:tc>
        <w:tc>
          <w:tcPr>
            <w:tcW w:type="dxa" w:w="4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4 $2,563 $ 380 $2,516 $30,799 $252,291 $283,090 </w:t>
            </w:r>
          </w:p>
        </w:tc>
      </w:tr>
      <w:tr>
        <w:trPr>
          <w:trHeight w:hRule="exact" w:val="20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3.27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5.50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2.11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3.06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2.78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1.02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9.54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9.20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2.85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5.06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4.82 </w:t>
            </w:r>
          </w:p>
        </w:tc>
      </w:tr>
      <w:tr>
        <w:trPr>
          <w:trHeight w:hRule="exact" w:val="247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Average Maturity (years) . . . . . 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7.09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8.68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9.10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8.20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0.62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6.97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9.13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6.34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7.97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8.56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8.49 </w:t>
            </w:r>
          </w:p>
        </w:tc>
      </w:tr>
    </w:tbl>
    <w:p>
      <w:pPr>
        <w:autoSpaceDN w:val="0"/>
        <w:autoSpaceDE w:val="0"/>
        <w:widowControl/>
        <w:spacing w:line="162" w:lineRule="exact" w:before="68" w:after="2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Loans Outstanding </w:t>
      </w:r>
      <w:r>
        <w:rPr>
          <w:rFonts w:ascii="Times" w:hAnsi="Times" w:eastAsia="Times"/>
          <w:b w:val="0"/>
          <w:i w:val="0"/>
          <w:color w:val="231F20"/>
          <w:sz w:val="16"/>
        </w:rPr>
        <w:t>. . . . . . . . . . . . . . . . . . . . . . . . . . . . . . . . . . . . . . . . . . . . . . . . . . . . . . . . . . . . . . . . . . . . . . . . . . . . . . . . . . . . . . . . .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$283,090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229"/>
        </w:trPr>
        <w:tc>
          <w:tcPr>
            <w:tcW w:type="dxa" w:w="8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Less accumulated provision for loan losses and deferred loan income . . . . . . . . . . . . . . . . . 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3,047 </w:t>
            </w:r>
          </w:p>
        </w:tc>
      </w:tr>
    </w:tbl>
    <w:p>
      <w:pPr>
        <w:autoSpaceDN w:val="0"/>
        <w:autoSpaceDE w:val="0"/>
        <w:widowControl/>
        <w:spacing w:line="162" w:lineRule="exact" w:before="6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Net loans outstanding </w:t>
      </w:r>
      <w:r>
        <w:rPr>
          <w:rFonts w:ascii="Times" w:hAnsi="Times" w:eastAsia="Times"/>
          <w:b w:val="0"/>
          <w:i w:val="0"/>
          <w:color w:val="231F20"/>
          <w:sz w:val="16"/>
        </w:rPr>
        <w:t>. . . . . . . . . . . . . . . . . . . . . . . . . . . . . . . . . . . . . . . . . . . . . . . . . . . . . . . . . . . . . . . . . . . . . . . . . . . . . . . . . . . . . .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$280,043 </w:t>
      </w:r>
    </w:p>
    <w:p>
      <w:pPr>
        <w:autoSpaceDN w:val="0"/>
        <w:autoSpaceDE w:val="0"/>
        <w:widowControl/>
        <w:spacing w:line="200" w:lineRule="exact" w:before="52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D1.1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dollars, except as otherwise noted </w:t>
      </w:r>
    </w:p>
    <w:p>
      <w:pPr>
        <w:autoSpaceDN w:val="0"/>
        <w:autoSpaceDE w:val="0"/>
        <w:widowControl/>
        <w:spacing w:line="160" w:lineRule="exact" w:before="96" w:after="40"/>
        <w:ind w:left="0" w:right="291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hRule="exact" w:val="224"/>
        </w:trPr>
        <w:tc>
          <w:tcPr>
            <w:tcW w:type="dxa" w:w="3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3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U.S. dollars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5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Euro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Japanese Yen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Others </w:t>
            </w:r>
          </w:p>
        </w:tc>
        <w:tc>
          <w:tcPr>
            <w:tcW w:type="dxa" w:w="2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Outstanding </w:t>
            </w:r>
          </w:p>
        </w:tc>
      </w:tr>
      <w:tr>
        <w:trPr>
          <w:trHeight w:hRule="exact" w:val="260"/>
        </w:trPr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Fixed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Variable </w:t>
            </w:r>
          </w:p>
        </w:tc>
        <w:tc>
          <w:tcPr>
            <w:tcW w:type="dxa" w:w="3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Fixed Variable Fixed Variable Fixed Variable Fixed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Variable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Multicurrency terms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21 $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402 $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8 $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7 $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4 $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2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3 $ 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— $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33 $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412 $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445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8.37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6.38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2.78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6.43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2.78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6.43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6.32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6.38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6.38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Average Maturity (years)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0.39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1.12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1.09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0.65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0.05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Variable-spread terms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— $167,948 $</w:t>
            </w:r>
          </w:p>
        </w:tc>
        <w:tc>
          <w:tcPr>
            <w:tcW w:type="dxa" w:w="35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— $28,782 $ 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334 $ — $2,544 $</w:t>
            </w:r>
          </w:p>
        </w:tc>
        <w:tc>
          <w:tcPr>
            <w:tcW w:type="dxa" w:w="1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$199,608 $199,608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6.35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4.40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0.84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10.13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6.11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6.11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Average Maturity (years)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8.52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7.97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6.69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6.15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8.41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8.41 </w:t>
            </w:r>
          </w:p>
        </w:tc>
      </w:tr>
      <w:tr>
        <w:trPr>
          <w:trHeight w:hRule="exact" w:val="200"/>
        </w:trPr>
        <w:tc>
          <w:tcPr>
            <w:tcW w:type="dxa" w:w="5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Fixed-spread terms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$18,351 $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23,792 $12,429 $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7,132 </w:t>
            </w:r>
          </w:p>
        </w:tc>
        <w:tc>
          <w:tcPr>
            <w:tcW w:type="dxa" w:w="40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*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711 $ 297 $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425 $31,077 $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32,060 $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63,137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3.30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6.88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2.08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4.77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0.64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8.67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10.51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2.86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6.32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4.62 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Average maturity (years)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7.63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8.96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9.59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7.14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4.18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8.27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7.17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8.42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8.43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8.43 </w:t>
            </w:r>
          </w:p>
        </w:tc>
      </w:tr>
      <w:tr>
        <w:trPr>
          <w:trHeight w:hRule="exact" w:val="240"/>
        </w:trPr>
        <w:tc>
          <w:tcPr>
            <w:tcW w:type="dxa" w:w="5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Loans Outstanding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$18,372 $192,142 $12,437 $35,921 $</w:t>
            </w:r>
          </w:p>
        </w:tc>
        <w:tc>
          <w:tcPr>
            <w:tcW w:type="dxa" w:w="40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4 $1,048 $ 297 $2,969 $31,110 $232,080 $263,190 </w:t>
            </w:r>
          </w:p>
        </w:tc>
      </w:tr>
      <w:tr>
        <w:trPr>
          <w:trHeight w:hRule="exact" w:val="2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Weighted average rate (%) </w:t>
            </w:r>
            <w:r>
              <w:rPr>
                <w:w w:val="103.99999618530273"/>
                <w:rFonts w:ascii="Times" w:hAnsi="Times" w:eastAsia="Times"/>
                <w:b w:val="0"/>
                <w:i w:val="0"/>
                <w:color w:val="231F20"/>
                <w:sz w:val="10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3.30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6.41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2.08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4.47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2.78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0.72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8.67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10.19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2.86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6.14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5.75 </w:t>
            </w:r>
          </w:p>
        </w:tc>
      </w:tr>
      <w:tr>
        <w:trPr>
          <w:trHeight w:hRule="exact" w:val="25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Average Maturity (years)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7.63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8.56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9.59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7.80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1.09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4.97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8.27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6.29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8.42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8.39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8.40 </w:t>
            </w:r>
          </w:p>
        </w:tc>
      </w:tr>
    </w:tbl>
    <w:p>
      <w:pPr>
        <w:autoSpaceDN w:val="0"/>
        <w:autoSpaceDE w:val="0"/>
        <w:widowControl/>
        <w:spacing w:line="162" w:lineRule="exact" w:before="60" w:after="2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Loans Outstanding </w:t>
      </w:r>
      <w:r>
        <w:rPr>
          <w:rFonts w:ascii="Times" w:hAnsi="Times" w:eastAsia="Times"/>
          <w:b w:val="0"/>
          <w:i w:val="0"/>
          <w:color w:val="231F20"/>
          <w:sz w:val="16"/>
        </w:rPr>
        <w:t>. . . . . . . . . . . . . . . . . . . . . . . . . . . . . . . . . . . . . . . . . . . . . . . . . . . . . . . . . . . . . . . . . . . . . . . . . . . . . . . . . . . . . . . . .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$263,190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228"/>
        </w:trPr>
        <w:tc>
          <w:tcPr>
            <w:tcW w:type="dxa" w:w="8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Less accumulated provision for loan losses and deferred loan income . . . . . . . . . . . . . . . . . 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2,954 </w:t>
            </w:r>
          </w:p>
        </w:tc>
      </w:tr>
    </w:tbl>
    <w:p>
      <w:pPr>
        <w:autoSpaceDN w:val="0"/>
        <w:autoSpaceDE w:val="0"/>
        <w:widowControl/>
        <w:spacing w:line="162" w:lineRule="exact" w:before="70" w:after="32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Net loans outstanding </w:t>
      </w:r>
      <w:r>
        <w:rPr>
          <w:rFonts w:ascii="Times" w:hAnsi="Times" w:eastAsia="Times"/>
          <w:b w:val="0"/>
          <w:i w:val="0"/>
          <w:color w:val="231F20"/>
          <w:sz w:val="16"/>
        </w:rPr>
        <w:t>. . . . . . . . . . . . . . . . . . . . . . . . . . . . . . . . . . . . . . . . . . . . . . . . . . . . . . . . . . . . . . . . . . . . . . . . . . . . . . . . . . . . . .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$260,236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1230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0" w:right="100" w:firstLine="0"/>
              <w:jc w:val="both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* </w:t>
            </w:r>
          </w:p>
        </w:tc>
        <w:tc>
          <w:tcPr>
            <w:tcW w:type="dxa" w:w="88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100" w:right="864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Variable rates for multicurrency loans are based on the weighted average cost of allocated debt.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Excludes effects of any waivers of loan interest. 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00" w:right="2592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For loans past their repayment maturity, average maturity is not computed.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Indicates amount less than $0.5 million. </w:t>
            </w:r>
          </w:p>
        </w:tc>
      </w:tr>
    </w:tbl>
    <w:p>
      <w:pPr>
        <w:autoSpaceDN w:val="0"/>
        <w:autoSpaceDE w:val="0"/>
        <w:widowControl/>
        <w:spacing w:line="200" w:lineRule="exact" w:before="6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131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maturity structure of IBRD’s loans is as follows: </w:t>
      </w:r>
    </w:p>
    <w:p>
      <w:pPr>
        <w:autoSpaceDN w:val="0"/>
        <w:autoSpaceDE w:val="0"/>
        <w:widowControl/>
        <w:spacing w:line="200" w:lineRule="exact" w:before="28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D2: Loans maturity structure </w:t>
      </w:r>
    </w:p>
    <w:p>
      <w:pPr>
        <w:autoSpaceDN w:val="0"/>
        <w:autoSpaceDE w:val="0"/>
        <w:widowControl/>
        <w:spacing w:line="180" w:lineRule="exact" w:before="15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4" w:after="24"/>
        <w:ind w:left="0" w:right="207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6"/>
        </w:trPr>
        <w:tc>
          <w:tcPr>
            <w:tcW w:type="dxa" w:w="4236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Terms/Rate Type </w:t>
            </w:r>
          </w:p>
        </w:tc>
        <w:tc>
          <w:tcPr>
            <w:tcW w:type="dxa" w:w="1004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Up to 1 year </w:t>
            </w:r>
          </w:p>
        </w:tc>
        <w:tc>
          <w:tcPr>
            <w:tcW w:type="dxa" w:w="9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 to 5 years </w:t>
            </w:r>
          </w:p>
        </w:tc>
        <w:tc>
          <w:tcPr>
            <w:tcW w:type="dxa" w:w="9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6-15 years </w:t>
            </w:r>
          </w:p>
        </w:tc>
        <w:tc>
          <w:tcPr>
            <w:tcW w:type="dxa" w:w="123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Greater than 15 </w:t>
            </w:r>
          </w:p>
        </w:tc>
        <w:tc>
          <w:tcPr>
            <w:tcW w:type="dxa" w:w="77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23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</w:t>
            </w:r>
          </w:p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8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Multicurrency terms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24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 </w:t>
            </w:r>
          </w:p>
        </w:tc>
      </w:tr>
      <w:tr>
        <w:trPr>
          <w:trHeight w:hRule="exact" w:val="256"/>
        </w:trPr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 .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413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Variable-spread terms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24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56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11,329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63,813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111,412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33,005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219,559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Fixed-spread terms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24"/>
        </w:trPr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2,418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7,034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18,620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2,705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30,777 </w:t>
            </w:r>
          </w:p>
        </w:tc>
      </w:tr>
      <w:tr>
        <w:trPr>
          <w:trHeight w:hRule="exact" w:val="279"/>
        </w:trPr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 .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2,527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10,729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15,004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4,059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32,319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Loans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24"/>
        </w:trPr>
        <w:tc>
          <w:tcPr>
            <w:tcW w:type="dxa" w:w="4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2,440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7,034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18,620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2,705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30,799 </w:t>
            </w:r>
          </w:p>
        </w:tc>
      </w:tr>
      <w:tr>
        <w:trPr>
          <w:trHeight w:hRule="exact" w:val="262"/>
        </w:trPr>
        <w:tc>
          <w:tcPr>
            <w:tcW w:type="dxa" w:w="43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 .</w:t>
            </w:r>
          </w:p>
        </w:tc>
        <w:tc>
          <w:tcPr>
            <w:tcW w:type="dxa" w:w="9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14,269 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74,542 </w:t>
            </w:r>
          </w:p>
        </w:tc>
        <w:tc>
          <w:tcPr>
            <w:tcW w:type="dxa" w:w="11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126,416 </w:t>
            </w:r>
          </w:p>
        </w:tc>
        <w:tc>
          <w:tcPr>
            <w:tcW w:type="dxa" w:w="10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37,064 </w:t>
            </w:r>
          </w:p>
        </w:tc>
        <w:tc>
          <w:tcPr>
            <w:tcW w:type="dxa" w:w="8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252,291 </w:t>
            </w:r>
          </w:p>
        </w:tc>
      </w:tr>
      <w:tr>
        <w:trPr>
          <w:trHeight w:hRule="exact" w:val="320"/>
        </w:trPr>
        <w:tc>
          <w:tcPr>
            <w:tcW w:type="dxa" w:w="43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loans outstanding . . . . . . . . . . . . . . . . . . . . .</w:t>
            </w:r>
          </w:p>
        </w:tc>
        <w:tc>
          <w:tcPr>
            <w:tcW w:type="dxa" w:w="9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$16,709 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$81,576 </w:t>
            </w:r>
          </w:p>
        </w:tc>
        <w:tc>
          <w:tcPr>
            <w:tcW w:type="dxa" w:w="11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$145,036 </w:t>
            </w:r>
          </w:p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$39,769 </w:t>
            </w:r>
          </w:p>
        </w:tc>
        <w:tc>
          <w:tcPr>
            <w:tcW w:type="dxa" w:w="8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$283,090 </w:t>
            </w:r>
          </w:p>
        </w:tc>
      </w:tr>
      <w:tr>
        <w:trPr>
          <w:trHeight w:hRule="exact" w:val="160"/>
        </w:trPr>
        <w:tc>
          <w:tcPr>
            <w:tcW w:type="dxa" w:w="43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6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D2.1 </w:t>
      </w:r>
    </w:p>
    <w:p>
      <w:pPr>
        <w:autoSpaceDN w:val="0"/>
        <w:autoSpaceDE w:val="0"/>
        <w:widowControl/>
        <w:spacing w:line="180" w:lineRule="exact" w:before="15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4" w:after="24"/>
        <w:ind w:left="0" w:right="2110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6"/>
        </w:trPr>
        <w:tc>
          <w:tcPr>
            <w:tcW w:type="dxa" w:w="4156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Terms/Rate Type </w:t>
            </w:r>
          </w:p>
        </w:tc>
        <w:tc>
          <w:tcPr>
            <w:tcW w:type="dxa" w:w="1004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Up to 1 year </w:t>
            </w:r>
          </w:p>
        </w:tc>
        <w:tc>
          <w:tcPr>
            <w:tcW w:type="dxa" w:w="9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 to 5 years </w:t>
            </w:r>
          </w:p>
        </w:tc>
        <w:tc>
          <w:tcPr>
            <w:tcW w:type="dxa" w:w="103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6 to 15 years </w:t>
            </w:r>
          </w:p>
        </w:tc>
        <w:tc>
          <w:tcPr>
            <w:tcW w:type="dxa" w:w="123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Greater than 15 </w:t>
            </w:r>
          </w:p>
        </w:tc>
        <w:tc>
          <w:tcPr>
            <w:tcW w:type="dxa" w:w="77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23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years </w:t>
            </w:r>
          </w:p>
        </w:tc>
        <w:tc>
          <w:tcPr>
            <w:tcW w:type="dxa" w:w="1560"/>
            <w:vMerge/>
            <w:tcBorders>
              <w:top w:sz="8.0" w:val="single" w:color="#221F1F"/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8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Multicurrency terms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32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 </w:t>
            </w:r>
          </w:p>
        </w:tc>
      </w:tr>
      <w:tr>
        <w:trPr>
          <w:trHeight w:hRule="exact" w:val="248"/>
        </w:trPr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412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412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Variable-spread terms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248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12,034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56,517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104,736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26,321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199,608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Fixed-spread terms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4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1,719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7,038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18,107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4,213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31,077 </w:t>
            </w:r>
          </w:p>
        </w:tc>
      </w:tr>
      <w:tr>
        <w:trPr>
          <w:trHeight w:hRule="exact" w:val="272"/>
        </w:trPr>
        <w:tc>
          <w:tcPr>
            <w:tcW w:type="dxa" w:w="4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2,018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9,391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16,040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4,611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32,060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Loans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4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1,743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7,047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18,107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4,213 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31,110 </w:t>
            </w:r>
          </w:p>
        </w:tc>
      </w:tr>
      <w:tr>
        <w:trPr>
          <w:trHeight w:hRule="exact" w:val="256"/>
        </w:trPr>
        <w:tc>
          <w:tcPr>
            <w:tcW w:type="dxa" w:w="42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</w:t>
            </w:r>
          </w:p>
        </w:tc>
        <w:tc>
          <w:tcPr>
            <w:tcW w:type="dxa" w:w="9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14,464 </w:t>
            </w:r>
          </w:p>
        </w:tc>
        <w:tc>
          <w:tcPr>
            <w:tcW w:type="dxa" w:w="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65,908 </w:t>
            </w:r>
          </w:p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120,776 </w:t>
            </w:r>
          </w:p>
        </w:tc>
        <w:tc>
          <w:tcPr>
            <w:tcW w:type="dxa" w:w="10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30,932 </w:t>
            </w:r>
          </w:p>
        </w:tc>
        <w:tc>
          <w:tcPr>
            <w:tcW w:type="dxa" w:w="8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232,080 </w:t>
            </w:r>
          </w:p>
        </w:tc>
      </w:tr>
      <w:tr>
        <w:trPr>
          <w:trHeight w:hRule="exact" w:val="320"/>
        </w:trPr>
        <w:tc>
          <w:tcPr>
            <w:tcW w:type="dxa" w:w="42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loans outstanding . . . . . . . . . . . . . . . . . . . .</w:t>
            </w:r>
          </w:p>
        </w:tc>
        <w:tc>
          <w:tcPr>
            <w:tcW w:type="dxa" w:w="9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$16,207 </w:t>
            </w:r>
          </w:p>
        </w:tc>
        <w:tc>
          <w:tcPr>
            <w:tcW w:type="dxa" w:w="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$72,955 </w:t>
            </w:r>
          </w:p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$138,883 </w:t>
            </w:r>
          </w:p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$35,145 </w:t>
            </w:r>
          </w:p>
        </w:tc>
        <w:tc>
          <w:tcPr>
            <w:tcW w:type="dxa" w:w="8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$263,190 </w:t>
            </w:r>
          </w:p>
        </w:tc>
      </w:tr>
      <w:tr>
        <w:trPr>
          <w:trHeight w:hRule="exact" w:val="160"/>
        </w:trPr>
        <w:tc>
          <w:tcPr>
            <w:tcW w:type="dxa" w:w="42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6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Credit Quality of Sovereign Exposures </w:t>
      </w:r>
    </w:p>
    <w:p>
      <w:pPr>
        <w:autoSpaceDN w:val="0"/>
        <w:autoSpaceDE w:val="0"/>
        <w:widowControl/>
        <w:spacing w:line="200" w:lineRule="exact" w:before="16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Sovereign loans constitute the substantial majority of IBRD’s exposures. </w:t>
      </w:r>
    </w:p>
    <w:p>
      <w:pPr>
        <w:autoSpaceDN w:val="0"/>
        <w:autoSpaceDE w:val="0"/>
        <w:widowControl/>
        <w:spacing w:line="240" w:lineRule="exact" w:before="24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country risk ratings are an assessment of its borrowers’ ability and willingness to repay IBRD on time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in full. These ratings are internal credit quality indicators. Individual country risk ratings are derived on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 of both quantitative and qualitative analysis. The components considered in the analysis can be grouped </w:t>
      </w:r>
    </w:p>
    <w:p>
      <w:pPr>
        <w:autoSpaceDN w:val="0"/>
        <w:autoSpaceDE w:val="0"/>
        <w:widowControl/>
        <w:spacing w:line="200" w:lineRule="exact" w:before="28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broadly into eight categories: political risk, external debt and liquidity, fiscal policy and public debt burden,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balance of payments risks, economic structure and growth prospects, monetary and exchange rate policy,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sector risks, and corporate sector debt and vulnerabilities. The analysis also takes into account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Environmental, Social, and Governance (ESG) factors.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on the borrower risk ratings, IBRD classifies loans into three credit quality categories—Low Risk,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Medium Risk, and High Risk. These categories, which are described below, are intended to differentiate between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varying levels of borrower credit risk and the associated likelihood of non-timely debt service across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portfolio.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Low 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Exposures in this group generally exhibit strong credit characteristics with minimal uncertainty around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repayment. Borrowers in this category typically demonstrate solid financial performance, consistent and stable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cash flows, and a history of timely debt service. The likelihood of non-timely debt service is considered low.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Medium 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Exposures in this group display satisfactory credit profiles, but may be subject to moderate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factors, such as country-specific volatility or operational challenges. Borrowers in this category usually exhibit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adequate financial performance, though their resilience to adverse conditions may be more limited.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likelihood of non-timely debt service is considered moderate to low.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High 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Exposures in this category exhibit signs of elevated credit risk. Borrowers in this category may show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weak or deteriorating financial indicators, irregular or delayed payment history, or limited capacity to absorb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external shocks. While these loans remain on accrual status, the likelihood of non-timely debt service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considered heightened.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borrowers’ country risk ratings are key determinants in the provision for losses. Country risk ratings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grouped in pools of borrowers with similar credit ratings for the purpose of the calculation of the expected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losses. Exposure for certain countries in accrual status may be individually assessed on the basis that they do not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share common risk characteristics with an existing pool of exposures. All exposures for countries in nonaccrual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 are individually assessed. Country risk ratings are determined in review meetings that take place several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times a year. All countries are reviewed at least once a year, or more frequently, if circumstances warrant,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determine the appropriate ratings.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An assessment was also performed to determine whether a qualitative adjustment of the loan loss provision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needed as of June 30, 2025, including consideration of global and macroeconomic events. 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concluded that a qualitative adjustment beyond the regular application of IBRD’s loan loss provision framework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 not warranted.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Overdue Amounts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considers loans to be past due when a borrower fails to make payment on any principal, interest or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charges due to IBRD on the dates provided in the contractual loan agreement.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no principal or interest are overdue by more than three months for loans in accrual status. </w:t>
      </w:r>
    </w:p>
    <w:p>
      <w:pPr>
        <w:autoSpaceDN w:val="0"/>
        <w:autoSpaceDE w:val="0"/>
        <w:widowControl/>
        <w:spacing w:line="200" w:lineRule="exact" w:before="24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provide an aging analysis and amounts past due of the loans outstanding: </w:t>
      </w:r>
    </w:p>
    <w:p>
      <w:pPr>
        <w:autoSpaceDN w:val="0"/>
        <w:tabs>
          <w:tab w:pos="5902" w:val="left"/>
        </w:tabs>
        <w:autoSpaceDE w:val="0"/>
        <w:widowControl/>
        <w:spacing w:line="296" w:lineRule="exact" w:before="182" w:after="24"/>
        <w:ind w:left="120" w:right="2448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D3: Loans outstanding aging structure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  <w:r>
        <w:br/>
      </w:r>
      <w:r>
        <w:tab/>
      </w: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206"/>
        </w:trPr>
        <w:tc>
          <w:tcPr>
            <w:tcW w:type="dxa" w:w="3346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Days past due </w:t>
            </w:r>
          </w:p>
        </w:tc>
        <w:tc>
          <w:tcPr>
            <w:tcW w:type="dxa" w:w="76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Up to 45 </w:t>
            </w:r>
          </w:p>
        </w:tc>
        <w:tc>
          <w:tcPr>
            <w:tcW w:type="dxa" w:w="42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46-60 </w:t>
            </w:r>
          </w:p>
        </w:tc>
        <w:tc>
          <w:tcPr>
            <w:tcW w:type="dxa" w:w="78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61-90 </w:t>
            </w:r>
          </w:p>
        </w:tc>
        <w:tc>
          <w:tcPr>
            <w:tcW w:type="dxa" w:w="654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91-180 </w:t>
            </w:r>
          </w:p>
        </w:tc>
        <w:tc>
          <w:tcPr>
            <w:tcW w:type="dxa" w:w="4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Over </w:t>
            </w:r>
          </w:p>
        </w:tc>
        <w:tc>
          <w:tcPr>
            <w:tcW w:type="dxa" w:w="104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Past </w:t>
            </w:r>
          </w:p>
        </w:tc>
        <w:tc>
          <w:tcPr>
            <w:tcW w:type="dxa" w:w="77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Current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 xml:space="preserve">a </w:t>
            </w:r>
          </w:p>
        </w:tc>
        <w:tc>
          <w:tcPr>
            <w:tcW w:type="dxa" w:w="9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4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180 </w:t>
            </w:r>
          </w:p>
        </w:tc>
        <w:tc>
          <w:tcPr>
            <w:tcW w:type="dxa" w:w="10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</w:t>
            </w:r>
          </w:p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8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Risk Class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232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Low . . . . . . . . . . . . . . . . . . . . . . 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$—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$ 5,903 $ 5,903 </w:t>
            </w:r>
          </w:p>
        </w:tc>
      </w:tr>
      <w:tr>
        <w:trPr>
          <w:trHeight w:hRule="exact" w:val="24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Medium . . . . . . . . . . . . . . . . . . . 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130,396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130,396 </w:t>
            </w:r>
          </w:p>
        </w:tc>
      </w:tr>
      <w:tr>
        <w:trPr>
          <w:trHeight w:hRule="exact" w:val="28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 . . . . . . . . . . . . . . . . . . . . . . 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145,340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145,354 </w:t>
            </w:r>
          </w:p>
        </w:tc>
      </w:tr>
      <w:tr>
        <w:trPr>
          <w:trHeight w:hRule="exact" w:val="28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in accrual status . . . . . . . . . . . . 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281,639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281,653 </w:t>
            </w:r>
          </w:p>
        </w:tc>
      </w:tr>
      <w:tr>
        <w:trPr>
          <w:trHeight w:hRule="exact" w:val="28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in nonaccrual status . . . . . . . . . 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794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578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1,437 </w:t>
            </w:r>
          </w:p>
        </w:tc>
      </w:tr>
      <w:tr>
        <w:trPr>
          <w:trHeight w:hRule="exact" w:val="456"/>
        </w:trPr>
        <w:tc>
          <w:tcPr>
            <w:tcW w:type="dxa" w:w="32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3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93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 </w:t>
            </w:r>
          </w:p>
        </w:tc>
        <w:tc>
          <w:tcPr>
            <w:tcW w:type="dxa" w:w="6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 </w:t>
            </w:r>
          </w:p>
        </w:tc>
        <w:tc>
          <w:tcPr>
            <w:tcW w:type="dxa" w:w="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$794 </w:t>
            </w:r>
          </w:p>
        </w:tc>
        <w:tc>
          <w:tcPr>
            <w:tcW w:type="dxa" w:w="8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$873 </w:t>
            </w:r>
          </w:p>
        </w:tc>
        <w:tc>
          <w:tcPr>
            <w:tcW w:type="dxa" w:w="196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$282,217 $283,090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</w:p>
        </w:tc>
      </w:tr>
      <w:tr>
        <w:trPr>
          <w:trHeight w:hRule="exact" w:val="304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40"/>
            <w:gridSpan w:val="10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Represents the principal amounts not yet contractually due. </w:t>
            </w:r>
          </w:p>
        </w:tc>
      </w:tr>
      <w:tr>
        <w:trPr>
          <w:trHeight w:hRule="exact" w:val="28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89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 total amount of loans at amortized cost which contain principal past due amounts was $1,648 million. </w:t>
            </w:r>
          </w:p>
        </w:tc>
      </w:tr>
    </w:tbl>
    <w:p>
      <w:pPr>
        <w:autoSpaceDN w:val="0"/>
        <w:tabs>
          <w:tab w:pos="5902" w:val="left"/>
        </w:tabs>
        <w:autoSpaceDE w:val="0"/>
        <w:widowControl/>
        <w:spacing w:line="296" w:lineRule="exact" w:before="124" w:after="24"/>
        <w:ind w:left="120" w:right="2448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D3.1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  <w:r>
        <w:br/>
      </w:r>
      <w:r>
        <w:tab/>
      </w: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206"/>
        </w:trPr>
        <w:tc>
          <w:tcPr>
            <w:tcW w:type="dxa" w:w="3346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Days past due </w:t>
            </w:r>
          </w:p>
        </w:tc>
        <w:tc>
          <w:tcPr>
            <w:tcW w:type="dxa" w:w="76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Up to 45 </w:t>
            </w:r>
          </w:p>
        </w:tc>
        <w:tc>
          <w:tcPr>
            <w:tcW w:type="dxa" w:w="42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46-60 </w:t>
            </w:r>
          </w:p>
        </w:tc>
        <w:tc>
          <w:tcPr>
            <w:tcW w:type="dxa" w:w="60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61-90 </w:t>
            </w:r>
          </w:p>
        </w:tc>
        <w:tc>
          <w:tcPr>
            <w:tcW w:type="dxa" w:w="834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91-180 </w:t>
            </w:r>
          </w:p>
        </w:tc>
        <w:tc>
          <w:tcPr>
            <w:tcW w:type="dxa" w:w="4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Over </w:t>
            </w:r>
          </w:p>
        </w:tc>
        <w:tc>
          <w:tcPr>
            <w:tcW w:type="dxa" w:w="104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Past </w:t>
            </w:r>
          </w:p>
        </w:tc>
        <w:tc>
          <w:tcPr>
            <w:tcW w:type="dxa" w:w="77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Current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 xml:space="preserve">a </w:t>
            </w:r>
          </w:p>
        </w:tc>
        <w:tc>
          <w:tcPr>
            <w:tcW w:type="dxa" w:w="9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4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180 </w:t>
            </w:r>
          </w:p>
        </w:tc>
        <w:tc>
          <w:tcPr>
            <w:tcW w:type="dxa" w:w="10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Due </w:t>
            </w:r>
          </w:p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2"/>
            <w:vMerge/>
            <w:tcBorders>
              <w:top w:sz="8.0" w:val="single" w:color="#221F1F"/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8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Risk Class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232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Low . . . . . . . . . . . . . . . . . . . . . . .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$—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$ 6,935 $ 6,935 </w:t>
            </w:r>
          </w:p>
        </w:tc>
      </w:tr>
      <w:tr>
        <w:trPr>
          <w:trHeight w:hRule="exact" w:val="24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Medium . . . . . . . . . . . . . . . . . . . .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124,106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124,106 </w:t>
            </w:r>
          </w:p>
        </w:tc>
      </w:tr>
      <w:tr>
        <w:trPr>
          <w:trHeight w:hRule="exact" w:val="28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 . . . . . . . . . . . . . . . . . . . . . . .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130,723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130,739 </w:t>
            </w:r>
          </w:p>
        </w:tc>
      </w:tr>
      <w:tr>
        <w:trPr>
          <w:trHeight w:hRule="exact" w:val="28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in accrual status . . . . . . . . . . . . .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261,764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261,780 </w:t>
            </w:r>
          </w:p>
        </w:tc>
      </w:tr>
      <w:tr>
        <w:trPr>
          <w:trHeight w:hRule="exact" w:val="280"/>
        </w:trPr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in nonaccrual status . . . . . . . . . .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661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684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1,410 </w:t>
            </w:r>
          </w:p>
        </w:tc>
      </w:tr>
      <w:tr>
        <w:trPr>
          <w:trHeight w:hRule="exact" w:val="456"/>
        </w:trPr>
        <w:tc>
          <w:tcPr>
            <w:tcW w:type="dxa" w:w="32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</w:t>
            </w:r>
          </w:p>
        </w:tc>
        <w:tc>
          <w:tcPr>
            <w:tcW w:type="dxa" w:w="34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  <w:tc>
          <w:tcPr>
            <w:tcW w:type="dxa" w:w="126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10 $ 42 </w:t>
            </w:r>
          </w:p>
        </w:tc>
        <w:tc>
          <w:tcPr>
            <w:tcW w:type="dxa" w:w="6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$ 24 </w:t>
            </w:r>
          </w:p>
        </w:tc>
        <w:tc>
          <w:tcPr>
            <w:tcW w:type="dxa" w:w="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$661 </w:t>
            </w:r>
          </w:p>
        </w:tc>
        <w:tc>
          <w:tcPr>
            <w:tcW w:type="dxa" w:w="8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$742 </w:t>
            </w:r>
          </w:p>
        </w:tc>
        <w:tc>
          <w:tcPr>
            <w:tcW w:type="dxa" w:w="196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$262,448 $263,190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</w:p>
        </w:tc>
      </w:tr>
      <w:tr>
        <w:trPr>
          <w:trHeight w:hRule="exact" w:val="304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40"/>
            <w:gridSpan w:val="10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Represents the principal amounts not yet contractually due. </w:t>
            </w:r>
          </w:p>
        </w:tc>
      </w:tr>
      <w:tr>
        <w:trPr>
          <w:trHeight w:hRule="exact" w:val="28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89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The total amount of loans at amortized cost which contain principal past due amounts was $1,621 million. </w:t>
            </w:r>
          </w:p>
        </w:tc>
      </w:tr>
    </w:tbl>
    <w:p>
      <w:pPr>
        <w:autoSpaceDN w:val="0"/>
        <w:autoSpaceDE w:val="0"/>
        <w:widowControl/>
        <w:spacing w:line="200" w:lineRule="exact" w:before="2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provide a summary of selected financial information related to loans in nonaccrual status: </w:t>
      </w:r>
    </w:p>
    <w:p>
      <w:pPr>
        <w:autoSpaceDN w:val="0"/>
        <w:autoSpaceDE w:val="0"/>
        <w:widowControl/>
        <w:spacing w:line="334" w:lineRule="exact" w:before="264" w:after="10"/>
        <w:ind w:left="120" w:right="590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D4: Loans in nonaccrual status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74"/>
        </w:trPr>
        <w:tc>
          <w:tcPr>
            <w:tcW w:type="dxa" w:w="340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0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Accumulated </w:t>
            </w:r>
          </w:p>
        </w:tc>
        <w:tc>
          <w:tcPr>
            <w:tcW w:type="dxa" w:w="88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Average </w:t>
            </w:r>
          </w:p>
        </w:tc>
        <w:tc>
          <w:tcPr>
            <w:tcW w:type="dxa" w:w="16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Overdue amounts </w:t>
            </w:r>
          </w:p>
        </w:tc>
      </w:tr>
      <w:tr>
        <w:trPr>
          <w:trHeight w:hRule="exact" w:val="46"/>
        </w:trPr>
        <w:tc>
          <w:tcPr>
            <w:tcW w:type="dxa" w:w="340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Borrower </w:t>
            </w:r>
          </w:p>
        </w:tc>
        <w:tc>
          <w:tcPr>
            <w:tcW w:type="dxa" w:w="1324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Nonaccrual since </w:t>
            </w:r>
          </w:p>
        </w:tc>
        <w:tc>
          <w:tcPr>
            <w:tcW w:type="dxa" w:w="882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Recorded </w:t>
            </w:r>
          </w:p>
        </w:tc>
        <w:tc>
          <w:tcPr>
            <w:tcW w:type="dxa" w:w="104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gridSpan w:val="2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Interest and </w:t>
            </w:r>
          </w:p>
        </w:tc>
      </w:tr>
      <w:tr>
        <w:trPr>
          <w:trHeight w:hRule="exact" w:val="160"/>
        </w:trPr>
        <w:tc>
          <w:tcPr>
            <w:tcW w:type="dxa" w:w="1339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8.0" w:val="single" w:color="#221F1F"/>
            </w:tcBorders>
          </w:tcPr>
          <w:p/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Provision for </w:t>
            </w:r>
          </w:p>
        </w:tc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recorded </w:t>
            </w:r>
          </w:p>
        </w:tc>
        <w:tc>
          <w:tcPr>
            <w:tcW w:type="dxa" w:w="2678"/>
            <w:gridSpan w:val="2"/>
            <w:vMerge/>
            <w:tcBorders>
              <w:top w:sz="8.0" w:val="single" w:color="#221F1F"/>
            </w:tcBorders>
          </w:tcPr>
          <w:p/>
        </w:tc>
      </w:tr>
      <w:tr>
        <w:trPr>
          <w:trHeight w:hRule="exact" w:val="194"/>
        </w:trPr>
        <w:tc>
          <w:tcPr>
            <w:tcW w:type="dxa" w:w="1339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339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88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investment </w:t>
            </w:r>
          </w:p>
        </w:tc>
        <w:tc>
          <w:tcPr>
            <w:tcW w:type="dxa" w:w="104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 losses </w:t>
            </w:r>
          </w:p>
        </w:tc>
        <w:tc>
          <w:tcPr>
            <w:tcW w:type="dxa" w:w="88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investment </w:t>
            </w:r>
          </w:p>
        </w:tc>
        <w:tc>
          <w:tcPr>
            <w:tcW w:type="dxa" w:w="7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Principal </w:t>
            </w:r>
          </w:p>
        </w:tc>
        <w:tc>
          <w:tcPr>
            <w:tcW w:type="dxa" w:w="8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Charges </w:t>
            </w:r>
          </w:p>
        </w:tc>
      </w:tr>
      <w:tr>
        <w:trPr>
          <w:trHeight w:hRule="exact" w:val="310"/>
        </w:trPr>
        <w:tc>
          <w:tcPr>
            <w:tcW w:type="dxa" w:w="340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Belarus . . . . . . . . . . . . . . . . . . . . . . . . . .</w:t>
            </w:r>
          </w:p>
        </w:tc>
        <w:tc>
          <w:tcPr>
            <w:tcW w:type="dxa" w:w="13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October 2022 </w:t>
            </w:r>
          </w:p>
        </w:tc>
        <w:tc>
          <w:tcPr>
            <w:tcW w:type="dxa" w:w="88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1,012 </w:t>
            </w:r>
          </w:p>
        </w:tc>
        <w:tc>
          <w:tcPr>
            <w:tcW w:type="dxa" w:w="104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 </w:t>
            </w:r>
          </w:p>
        </w:tc>
        <w:tc>
          <w:tcPr>
            <w:tcW w:type="dxa" w:w="88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989 </w:t>
            </w:r>
          </w:p>
        </w:tc>
        <w:tc>
          <w:tcPr>
            <w:tcW w:type="dxa" w:w="78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434 </w:t>
            </w:r>
          </w:p>
        </w:tc>
        <w:tc>
          <w:tcPr>
            <w:tcW w:type="dxa" w:w="88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136 </w:t>
            </w:r>
          </w:p>
        </w:tc>
      </w:tr>
      <w:tr>
        <w:trPr>
          <w:trHeight w:hRule="exact" w:val="256"/>
        </w:trPr>
        <w:tc>
          <w:tcPr>
            <w:tcW w:type="dxa" w:w="34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Zimbabwe . . . . . . . . . . . . . . . . . . . . . . .</w:t>
            </w:r>
          </w:p>
        </w:tc>
        <w:tc>
          <w:tcPr>
            <w:tcW w:type="dxa" w:w="13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October 2000 </w:t>
            </w:r>
          </w:p>
        </w:tc>
        <w:tc>
          <w:tcPr>
            <w:tcW w:type="dxa" w:w="8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425 </w:t>
            </w:r>
          </w:p>
        </w:tc>
        <w:tc>
          <w:tcPr>
            <w:tcW w:type="dxa" w:w="10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213 </w:t>
            </w:r>
          </w:p>
        </w:tc>
        <w:tc>
          <w:tcPr>
            <w:tcW w:type="dxa" w:w="8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426 </w:t>
            </w:r>
          </w:p>
        </w:tc>
        <w:tc>
          <w:tcPr>
            <w:tcW w:type="dxa" w:w="7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425 </w:t>
            </w:r>
          </w:p>
        </w:tc>
        <w:tc>
          <w:tcPr>
            <w:tcW w:type="dxa" w:w="8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715 </w:t>
            </w:r>
          </w:p>
        </w:tc>
      </w:tr>
      <w:tr>
        <w:trPr>
          <w:trHeight w:hRule="exact" w:val="320"/>
        </w:trPr>
        <w:tc>
          <w:tcPr>
            <w:tcW w:type="dxa" w:w="34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- June 30, 2025 . . . . . . . . . . . . . . .</w:t>
            </w:r>
          </w:p>
        </w:tc>
        <w:tc>
          <w:tcPr>
            <w:tcW w:type="dxa" w:w="13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$1,437 </w:t>
            </w:r>
          </w:p>
        </w:tc>
        <w:tc>
          <w:tcPr>
            <w:tcW w:type="dxa" w:w="10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$312 </w:t>
            </w:r>
          </w:p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$1,415 </w:t>
            </w:r>
          </w:p>
        </w:tc>
        <w:tc>
          <w:tcPr>
            <w:tcW w:type="dxa" w:w="7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$859 </w:t>
            </w:r>
          </w:p>
        </w:tc>
        <w:tc>
          <w:tcPr>
            <w:tcW w:type="dxa" w:w="8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$851 </w:t>
            </w:r>
          </w:p>
        </w:tc>
      </w:tr>
      <w:tr>
        <w:trPr>
          <w:trHeight w:hRule="exact" w:val="360"/>
        </w:trPr>
        <w:tc>
          <w:tcPr>
            <w:tcW w:type="dxa" w:w="34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- June 30, 2024 . . . . . . . . . . . . . . .</w:t>
            </w:r>
          </w:p>
        </w:tc>
        <w:tc>
          <w:tcPr>
            <w:tcW w:type="dxa" w:w="13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$1,410 </w:t>
            </w:r>
          </w:p>
        </w:tc>
        <w:tc>
          <w:tcPr>
            <w:tcW w:type="dxa" w:w="10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2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$324 </w:t>
            </w:r>
          </w:p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$1,418 </w:t>
            </w:r>
          </w:p>
        </w:tc>
        <w:tc>
          <w:tcPr>
            <w:tcW w:type="dxa" w:w="78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$726 </w:t>
            </w:r>
          </w:p>
        </w:tc>
        <w:tc>
          <w:tcPr>
            <w:tcW w:type="dxa" w:w="88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$767 </w:t>
            </w:r>
          </w:p>
        </w:tc>
      </w:tr>
      <w:tr>
        <w:trPr>
          <w:trHeight w:hRule="exact" w:val="160"/>
        </w:trPr>
        <w:tc>
          <w:tcPr>
            <w:tcW w:type="dxa" w:w="34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9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7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134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fiscal year ended June 30, 2025, no loans were placed in nonaccrual status or restored to accrual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status. </w:t>
      </w:r>
    </w:p>
    <w:p>
      <w:pPr>
        <w:autoSpaceDN w:val="0"/>
        <w:autoSpaceDE w:val="0"/>
        <w:widowControl/>
        <w:spacing w:line="240" w:lineRule="exact" w:before="24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fiscal year ended June 30, 2025, interest and other revenue not recognized as a result of loans being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status was $79 million ($80 million—June 30, 2024 and $69 million—June 30, 2023). </w:t>
      </w:r>
    </w:p>
    <w:p>
      <w:pPr>
        <w:autoSpaceDN w:val="0"/>
        <w:autoSpaceDE w:val="0"/>
        <w:widowControl/>
        <w:spacing w:line="240" w:lineRule="exact" w:before="24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during the fiscal year ended June 30, 2025, no interest income was recognized on loans in nonaccrual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 upon receipt of payment ($4 million—June 30, 2024 and $2 million—June 30, 2023). </w:t>
      </w:r>
    </w:p>
    <w:p>
      <w:pPr>
        <w:autoSpaceDN w:val="0"/>
        <w:autoSpaceDE w:val="0"/>
        <w:widowControl/>
        <w:spacing w:line="240" w:lineRule="exact" w:before="24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considers the signature date of a loan agreement as the best indicator of the decision point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origination process, rather than the disbursement date. The tables below disclose the balances of IBRD’s Loans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outstanding, classified by the year the loan agreement was signed. </w:t>
      </w:r>
    </w:p>
    <w:p>
      <w:pPr>
        <w:autoSpaceDN w:val="0"/>
        <w:autoSpaceDE w:val="0"/>
        <w:widowControl/>
        <w:spacing w:line="200" w:lineRule="exact" w:before="28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D5: Loans outstanding vintage disclosure </w:t>
      </w:r>
    </w:p>
    <w:p>
      <w:pPr>
        <w:autoSpaceDN w:val="0"/>
        <w:autoSpaceDE w:val="0"/>
        <w:widowControl/>
        <w:spacing w:line="180" w:lineRule="exact" w:before="15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24"/>
        <w:ind w:left="0" w:right="299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92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06"/>
        </w:trPr>
        <w:tc>
          <w:tcPr>
            <w:tcW w:type="dxa" w:w="73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82"/>
            <w:gridSpan w:val="3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6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Fiscal Year of Origination </w:t>
            </w:r>
          </w:p>
        </w:tc>
        <w:tc>
          <w:tcPr>
            <w:tcW w:type="dxa" w:w="89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CAT </w:t>
            </w:r>
          </w:p>
        </w:tc>
        <w:tc>
          <w:tcPr>
            <w:tcW w:type="dxa" w:w="76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CAT </w:t>
            </w:r>
          </w:p>
        </w:tc>
        <w:tc>
          <w:tcPr>
            <w:tcW w:type="dxa" w:w="84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120"/>
            <w:gridSpan w:val="3"/>
            <w:vMerge/>
            <w:tcBorders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DDOs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DDOs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120"/>
            <w:gridSpan w:val="3"/>
            <w:vMerge/>
            <w:tcBorders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Disbursed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Converted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</w:t>
            </w:r>
          </w:p>
        </w:tc>
      </w:tr>
      <w:tr>
        <w:trPr>
          <w:trHeight w:hRule="exact" w:val="11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120"/>
            <w:gridSpan w:val="3"/>
            <w:vMerge/>
            <w:tcBorders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3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and </w:t>
            </w:r>
          </w:p>
        </w:tc>
        <w:tc>
          <w:tcPr>
            <w:tcW w:type="dxa" w:w="76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 Term </w:t>
            </w:r>
          </w:p>
        </w:tc>
        <w:tc>
          <w:tcPr>
            <w:tcW w:type="dxa" w:w="84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</w:t>
            </w:r>
          </w:p>
        </w:tc>
      </w:tr>
      <w:tr>
        <w:trPr>
          <w:trHeight w:hRule="exact" w:val="46"/>
        </w:trPr>
        <w:tc>
          <w:tcPr>
            <w:tcW w:type="dxa" w:w="73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7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4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822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  <w:tc>
          <w:tcPr>
            <w:tcW w:type="dxa" w:w="73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2022 </w:t>
            </w:r>
          </w:p>
        </w:tc>
        <w:tc>
          <w:tcPr>
            <w:tcW w:type="dxa" w:w="73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2021 </w:t>
            </w:r>
          </w:p>
        </w:tc>
        <w:tc>
          <w:tcPr>
            <w:tcW w:type="dxa" w:w="89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Prior Years </w:t>
            </w:r>
          </w:p>
        </w:tc>
        <w:tc>
          <w:tcPr>
            <w:tcW w:type="dxa" w:w="73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3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Revolving </w:t>
            </w:r>
          </w:p>
        </w:tc>
        <w:tc>
          <w:tcPr>
            <w:tcW w:type="dxa" w:w="76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84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</w:tr>
    </w:tbl>
    <w:p>
      <w:pPr>
        <w:autoSpaceDN w:val="0"/>
        <w:autoSpaceDE w:val="0"/>
        <w:widowControl/>
        <w:spacing w:line="200" w:lineRule="exact" w:before="8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Risk Class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30"/>
        </w:trPr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Low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15 $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148 $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 </w:t>
            </w:r>
          </w:p>
        </w:tc>
        <w:tc>
          <w:tcPr>
            <w:tcW w:type="dxa" w:w="2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$ 5,740 $— </w:t>
            </w:r>
          </w:p>
        </w:tc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5,903 </w:t>
            </w:r>
          </w:p>
        </w:tc>
      </w:tr>
      <w:tr>
        <w:trPr>
          <w:trHeight w:hRule="exact" w:val="24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Medium . . . . . . . . . . . .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7,159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8,626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9,501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7,702 10,850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83,477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449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2,632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130,396 </w:t>
            </w:r>
          </w:p>
        </w:tc>
      </w:tr>
      <w:tr>
        <w:trPr>
          <w:trHeight w:hRule="exact" w:val="258"/>
        </w:trPr>
        <w:tc>
          <w:tcPr>
            <w:tcW w:type="dxa" w:w="24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 . . . . . . . . . . . . . . .</w:t>
            </w:r>
          </w:p>
        </w:tc>
        <w:tc>
          <w:tcPr>
            <w:tcW w:type="dxa" w:w="162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11,095 14,781 </w:t>
            </w:r>
          </w:p>
        </w:tc>
        <w:tc>
          <w:tcPr>
            <w:tcW w:type="dxa" w:w="210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8,294 13,031 11,124 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86,124 </w:t>
            </w:r>
          </w:p>
        </w:tc>
        <w:tc>
          <w:tcPr>
            <w:tcW w:type="dxa" w:w="6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7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904 </w:t>
            </w:r>
          </w:p>
        </w:tc>
        <w:tc>
          <w:tcPr>
            <w:tcW w:type="dxa" w:w="8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145,354 </w:t>
            </w:r>
          </w:p>
        </w:tc>
      </w:tr>
      <w:tr>
        <w:trPr>
          <w:trHeight w:hRule="exact" w:val="312"/>
        </w:trPr>
        <w:tc>
          <w:tcPr>
            <w:tcW w:type="dxa" w:w="24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in accrual status . . . .</w:t>
            </w:r>
          </w:p>
        </w:tc>
        <w:tc>
          <w:tcPr>
            <w:tcW w:type="dxa" w:w="4580"/>
            <w:gridSpan w:val="7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18,269 23,555 17,795 20,733 21,974 175,341 </w:t>
            </w:r>
          </w:p>
        </w:tc>
        <w:tc>
          <w:tcPr>
            <w:tcW w:type="dxa" w:w="69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450 </w:t>
            </w:r>
          </w:p>
        </w:tc>
        <w:tc>
          <w:tcPr>
            <w:tcW w:type="dxa" w:w="7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3,536 </w:t>
            </w:r>
          </w:p>
        </w:tc>
        <w:tc>
          <w:tcPr>
            <w:tcW w:type="dxa" w:w="84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281,653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in nonaccrual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48"/>
        </w:trPr>
        <w:tc>
          <w:tcPr>
            <w:tcW w:type="dxa" w:w="23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status . . . . . . . . . . . . . . . .</w:t>
            </w:r>
          </w:p>
        </w:tc>
        <w:tc>
          <w:tcPr>
            <w:tcW w:type="dxa" w:w="7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1,437 </w:t>
            </w:r>
          </w:p>
        </w:tc>
        <w:tc>
          <w:tcPr>
            <w:tcW w:type="dxa" w:w="6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3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1,437 </w:t>
            </w:r>
          </w:p>
        </w:tc>
      </w:tr>
      <w:tr>
        <w:trPr>
          <w:trHeight w:hRule="exact" w:val="480"/>
        </w:trPr>
        <w:tc>
          <w:tcPr>
            <w:tcW w:type="dxa" w:w="7652"/>
            <w:gridSpan w:val="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$18,269 $23,555 $17,795 $20,733 $21,974 $176,778 $450 </w:t>
            </w:r>
          </w:p>
        </w:tc>
        <w:tc>
          <w:tcPr>
            <w:tcW w:type="dxa" w:w="154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$3,536 $283,090 </w:t>
            </w:r>
          </w:p>
        </w:tc>
      </w:tr>
    </w:tbl>
    <w:p>
      <w:pPr>
        <w:autoSpaceDN w:val="0"/>
        <w:autoSpaceDE w:val="0"/>
        <w:widowControl/>
        <w:spacing w:line="200" w:lineRule="exact" w:before="4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D5.1 </w:t>
      </w:r>
    </w:p>
    <w:p>
      <w:pPr>
        <w:autoSpaceDN w:val="0"/>
        <w:autoSpaceDE w:val="0"/>
        <w:widowControl/>
        <w:spacing w:line="180" w:lineRule="exact" w:before="15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4" w:after="24"/>
        <w:ind w:left="0" w:right="306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2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06"/>
        </w:trPr>
        <w:tc>
          <w:tcPr>
            <w:tcW w:type="dxa" w:w="67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gridSpan w:val="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Fiscal Year of Origination </w:t>
            </w:r>
          </w:p>
        </w:tc>
        <w:tc>
          <w:tcPr>
            <w:tcW w:type="dxa" w:w="522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CAT </w:t>
            </w:r>
          </w:p>
        </w:tc>
        <w:tc>
          <w:tcPr>
            <w:tcW w:type="dxa" w:w="76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CAT </w:t>
            </w:r>
          </w:p>
        </w:tc>
        <w:tc>
          <w:tcPr>
            <w:tcW w:type="dxa" w:w="84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2080"/>
            <w:gridSpan w:val="2"/>
            <w:vMerge/>
            <w:tcBorders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DDOs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DDOs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</w:tr>
      <w:tr>
        <w:trPr>
          <w:trHeight w:hRule="exact" w:val="160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2080"/>
            <w:gridSpan w:val="2"/>
            <w:vMerge/>
            <w:tcBorders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Disbursed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Converted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</w:t>
            </w:r>
          </w:p>
        </w:tc>
      </w:tr>
      <w:tr>
        <w:trPr>
          <w:trHeight w:hRule="exact" w:val="11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2080"/>
            <w:gridSpan w:val="2"/>
            <w:vMerge/>
            <w:tcBorders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5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and </w:t>
            </w:r>
          </w:p>
        </w:tc>
        <w:tc>
          <w:tcPr>
            <w:tcW w:type="dxa" w:w="76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 Term </w:t>
            </w:r>
          </w:p>
        </w:tc>
        <w:tc>
          <w:tcPr>
            <w:tcW w:type="dxa" w:w="84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</w:t>
            </w:r>
          </w:p>
        </w:tc>
      </w:tr>
      <w:tr>
        <w:trPr>
          <w:trHeight w:hRule="exact" w:val="46"/>
        </w:trPr>
        <w:tc>
          <w:tcPr>
            <w:tcW w:type="dxa" w:w="67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  <w:tc>
          <w:tcPr>
            <w:tcW w:type="dxa" w:w="75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2022 </w:t>
            </w:r>
          </w:p>
        </w:tc>
        <w:tc>
          <w:tcPr>
            <w:tcW w:type="dxa" w:w="978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2021 </w:t>
            </w:r>
          </w:p>
        </w:tc>
        <w:tc>
          <w:tcPr>
            <w:tcW w:type="dxa" w:w="522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2020 </w:t>
            </w:r>
          </w:p>
        </w:tc>
        <w:tc>
          <w:tcPr>
            <w:tcW w:type="dxa" w:w="93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Prior Years </w:t>
            </w:r>
          </w:p>
        </w:tc>
        <w:tc>
          <w:tcPr>
            <w:tcW w:type="dxa" w:w="75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104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75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Revolving </w:t>
            </w:r>
          </w:p>
        </w:tc>
        <w:tc>
          <w:tcPr>
            <w:tcW w:type="dxa" w:w="76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84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00" w:lineRule="exact" w:before="8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Risk Class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22"/>
        </w:trPr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Low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150 $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250 $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 </w:t>
            </w:r>
          </w:p>
        </w:tc>
        <w:tc>
          <w:tcPr>
            <w:tcW w:type="dxa" w:w="15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$ 6,535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Medium . . . . . . . . . .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7,885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8,445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6,893 10,126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8,421 </w:t>
            </w:r>
          </w:p>
        </w:tc>
        <w:tc>
          <w:tcPr>
            <w:tcW w:type="dxa" w:w="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79,700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302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2,334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124,106 </w:t>
            </w:r>
          </w:p>
        </w:tc>
      </w:tr>
      <w:tr>
        <w:trPr>
          <w:trHeight w:hRule="exact" w:val="264"/>
        </w:trPr>
        <w:tc>
          <w:tcPr>
            <w:tcW w:type="dxa" w:w="22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 . . . . . . . . . . . . .</w:t>
            </w:r>
          </w:p>
        </w:tc>
        <w:tc>
          <w:tcPr>
            <w:tcW w:type="dxa" w:w="10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11,645 </w:t>
            </w:r>
          </w:p>
        </w:tc>
        <w:tc>
          <w:tcPr>
            <w:tcW w:type="dxa" w:w="15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7,402 11,897 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9,951 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8,486 </w:t>
            </w:r>
          </w:p>
        </w:tc>
        <w:tc>
          <w:tcPr>
            <w:tcW w:type="dxa" w:w="9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80,454 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7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903 </w:t>
            </w:r>
          </w:p>
        </w:tc>
        <w:tc>
          <w:tcPr>
            <w:tcW w:type="dxa" w:w="8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130,739 </w:t>
            </w:r>
          </w:p>
        </w:tc>
      </w:tr>
      <w:tr>
        <w:trPr>
          <w:trHeight w:hRule="exact" w:val="314"/>
        </w:trPr>
        <w:tc>
          <w:tcPr>
            <w:tcW w:type="dxa" w:w="22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in accrual status . . .</w:t>
            </w:r>
          </w:p>
        </w:tc>
        <w:tc>
          <w:tcPr>
            <w:tcW w:type="dxa" w:w="4826"/>
            <w:gridSpan w:val="7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19,680 15,847 19,040 20,077 16,907 166,689 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303 </w:t>
            </w:r>
          </w:p>
        </w:tc>
        <w:tc>
          <w:tcPr>
            <w:tcW w:type="dxa" w:w="7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3,237 </w:t>
            </w:r>
          </w:p>
        </w:tc>
        <w:tc>
          <w:tcPr>
            <w:tcW w:type="dxa" w:w="84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261,780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in nonaccrual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46"/>
        </w:trPr>
        <w:tc>
          <w:tcPr>
            <w:tcW w:type="dxa" w:w="223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status . . . . . . . . . . . . . .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115 </w:t>
            </w:r>
          </w:p>
        </w:tc>
        <w:tc>
          <w:tcPr>
            <w:tcW w:type="dxa" w:w="9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1,295 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3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1,410 </w:t>
            </w:r>
          </w:p>
        </w:tc>
      </w:tr>
      <w:tr>
        <w:trPr>
          <w:trHeight w:hRule="exact" w:val="320"/>
        </w:trPr>
        <w:tc>
          <w:tcPr>
            <w:tcW w:type="dxa" w:w="6966"/>
            <w:gridSpan w:val="7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$19,680 $15,847 $19,040 $20,077 $17,022 $167,984 </w:t>
            </w:r>
          </w:p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$303 </w:t>
            </w:r>
          </w:p>
        </w:tc>
        <w:tc>
          <w:tcPr>
            <w:tcW w:type="dxa" w:w="1548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$3,237 $263,190 </w:t>
            </w:r>
          </w:p>
        </w:tc>
      </w:tr>
      <w:tr>
        <w:trPr>
          <w:trHeight w:hRule="exact" w:val="160"/>
        </w:trPr>
        <w:tc>
          <w:tcPr>
            <w:tcW w:type="dxa" w:w="6552"/>
            <w:gridSpan w:val="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3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Catastrophe Deferred Draw-Down Option (CAT-DDO) promotes countries’ resilience to disasters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expands the range of IBRD’s crisis instruments. It is a contingent credit line that provides immediate liquidity to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 in the aftermath of a catastrophe. The amount of Catastrophe Deferred Drawdown Option (CAT DDOs)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converted to term loans during the fiscal year ended June 30, 2025, is $300 million ($500 million—fiscal year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ended June 30, 2024).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Accumulated Provision for Losses on Loans and Other Exposures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determines the appropriate level of accumulated provision for losses, which reflects the expected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inherent in IBRD’s exposures. </w:t>
      </w:r>
    </w:p>
    <w:p>
      <w:pPr>
        <w:autoSpaceDN w:val="0"/>
        <w:autoSpaceDE w:val="0"/>
        <w:widowControl/>
        <w:spacing w:line="240" w:lineRule="exact" w:before="240" w:after="0"/>
        <w:ind w:left="120" w:right="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Delays in receiving loan payments result in economic losses to IBRD since it does not charge additional interest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any overdue interest or loan charges. These economic losses are estimated as the difference between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 value of payments of interest and charges made according to the related loan’s contractual terms and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 value of its expected future cash flows. It is IBRD’s practice not to write off its loans. Historically, all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contractual obligations associated with exposures in nonaccrual status were eventually cleared, thereby allowing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borrowers to emerge from nonaccrual status. To date, no loans have been written off by IBRD.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reassesses the adequacy of the accumulated provision on a quarterly basis and adjustments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accumulated provision are recorded as a charge to or release of provision in the Statements of Income.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Changes to the accumulated provision for losses on loans and other exposures are summarized below: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D6: Accumulated provision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6"/>
        <w:ind w:left="0" w:right="1234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203"/>
        </w:trPr>
        <w:tc>
          <w:tcPr>
            <w:tcW w:type="dxa" w:w="598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9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4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 </w:t>
            </w:r>
          </w:p>
        </w:tc>
        <w:tc>
          <w:tcPr>
            <w:tcW w:type="dxa" w:w="486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Other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83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562"/>
            <w:vMerge/>
            <w:tcBorders>
              <w:bottom w:sz="8.0" w:val="single" w:color="#221F1F"/>
            </w:tcBorders>
          </w:tcPr>
          <w:p/>
        </w:tc>
        <w:tc>
          <w:tcPr>
            <w:tcW w:type="dxa" w:w="95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  <w:tc>
          <w:tcPr>
            <w:tcW w:type="dxa" w:w="104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commitments </w:t>
            </w:r>
          </w:p>
        </w:tc>
        <w:tc>
          <w:tcPr>
            <w:tcW w:type="dxa" w:w="1562"/>
            <w:vMerge/>
            <w:tcBorders>
              <w:bottom w:sz="8.0" w:val="single" w:color="#221F1F"/>
            </w:tcBorders>
          </w:tcPr>
          <w:p/>
        </w:tc>
        <w:tc>
          <w:tcPr>
            <w:tcW w:type="dxa" w:w="1562"/>
            <w:vMerge/>
            <w:tcBorders>
              <w:bottom w:sz="8.0" w:val="single" w:color="#221F1F"/>
            </w:tcBorders>
          </w:tcPr>
          <w:p/>
        </w:tc>
      </w:tr>
      <w:tr>
        <w:trPr>
          <w:trHeight w:hRule="exact" w:val="270"/>
        </w:trPr>
        <w:tc>
          <w:tcPr>
            <w:tcW w:type="dxa" w:w="598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9"/>
              </w:rPr>
              <w:t xml:space="preserve">Accumulated provision, beginning of the fiscal year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. . . . . . . . . . . . . . . .</w:t>
            </w:r>
          </w:p>
        </w:tc>
        <w:tc>
          <w:tcPr>
            <w:tcW w:type="dxa" w:w="21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73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2,360 </w:t>
            </w:r>
          </w:p>
        </w:tc>
        <w:tc>
          <w:tcPr>
            <w:tcW w:type="dxa" w:w="104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$514 </w:t>
            </w:r>
          </w:p>
        </w:tc>
        <w:tc>
          <w:tcPr>
            <w:tcW w:type="dxa" w:w="48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$92 </w:t>
            </w:r>
          </w:p>
        </w:tc>
        <w:tc>
          <w:tcPr>
            <w:tcW w:type="dxa" w:w="83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$2,966 </w:t>
            </w:r>
          </w:p>
        </w:tc>
      </w:tr>
      <w:tr>
        <w:trPr>
          <w:trHeight w:hRule="exact" w:val="220"/>
        </w:trPr>
        <w:tc>
          <w:tcPr>
            <w:tcW w:type="dxa" w:w="5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Provision - release . . . . . . . . . . . . . . . . . . . . . . . . . . . . . . . . . . . . . . . . . . . . .</w:t>
            </w:r>
          </w:p>
        </w:tc>
        <w:tc>
          <w:tcPr>
            <w:tcW w:type="dxa" w:w="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(44)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(23) </w:t>
            </w:r>
          </w:p>
        </w:tc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(8) 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(75) </w:t>
            </w:r>
          </w:p>
        </w:tc>
      </w:tr>
      <w:tr>
        <w:trPr>
          <w:trHeight w:hRule="exact" w:val="256"/>
        </w:trPr>
        <w:tc>
          <w:tcPr>
            <w:tcW w:type="dxa" w:w="59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Translation adjustment . . . . . . . . . . . . . . . . . . . . . . . . . . . . . . . . . . . . . . . . .</w:t>
            </w:r>
          </w:p>
        </w:tc>
        <w:tc>
          <w:tcPr>
            <w:tcW w:type="dxa" w:w="95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50 </w:t>
            </w:r>
          </w:p>
        </w:tc>
        <w:tc>
          <w:tcPr>
            <w:tcW w:type="dxa" w:w="10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19 </w:t>
            </w:r>
          </w:p>
        </w:tc>
        <w:tc>
          <w:tcPr>
            <w:tcW w:type="dxa" w:w="4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4 </w:t>
            </w:r>
          </w:p>
        </w:tc>
        <w:tc>
          <w:tcPr>
            <w:tcW w:type="dxa" w:w="8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73 </w:t>
            </w:r>
          </w:p>
        </w:tc>
      </w:tr>
      <w:tr>
        <w:trPr>
          <w:trHeight w:hRule="exact" w:val="314"/>
        </w:trPr>
        <w:tc>
          <w:tcPr>
            <w:tcW w:type="dxa" w:w="59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9"/>
              </w:rPr>
              <w:t xml:space="preserve">Accumulated provision, end of the fiscal year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. . . . . . . . . . . . . . . . . . . . .</w:t>
            </w:r>
          </w:p>
        </w:tc>
        <w:tc>
          <w:tcPr>
            <w:tcW w:type="dxa" w:w="2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73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2,366 </w:t>
            </w:r>
          </w:p>
        </w:tc>
        <w:tc>
          <w:tcPr>
            <w:tcW w:type="dxa" w:w="10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$510 </w:t>
            </w:r>
          </w:p>
        </w:tc>
        <w:tc>
          <w:tcPr>
            <w:tcW w:type="dxa" w:w="4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$88 </w:t>
            </w:r>
          </w:p>
        </w:tc>
        <w:tc>
          <w:tcPr>
            <w:tcW w:type="dxa" w:w="8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$2,964 </w:t>
            </w:r>
          </w:p>
        </w:tc>
      </w:tr>
    </w:tbl>
    <w:p>
      <w:pPr>
        <w:autoSpaceDN w:val="0"/>
        <w:autoSpaceDE w:val="0"/>
        <w:widowControl/>
        <w:spacing w:line="190" w:lineRule="exact" w:before="102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9"/>
        </w:rPr>
        <w:t xml:space="preserve">Composed of accumulated provision for losses 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4"/>
        <w:gridCol w:w="3124"/>
        <w:gridCol w:w="3124"/>
      </w:tblGrid>
      <w:tr>
        <w:trPr>
          <w:trHeight w:hRule="exact" w:val="202"/>
        </w:trPr>
        <w:tc>
          <w:tcPr>
            <w:tcW w:type="dxa" w:w="6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6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Loans in accrual status . . . . . . . . . . . . . . . . . . . . . . . . . . . . . . . . . . . .</w:t>
            </w:r>
          </w:p>
        </w:tc>
        <w:tc>
          <w:tcPr>
            <w:tcW w:type="dxa" w:w="19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2,054 </w:t>
            </w:r>
          </w:p>
        </w:tc>
      </w:tr>
      <w:tr>
        <w:trPr>
          <w:trHeight w:hRule="exact" w:val="256"/>
        </w:trPr>
        <w:tc>
          <w:tcPr>
            <w:tcW w:type="dxa" w:w="60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6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Loans in nonaccrual status . . . . . . . . . . . . . . . . . . . . . . . . . . . . . . . . .</w:t>
            </w:r>
          </w:p>
        </w:tc>
        <w:tc>
          <w:tcPr>
            <w:tcW w:type="dxa" w:w="3124"/>
            <w:vMerge/>
            <w:tcBorders>
              <w:bottom w:sz="4.0" w:val="single" w:color="#221F1F"/>
            </w:tcBorders>
          </w:tcPr>
          <w:p/>
        </w:tc>
        <w:tc>
          <w:tcPr>
            <w:tcW w:type="dxa" w:w="1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312 </w:t>
            </w:r>
          </w:p>
        </w:tc>
      </w:tr>
      <w:tr>
        <w:trPr>
          <w:trHeight w:hRule="exact" w:val="314"/>
        </w:trPr>
        <w:tc>
          <w:tcPr>
            <w:tcW w:type="dxa" w:w="60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Total . . . . . . . . . . . . . . . . . . . . . . . . . . . . . . . . . . . . . . . . . . . . . . . . . . . . . . . .</w:t>
            </w:r>
          </w:p>
        </w:tc>
        <w:tc>
          <w:tcPr>
            <w:tcW w:type="dxa" w:w="1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1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2,366 </w:t>
            </w:r>
          </w:p>
        </w:tc>
      </w:tr>
    </w:tbl>
    <w:p>
      <w:pPr>
        <w:autoSpaceDN w:val="0"/>
        <w:autoSpaceDE w:val="0"/>
        <w:widowControl/>
        <w:spacing w:line="190" w:lineRule="exact" w:before="104" w:after="16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9"/>
        </w:rPr>
        <w:t xml:space="preserve">Loans, end of the fiscal year: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6"/>
        <w:gridCol w:w="4686"/>
      </w:tblGrid>
      <w:tr>
        <w:trPr>
          <w:trHeight w:hRule="exact" w:val="456"/>
        </w:trPr>
        <w:tc>
          <w:tcPr>
            <w:tcW w:type="dxa" w:w="59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8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Loans in accrual status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Loans in nonaccrual status . . . . . . . . . . . . . . . . . . . . . . . . . . . . . . . . . . .</w:t>
            </w:r>
          </w:p>
        </w:tc>
        <w:tc>
          <w:tcPr>
            <w:tcW w:type="dxa" w:w="31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90" w:right="2304" w:hanging="286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$281,653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1,437 </w:t>
            </w:r>
          </w:p>
        </w:tc>
      </w:tr>
      <w:tr>
        <w:trPr>
          <w:trHeight w:hRule="exact" w:val="300"/>
        </w:trPr>
        <w:tc>
          <w:tcPr>
            <w:tcW w:type="dxa" w:w="59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Total loans outstanding . . . . . . . . . . . . . . . . . . . . . . . . . . . . . . . . . . . . . . . . .</w:t>
            </w:r>
          </w:p>
        </w:tc>
        <w:tc>
          <w:tcPr>
            <w:tcW w:type="dxa" w:w="31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$283,090 </w:t>
            </w:r>
          </w:p>
        </w:tc>
      </w:tr>
      <w:tr>
        <w:trPr>
          <w:trHeight w:hRule="exact" w:val="160"/>
        </w:trPr>
        <w:tc>
          <w:tcPr>
            <w:tcW w:type="dxa" w:w="59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09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136 </w:t>
      </w:r>
    </w:p>
    <w:p>
      <w:pPr>
        <w:sectPr>
          <w:pgSz w:w="12240" w:h="15840"/>
          <w:pgMar w:top="764" w:right="1428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D6.1: </w:t>
      </w:r>
    </w:p>
    <w:p>
      <w:pPr>
        <w:autoSpaceDN w:val="0"/>
        <w:autoSpaceDE w:val="0"/>
        <w:widowControl/>
        <w:spacing w:line="180" w:lineRule="exact" w:before="12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8"/>
        <w:ind w:left="0" w:right="1220" w:firstLine="0"/>
        <w:jc w:val="righ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trHeight w:hRule="exact" w:val="203"/>
        </w:trPr>
        <w:tc>
          <w:tcPr>
            <w:tcW w:type="dxa" w:w="598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9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4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 </w:t>
            </w:r>
          </w:p>
        </w:tc>
        <w:tc>
          <w:tcPr>
            <w:tcW w:type="dxa" w:w="486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Other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83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562"/>
            <w:vMerge/>
            <w:tcBorders>
              <w:bottom w:sz="8.0" w:val="single" w:color="#221F1F"/>
            </w:tcBorders>
          </w:tcPr>
          <w:p/>
        </w:tc>
        <w:tc>
          <w:tcPr>
            <w:tcW w:type="dxa" w:w="95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  <w:tc>
          <w:tcPr>
            <w:tcW w:type="dxa" w:w="104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commitments </w:t>
            </w:r>
          </w:p>
        </w:tc>
        <w:tc>
          <w:tcPr>
            <w:tcW w:type="dxa" w:w="1562"/>
            <w:vMerge/>
            <w:tcBorders>
              <w:bottom w:sz="8.0" w:val="single" w:color="#221F1F"/>
            </w:tcBorders>
          </w:tcPr>
          <w:p/>
        </w:tc>
        <w:tc>
          <w:tcPr>
            <w:tcW w:type="dxa" w:w="1562"/>
            <w:vMerge/>
            <w:tcBorders>
              <w:bottom w:sz="8.0" w:val="single" w:color="#221F1F"/>
            </w:tcBorders>
          </w:tcPr>
          <w:p/>
        </w:tc>
      </w:tr>
      <w:tr>
        <w:trPr>
          <w:trHeight w:hRule="exact" w:val="260"/>
        </w:trPr>
        <w:tc>
          <w:tcPr>
            <w:tcW w:type="dxa" w:w="598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9"/>
              </w:rPr>
              <w:t xml:space="preserve">Accumulated provision, beginning of the fiscal year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. . . . . . . . . . . . . . . .</w:t>
            </w:r>
          </w:p>
        </w:tc>
        <w:tc>
          <w:tcPr>
            <w:tcW w:type="dxa" w:w="21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73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2,336 </w:t>
            </w:r>
          </w:p>
        </w:tc>
        <w:tc>
          <w:tcPr>
            <w:tcW w:type="dxa" w:w="104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$452 </w:t>
            </w:r>
          </w:p>
        </w:tc>
        <w:tc>
          <w:tcPr>
            <w:tcW w:type="dxa" w:w="48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$90 </w:t>
            </w:r>
          </w:p>
        </w:tc>
        <w:tc>
          <w:tcPr>
            <w:tcW w:type="dxa" w:w="83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$2,878 </w:t>
            </w:r>
          </w:p>
        </w:tc>
      </w:tr>
      <w:tr>
        <w:trPr>
          <w:trHeight w:hRule="exact" w:val="200"/>
        </w:trPr>
        <w:tc>
          <w:tcPr>
            <w:tcW w:type="dxa" w:w="5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Provision - charge . . . . . . . . . . . . . . . . . . . . . . . . . . . . . . . . . . . . . . . . . . . . .</w:t>
            </w:r>
          </w:p>
        </w:tc>
        <w:tc>
          <w:tcPr>
            <w:tcW w:type="dxa" w:w="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29 </w:t>
            </w:r>
          </w:p>
        </w:tc>
        <w:tc>
          <w:tcPr>
            <w:tcW w:type="dxa" w:w="1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64 </w:t>
            </w:r>
          </w:p>
        </w:tc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1 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94 </w:t>
            </w:r>
          </w:p>
        </w:tc>
      </w:tr>
      <w:tr>
        <w:trPr>
          <w:trHeight w:hRule="exact" w:val="236"/>
        </w:trPr>
        <w:tc>
          <w:tcPr>
            <w:tcW w:type="dxa" w:w="59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Translation adjustment . . . . . . . . . . . . . . . . . . . . . . . . . . . . . . . . . . . . . . . . .</w:t>
            </w:r>
          </w:p>
        </w:tc>
        <w:tc>
          <w:tcPr>
            <w:tcW w:type="dxa" w:w="95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(5) </w:t>
            </w:r>
          </w:p>
        </w:tc>
        <w:tc>
          <w:tcPr>
            <w:tcW w:type="dxa" w:w="10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3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(2) </w:t>
            </w:r>
          </w:p>
        </w:tc>
        <w:tc>
          <w:tcPr>
            <w:tcW w:type="dxa" w:w="4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1 </w:t>
            </w:r>
          </w:p>
        </w:tc>
        <w:tc>
          <w:tcPr>
            <w:tcW w:type="dxa" w:w="8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(6) </w:t>
            </w:r>
          </w:p>
        </w:tc>
      </w:tr>
      <w:tr>
        <w:trPr>
          <w:trHeight w:hRule="exact" w:val="300"/>
        </w:trPr>
        <w:tc>
          <w:tcPr>
            <w:tcW w:type="dxa" w:w="59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9"/>
              </w:rPr>
              <w:t xml:space="preserve">Accumulated provision, end of the fiscal year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. . . . . . . . . . . . . . . . . . . . .</w:t>
            </w:r>
          </w:p>
        </w:tc>
        <w:tc>
          <w:tcPr>
            <w:tcW w:type="dxa" w:w="2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73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2,360 </w:t>
            </w:r>
          </w:p>
        </w:tc>
        <w:tc>
          <w:tcPr>
            <w:tcW w:type="dxa" w:w="10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$514 </w:t>
            </w:r>
          </w:p>
        </w:tc>
        <w:tc>
          <w:tcPr>
            <w:tcW w:type="dxa" w:w="4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$92 </w:t>
            </w:r>
          </w:p>
        </w:tc>
        <w:tc>
          <w:tcPr>
            <w:tcW w:type="dxa" w:w="8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$2,966 </w:t>
            </w:r>
          </w:p>
        </w:tc>
      </w:tr>
    </w:tbl>
    <w:p>
      <w:pPr>
        <w:autoSpaceDN w:val="0"/>
        <w:autoSpaceDE w:val="0"/>
        <w:widowControl/>
        <w:spacing w:line="190" w:lineRule="exact" w:before="86" w:after="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9"/>
        </w:rPr>
        <w:t xml:space="preserve">Composed of accumulated provision for losses 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4"/>
        <w:gridCol w:w="3124"/>
        <w:gridCol w:w="3124"/>
      </w:tblGrid>
      <w:tr>
        <w:trPr>
          <w:trHeight w:hRule="exact" w:val="200"/>
        </w:trPr>
        <w:tc>
          <w:tcPr>
            <w:tcW w:type="dxa" w:w="6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6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Loans in accrual status . . . . . . . . . . . . . . . . . . . . . . . . . . . . . . . . . . . .</w:t>
            </w:r>
          </w:p>
        </w:tc>
        <w:tc>
          <w:tcPr>
            <w:tcW w:type="dxa" w:w="19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2,036 </w:t>
            </w:r>
          </w:p>
        </w:tc>
      </w:tr>
      <w:tr>
        <w:trPr>
          <w:trHeight w:hRule="exact" w:val="234"/>
        </w:trPr>
        <w:tc>
          <w:tcPr>
            <w:tcW w:type="dxa" w:w="60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6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Loans in nonaccrual status . . . . . . . . . . . . . . . . . . . . . . . . . . . . . . . . .</w:t>
            </w:r>
          </w:p>
        </w:tc>
        <w:tc>
          <w:tcPr>
            <w:tcW w:type="dxa" w:w="3124"/>
            <w:vMerge/>
            <w:tcBorders>
              <w:bottom w:sz="4.0" w:val="single" w:color="#221F1F"/>
            </w:tcBorders>
          </w:tcPr>
          <w:p/>
        </w:tc>
        <w:tc>
          <w:tcPr>
            <w:tcW w:type="dxa" w:w="1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324 </w:t>
            </w:r>
          </w:p>
        </w:tc>
      </w:tr>
      <w:tr>
        <w:trPr>
          <w:trHeight w:hRule="exact" w:val="297"/>
        </w:trPr>
        <w:tc>
          <w:tcPr>
            <w:tcW w:type="dxa" w:w="60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Total . . . . . . . . . . . . . . . . . . . . . . . . . . . . . . . . . . . . . . . . . . . . . . . . . . . . . . . .</w:t>
            </w:r>
          </w:p>
        </w:tc>
        <w:tc>
          <w:tcPr>
            <w:tcW w:type="dxa" w:w="1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$</w:t>
            </w:r>
          </w:p>
        </w:tc>
        <w:tc>
          <w:tcPr>
            <w:tcW w:type="dxa" w:w="1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2,360 </w:t>
            </w:r>
          </w:p>
        </w:tc>
      </w:tr>
    </w:tbl>
    <w:p>
      <w:pPr>
        <w:autoSpaceDN w:val="0"/>
        <w:autoSpaceDE w:val="0"/>
        <w:widowControl/>
        <w:spacing w:line="190" w:lineRule="exact" w:before="88" w:after="6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9"/>
        </w:rPr>
        <w:t xml:space="preserve">Loans, end of the fiscal year: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4"/>
        <w:gridCol w:w="3124"/>
        <w:gridCol w:w="3124"/>
      </w:tblGrid>
      <w:tr>
        <w:trPr>
          <w:trHeight w:hRule="exact" w:val="204"/>
        </w:trPr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Loans in accrual status . . . . . . . . . . . . . . . . . . . . . . . . . . . . . . . . . . . . . .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$261,780 </w:t>
            </w:r>
          </w:p>
        </w:tc>
      </w:tr>
      <w:tr>
        <w:trPr>
          <w:trHeight w:hRule="exact" w:val="240"/>
        </w:trPr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Loans in nonaccrual status . . . . . . . . . . . . . . . . . . . . . . . . . . . . . . . . . . .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1,410 </w:t>
            </w:r>
          </w:p>
        </w:tc>
      </w:tr>
      <w:tr>
        <w:trPr>
          <w:trHeight w:hRule="exact" w:val="272"/>
        </w:trPr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>Total loans outstanding . . . . . . . . . . . . . . . . . . . . . . . . . . . . . . . . . . . . . . . . .</w:t>
            </w:r>
          </w:p>
        </w:tc>
        <w:tc>
          <w:tcPr>
            <w:tcW w:type="dxa" w:w="32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$263,190 </w:t>
            </w:r>
          </w:p>
        </w:tc>
      </w:tr>
      <w:tr>
        <w:trPr>
          <w:trHeight w:hRule="exact" w:val="150"/>
        </w:trPr>
        <w:tc>
          <w:tcPr>
            <w:tcW w:type="dxa" w:w="58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24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482"/>
        </w:trPr>
        <w:tc>
          <w:tcPr>
            <w:tcW w:type="dxa" w:w="3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82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Primarily relates to guarantees given. For more details, see Guarantees section. </w:t>
            </w:r>
          </w:p>
        </w:tc>
      </w:tr>
    </w:tbl>
    <w:p>
      <w:pPr>
        <w:autoSpaceDN w:val="0"/>
        <w:autoSpaceDE w:val="0"/>
        <w:widowControl/>
        <w:spacing w:line="160" w:lineRule="exact" w:before="82" w:after="24"/>
        <w:ind w:left="0" w:right="2426" w:firstLine="0"/>
        <w:jc w:val="right"/>
      </w:pPr>
      <w:r>
        <w:rPr>
          <w:rFonts w:ascii="Times" w:hAnsi="Times" w:eastAsia="Times"/>
          <w:b/>
          <w:i/>
          <w:color w:val="231F20"/>
          <w:sz w:val="16"/>
        </w:rPr>
        <w:t xml:space="preserve">Reported 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30.0" w:type="dxa"/>
      </w:tblPr>
      <w:tblGrid>
        <w:gridCol w:w="4686"/>
        <w:gridCol w:w="4686"/>
      </w:tblGrid>
      <w:tr>
        <w:trPr>
          <w:trHeight w:hRule="exact" w:val="240"/>
        </w:trPr>
        <w:tc>
          <w:tcPr>
            <w:tcW w:type="dxa" w:w="27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 xml:space="preserve">Balance Sheets </w:t>
            </w:r>
          </w:p>
        </w:tc>
        <w:tc>
          <w:tcPr>
            <w:tcW w:type="dxa" w:w="280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606" w:firstLine="0"/>
              <w:jc w:val="right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 xml:space="preserve">Statements of Income </w:t>
            </w:r>
          </w:p>
        </w:tc>
      </w:tr>
    </w:tbl>
    <w:p>
      <w:pPr>
        <w:autoSpaceDN w:val="0"/>
        <w:tabs>
          <w:tab w:pos="3740" w:val="left"/>
          <w:tab w:pos="6540" w:val="left"/>
        </w:tabs>
        <w:autoSpaceDE w:val="0"/>
        <w:widowControl/>
        <w:spacing w:line="204" w:lineRule="exact" w:before="66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Accumulated Provision for Losses on: </w:t>
      </w:r>
      <w:r>
        <w:br/>
      </w:r>
      <w:r>
        <w:rPr>
          <w:rFonts w:ascii="Times" w:hAnsi="Times" w:eastAsia="Times"/>
          <w:b w:val="0"/>
          <w:i w:val="0"/>
          <w:color w:val="231F20"/>
          <w:sz w:val="19"/>
        </w:rPr>
        <w:t>Loans outstanding . . . . . . . . . . . . . . . . . . . . . .</w:t>
      </w:r>
      <w:r>
        <w:rPr>
          <w:rFonts w:ascii="Times" w:hAnsi="Times" w:eastAsia="Times"/>
          <w:b w:val="0"/>
          <w:i w:val="0"/>
          <w:color w:val="231F20"/>
          <w:sz w:val="19"/>
        </w:rPr>
        <w:t xml:space="preserve">Accumulated provision for loan </w:t>
      </w:r>
      <w:r>
        <w:tab/>
      </w:r>
      <w:r>
        <w:rPr>
          <w:rFonts w:ascii="Times" w:hAnsi="Times" w:eastAsia="Times"/>
          <w:b w:val="0"/>
          <w:i w:val="0"/>
          <w:color w:val="231F20"/>
          <w:sz w:val="19"/>
        </w:rPr>
        <w:t xml:space="preserve">Provision for losses on loans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19"/>
        </w:rPr>
        <w:t xml:space="preserve">losses </w:t>
      </w:r>
      <w:r>
        <w:tab/>
      </w:r>
      <w:r>
        <w:rPr>
          <w:rFonts w:ascii="Times" w:hAnsi="Times" w:eastAsia="Times"/>
          <w:b w:val="0"/>
          <w:i w:val="0"/>
          <w:color w:val="231F20"/>
          <w:sz w:val="19"/>
        </w:rPr>
        <w:t xml:space="preserve">other exposures </w:t>
      </w:r>
    </w:p>
    <w:p>
      <w:pPr>
        <w:autoSpaceDN w:val="0"/>
        <w:tabs>
          <w:tab w:pos="6540" w:val="left"/>
        </w:tabs>
        <w:autoSpaceDE w:val="0"/>
        <w:widowControl/>
        <w:spacing w:line="204" w:lineRule="exact" w:before="120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9"/>
        </w:rPr>
        <w:t>Loan commitments and other exposures . . . . .</w:t>
      </w:r>
      <w:r>
        <w:rPr>
          <w:rFonts w:ascii="Times" w:hAnsi="Times" w:eastAsia="Times"/>
          <w:b w:val="0"/>
          <w:i w:val="0"/>
          <w:color w:val="231F20"/>
          <w:sz w:val="19"/>
        </w:rPr>
        <w:t xml:space="preserve">Other liabilities </w:t>
      </w:r>
      <w:r>
        <w:tab/>
      </w:r>
      <w:r>
        <w:rPr>
          <w:rFonts w:ascii="Times" w:hAnsi="Times" w:eastAsia="Times"/>
          <w:b w:val="0"/>
          <w:i w:val="0"/>
          <w:color w:val="231F20"/>
          <w:sz w:val="19"/>
        </w:rPr>
        <w:t xml:space="preserve">Provision for losses on loans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19"/>
        </w:rPr>
        <w:t xml:space="preserve">other exposures </w:t>
      </w:r>
    </w:p>
    <w:p>
      <w:pPr>
        <w:autoSpaceDN w:val="0"/>
        <w:autoSpaceDE w:val="0"/>
        <w:widowControl/>
        <w:spacing w:line="240" w:lineRule="exact" w:before="316" w:after="0"/>
        <w:ind w:left="120" w:right="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accumulated provision for losses on loan and other exposures as of June 30, 2025 was $2,964 million,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compared to $2,966 million as of June 30, 2024. The decrease of $2 million in the accumulated provision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on loan and other exposures is attributable to a release of $75 million primarily driven by a decrease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 severity and expected default frequency offset by increase in exposure, and foreign currency translation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of $73 million. </w:t>
      </w:r>
    </w:p>
    <w:p>
      <w:pPr>
        <w:autoSpaceDN w:val="0"/>
        <w:autoSpaceDE w:val="0"/>
        <w:widowControl/>
        <w:spacing w:line="240" w:lineRule="exact" w:before="1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considers loans to be past due when a borrower fails to make payment on any principal, interest or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charges due to IBRD on the dates provided in the contractual loan agreement. </w:t>
      </w:r>
    </w:p>
    <w:p>
      <w:pPr>
        <w:autoSpaceDN w:val="0"/>
        <w:autoSpaceDE w:val="0"/>
        <w:widowControl/>
        <w:spacing w:line="200" w:lineRule="exact" w:before="31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Guarantees </w:t>
      </w:r>
    </w:p>
    <w:p>
      <w:pPr>
        <w:autoSpaceDN w:val="0"/>
        <w:autoSpaceDE w:val="0"/>
        <w:widowControl/>
        <w:spacing w:line="200" w:lineRule="exact" w:before="13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Guarantees provided </w:t>
      </w:r>
    </w:p>
    <w:p>
      <w:pPr>
        <w:autoSpaceDN w:val="0"/>
        <w:autoSpaceDE w:val="0"/>
        <w:widowControl/>
        <w:spacing w:line="240" w:lineRule="exact" w:before="92" w:after="0"/>
        <w:ind w:left="120" w:right="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of $7,465 million were outstanding as of June 30, 2025 ($7,168 million—June 30, 2024), including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provided under the EEA. These amounts represent the maximum potential amount of undiscounted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future payments that IBRD could be required to make under these guarantees, and are not included in the Balance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Sheets. These guarantees have original maturities ranging between 10 and 23 years and expire in decreasing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amounts through 2047. </w:t>
      </w:r>
    </w:p>
    <w:p>
      <w:pPr>
        <w:autoSpaceDN w:val="0"/>
        <w:autoSpaceDE w:val="0"/>
        <w:widowControl/>
        <w:spacing w:line="240" w:lineRule="exact" w:before="180" w:after="0"/>
        <w:ind w:left="120" w:right="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liabilities related to IBRD’s obligations under guarantees included the obligation to stand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ready of $288 million ($296 million—June 30, 2024), and the accumulated provision for guarantee losses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$63 million ($71 million—June 30, 2024). These are included in Other liabilities—Accounts payable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miscellaneous liabilities on the Balance Sheets. </w:t>
      </w:r>
    </w:p>
    <w:p>
      <w:pPr>
        <w:autoSpaceDN w:val="0"/>
        <w:autoSpaceDE w:val="0"/>
        <w:widowControl/>
        <w:spacing w:line="200" w:lineRule="exact" w:before="2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fiscal year ended June 30, 2025 and June 30, 2024, no guarantees provided by IBRD were called.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137 </w:t>
      </w:r>
    </w:p>
    <w:p>
      <w:pPr>
        <w:sectPr>
          <w:pgSz w:w="12240" w:h="15840"/>
          <w:pgMar w:top="764" w:right="1428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Exposure Exchange Agreements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participates in Exposure Exchange Agreements (EEAs) which are recognized as financial guarantees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statements. Information on the location and amounts associated with the EEAs executed with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African Development Bank and Inter-American Development Bank included in the Balance Sheets is presented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the following table: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D7: Amounts associated with EEAs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504"/>
        </w:trPr>
        <w:tc>
          <w:tcPr>
            <w:tcW w:type="dxa" w:w="5336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4" w:after="0"/>
              <w:ind w:left="0" w:right="76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3868"/>
            <w:gridSpan w:val="8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4" w:after="0"/>
              <w:ind w:left="7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216"/>
        </w:trPr>
        <w:tc>
          <w:tcPr>
            <w:tcW w:type="dxa" w:w="44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(Stand </w:t>
            </w:r>
          </w:p>
        </w:tc>
        <w:tc>
          <w:tcPr>
            <w:tcW w:type="dxa" w:w="47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247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(Stand </w:t>
            </w:r>
          </w:p>
        </w:tc>
      </w:tr>
      <w:tr>
        <w:trPr>
          <w:trHeight w:hRule="exact" w:val="160"/>
        </w:trPr>
        <w:tc>
          <w:tcPr>
            <w:tcW w:type="dxa" w:w="44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ready </w:t>
            </w:r>
          </w:p>
        </w:tc>
        <w:tc>
          <w:tcPr>
            <w:tcW w:type="dxa" w:w="1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5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(Provision)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ready </w:t>
            </w:r>
          </w:p>
        </w:tc>
        <w:tc>
          <w:tcPr>
            <w:tcW w:type="dxa" w:w="2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(Provision) </w:t>
            </w:r>
          </w:p>
        </w:tc>
      </w:tr>
      <w:tr>
        <w:trPr>
          <w:trHeight w:hRule="exact" w:val="160"/>
        </w:trPr>
        <w:tc>
          <w:tcPr>
            <w:tcW w:type="dxa" w:w="3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Notional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obligation) </w:t>
            </w:r>
          </w:p>
        </w:tc>
        <w:tc>
          <w:tcPr>
            <w:tcW w:type="dxa" w:w="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Recoverable </w:t>
            </w:r>
          </w:p>
        </w:tc>
        <w:tc>
          <w:tcPr>
            <w:tcW w:type="dxa" w:w="6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Notional </w:t>
            </w:r>
          </w:p>
        </w:tc>
        <w:tc>
          <w:tcPr>
            <w:tcW w:type="dxa" w:w="8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obligation)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Recoverable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Location on the </w:t>
            </w:r>
          </w:p>
        </w:tc>
      </w:tr>
      <w:tr>
        <w:trPr>
          <w:trHeight w:hRule="exact" w:val="224"/>
        </w:trPr>
        <w:tc>
          <w:tcPr>
            <w:tcW w:type="dxa" w:w="3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Asset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asset </w:t>
            </w:r>
          </w:p>
        </w:tc>
        <w:tc>
          <w:tcPr>
            <w:tcW w:type="dxa" w:w="10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Asset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asset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 Sheets </w:t>
            </w:r>
          </w:p>
        </w:tc>
      </w:tr>
      <w:tr>
        <w:trPr>
          <w:trHeight w:hRule="exact" w:val="280"/>
        </w:trPr>
        <w:tc>
          <w:tcPr>
            <w:tcW w:type="dxa" w:w="3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Guarantees provided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3,609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$(109) </w:t>
            </w:r>
          </w:p>
        </w:tc>
        <w:tc>
          <w:tcPr>
            <w:tcW w:type="dxa" w:w="1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$(17)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3,609 </w:t>
            </w:r>
          </w:p>
        </w:tc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$(129) </w:t>
            </w:r>
          </w:p>
        </w:tc>
        <w:tc>
          <w:tcPr>
            <w:tcW w:type="dxa" w:w="2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$(25) Other liabilities </w:t>
            </w:r>
          </w:p>
        </w:tc>
      </w:tr>
      <w:tr>
        <w:trPr>
          <w:trHeight w:hRule="exact" w:val="280"/>
        </w:trPr>
        <w:tc>
          <w:tcPr>
            <w:tcW w:type="dxa" w:w="2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Guarantees received . . . . . . . . . . .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(3,609)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109 </w:t>
            </w:r>
          </w:p>
        </w:tc>
        <w:tc>
          <w:tcPr>
            <w:tcW w:type="dxa" w:w="1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 (3,611)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129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assets </w:t>
            </w:r>
          </w:p>
        </w:tc>
      </w:tr>
      <w:tr>
        <w:trPr>
          <w:trHeight w:hRule="exact" w:val="456"/>
        </w:trPr>
        <w:tc>
          <w:tcPr>
            <w:tcW w:type="dxa" w:w="31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96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(4) $</w:t>
            </w:r>
          </w:p>
        </w:tc>
        <w:tc>
          <w:tcPr>
            <w:tcW w:type="dxa" w:w="6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(2) 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228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(6) </w:t>
            </w:r>
          </w:p>
        </w:tc>
      </w:tr>
    </w:tbl>
    <w:p>
      <w:pPr>
        <w:autoSpaceDN w:val="0"/>
        <w:autoSpaceDE w:val="0"/>
        <w:widowControl/>
        <w:spacing w:line="200" w:lineRule="exact" w:before="684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Guarantees received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 had received third-party financial guarantees, including guarantees received under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EEA, of $14,947 million ($12,461 million as of June 30, 2024). In addition, during the year, IBRD received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notional value of $1.1 billion of portfolio guarantees under PGP from its shareholders.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guarantees are accounted for as financial guarantees and the related recoverable asset of $136 million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June 30, 2025 (Nil- as of June 30, 2024) is presented as Other assets on the Balance Sheets.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received protect IBRD against the risk of loss related to loans in IBRD’s portfolio and increase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lending capacity.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Waivers of Loan Charges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Executive Directors have approved waivers of certain charges on eligible loans. These include a portion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on loans, a portion of the commitment charge on undisbursed balances, and a portion of the front-end fee.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in October 2024, as part of the adjustments to IBRD’s loan pricing, the Executive Directors approved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waiver of future prepayment premiums on existing loans, as applicable. The forgone income resulting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waivers was $11 million for year ended June 30, 2025 ($9 million—June 30, 2024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$16 million—June 30, 2023).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Concentration risk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Loan revenue comprises interest, commitment fees, loan origination fees and prepayment premiums, net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waivers. For the fiscal year ended June 30, 2025, there was no country that contributed more than 10%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total loan revenue. </w:t>
      </w:r>
    </w:p>
    <w:p>
      <w:pPr>
        <w:autoSpaceDN w:val="0"/>
        <w:autoSpaceDE w:val="0"/>
        <w:widowControl/>
        <w:spacing w:line="200" w:lineRule="exact" w:before="18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loan revenue and associated loans outstanding by geographic region is presented in the following table: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D8: Loan revenue and associated outstanding loan balances by geographic region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40"/>
        <w:ind w:left="0" w:right="704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For the fiscal year ended and as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4"/>
        </w:trPr>
        <w:tc>
          <w:tcPr>
            <w:tcW w:type="dxa" w:w="73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4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216"/>
        </w:trPr>
        <w:tc>
          <w:tcPr>
            <w:tcW w:type="dxa" w:w="64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Loans </w:t>
            </w:r>
          </w:p>
        </w:tc>
      </w:tr>
      <w:tr>
        <w:trPr>
          <w:trHeight w:hRule="exact" w:val="194"/>
        </w:trPr>
        <w:tc>
          <w:tcPr>
            <w:tcW w:type="dxa" w:w="555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Region </w:t>
            </w:r>
          </w:p>
        </w:tc>
        <w:tc>
          <w:tcPr>
            <w:tcW w:type="dxa" w:w="8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Revenue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00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  <w:tc>
          <w:tcPr>
            <w:tcW w:type="dxa" w:w="83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Revenue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9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Outstanding </w:t>
            </w:r>
          </w:p>
        </w:tc>
      </w:tr>
      <w:tr>
        <w:trPr>
          <w:trHeight w:hRule="exact" w:val="310"/>
        </w:trPr>
        <w:tc>
          <w:tcPr>
            <w:tcW w:type="dxa" w:w="555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Latin America and the Caribbean . . . . . . . . . . . . . . . . . . . . . . . . . . .</w:t>
            </w:r>
          </w:p>
        </w:tc>
        <w:tc>
          <w:tcPr>
            <w:tcW w:type="dxa" w:w="8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4,481 </w:t>
            </w:r>
          </w:p>
        </w:tc>
        <w:tc>
          <w:tcPr>
            <w:tcW w:type="dxa" w:w="9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83,935 </w:t>
            </w:r>
          </w:p>
        </w:tc>
        <w:tc>
          <w:tcPr>
            <w:tcW w:type="dxa" w:w="94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4,674 </w:t>
            </w:r>
          </w:p>
        </w:tc>
        <w:tc>
          <w:tcPr>
            <w:tcW w:type="dxa" w:w="9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80,934 </w:t>
            </w:r>
          </w:p>
        </w:tc>
      </w:tr>
      <w:tr>
        <w:trPr>
          <w:trHeight w:hRule="exact" w:val="240"/>
        </w:trPr>
        <w:tc>
          <w:tcPr>
            <w:tcW w:type="dxa" w:w="5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East Asia and Pacific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2,953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54,000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3,154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52,621 </w:t>
            </w:r>
          </w:p>
        </w:tc>
      </w:tr>
      <w:tr>
        <w:trPr>
          <w:trHeight w:hRule="exact" w:val="240"/>
        </w:trPr>
        <w:tc>
          <w:tcPr>
            <w:tcW w:type="dxa" w:w="5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Europe and Central Asia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2,790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62,017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2,769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54,838 </w:t>
            </w:r>
          </w:p>
        </w:tc>
      </w:tr>
      <w:tr>
        <w:trPr>
          <w:trHeight w:hRule="exact" w:val="240"/>
        </w:trPr>
        <w:tc>
          <w:tcPr>
            <w:tcW w:type="dxa" w:w="5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Middle East and North Africa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1,811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39,180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1,860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35,300 </w:t>
            </w:r>
          </w:p>
        </w:tc>
      </w:tr>
      <w:tr>
        <w:trPr>
          <w:trHeight w:hRule="exact" w:val="240"/>
        </w:trPr>
        <w:tc>
          <w:tcPr>
            <w:tcW w:type="dxa" w:w="5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South Asia . . .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1,663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28,465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1,655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26,415 </w:t>
            </w:r>
          </w:p>
        </w:tc>
      </w:tr>
      <w:tr>
        <w:trPr>
          <w:trHeight w:hRule="exact" w:val="240"/>
        </w:trPr>
        <w:tc>
          <w:tcPr>
            <w:tcW w:type="dxa" w:w="5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Eastern and Southern Africa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12,124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11,014 </w:t>
            </w:r>
          </w:p>
        </w:tc>
      </w:tr>
      <w:tr>
        <w:trPr>
          <w:trHeight w:hRule="exact" w:val="280"/>
        </w:trPr>
        <w:tc>
          <w:tcPr>
            <w:tcW w:type="dxa" w:w="5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Western and Central Africa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3,369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2,068 </w:t>
            </w:r>
          </w:p>
        </w:tc>
      </w:tr>
      <w:tr>
        <w:trPr>
          <w:trHeight w:hRule="exact" w:val="296"/>
        </w:trPr>
        <w:tc>
          <w:tcPr>
            <w:tcW w:type="dxa" w:w="5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</w:t>
            </w:r>
          </w:p>
        </w:tc>
        <w:tc>
          <w:tcPr>
            <w:tcW w:type="dxa" w:w="8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$14,431 </w:t>
            </w:r>
          </w:p>
        </w:tc>
        <w:tc>
          <w:tcPr>
            <w:tcW w:type="dxa" w:w="9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$283,090 </w:t>
            </w:r>
          </w:p>
        </w:tc>
        <w:tc>
          <w:tcPr>
            <w:tcW w:type="dxa" w:w="94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$14,712 </w:t>
            </w:r>
          </w:p>
        </w:tc>
        <w:tc>
          <w:tcPr>
            <w:tcW w:type="dxa" w:w="9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$263,190 </w:t>
            </w:r>
          </w:p>
        </w:tc>
      </w:tr>
      <w:tr>
        <w:trPr>
          <w:trHeight w:hRule="exact" w:val="160"/>
        </w:trPr>
        <w:tc>
          <w:tcPr>
            <w:tcW w:type="dxa" w:w="55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Excludes $1,022 million interest income from loan related derivatives for the fiscal year ended June 30,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2025 ($1,268 million— fiscal year ended June 30, 2024). Includes commitment charges of $152 million for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the fiscal year ended June 30, 2025 ($149 million—fiscal year ended June 30, 2024). </w:t>
      </w:r>
    </w:p>
    <w:p>
      <w:pPr>
        <w:autoSpaceDN w:val="0"/>
        <w:autoSpaceDE w:val="0"/>
        <w:widowControl/>
        <w:spacing w:line="240" w:lineRule="exact" w:before="24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fiscal year ended June 30, 2025, Interest revenue—Loans, net in the Statements of Income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$15,301 million ($15,831 million—June 30, 2024 and $10,522 million—June 30, 2023). This includes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$1,022 million of interest income, net related to loan related derivatives associated with the Loan portfolio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(interest income, net of $1,268 million June 30, 2024 and $367 million—June 30, 2023). </w:t>
      </w:r>
    </w:p>
    <w:p>
      <w:pPr>
        <w:autoSpaceDN w:val="0"/>
        <w:autoSpaceDE w:val="0"/>
        <w:widowControl/>
        <w:spacing w:line="200" w:lineRule="exact" w:before="3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E—BORROWINGS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issues unsubordinated and unsecured fixed and variable rate debt in a variety of currencies.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borrowings are reported at fair value. IBRD has issued hybrid capital at variable rates to shareholders, which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subordinated to all other debt, and is reported at amortized cost. Variable rates are primarily based on exchange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rates or market interest rates.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98% of the instruments were classified as Level 2 within the fair value hierarchy.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addition, most of these instruments were denominated in U.S. dollars and euro (62% and 16%, respectively, refer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Table E3).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derivatives, reported at fair value, to manage the currency risk and the interest rate risk between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and borrowings. For details regarding the derivatives used, see Note F—Derivative Instruments.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After the effect of these derivatives, the borrowing portfolio carried variable interest rates, with a weighted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average cost of 4.40% as of June 30, 2025 (5.54% as of June 30, 2024).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 summary of IBRD’s borrowings at fair value, is as follows (for details on principal due upon maturity, see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 J—Fair Value Disclosures): </w:t>
      </w:r>
    </w:p>
    <w:p>
      <w:pPr>
        <w:autoSpaceDN w:val="0"/>
        <w:autoSpaceDE w:val="0"/>
        <w:widowControl/>
        <w:spacing w:line="200" w:lineRule="exact" w:before="16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139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E1: Borrowings and borrowing-related derivatives, at fair value </w:t>
      </w:r>
    </w:p>
    <w:p>
      <w:pPr>
        <w:autoSpaceDN w:val="0"/>
        <w:autoSpaceDE w:val="0"/>
        <w:widowControl/>
        <w:spacing w:line="180" w:lineRule="exact" w:before="154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71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310"/>
        </w:trPr>
        <w:tc>
          <w:tcPr>
            <w:tcW w:type="dxa" w:w="711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$305,679 </w:t>
            </w:r>
          </w:p>
        </w:tc>
        <w:tc>
          <w:tcPr>
            <w:tcW w:type="dxa" w:w="9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$261,790 </w:t>
            </w:r>
          </w:p>
        </w:tc>
      </w:tr>
      <w:tr>
        <w:trPr>
          <w:trHeight w:hRule="exact" w:val="240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Currency swaps, net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1,788 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7,427 </w:t>
            </w:r>
          </w:p>
        </w:tc>
      </w:tr>
      <w:tr>
        <w:trPr>
          <w:trHeight w:hRule="exact" w:val="256"/>
        </w:trPr>
        <w:tc>
          <w:tcPr>
            <w:tcW w:type="dxa" w:w="71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swaps, net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12,277 </w:t>
            </w:r>
          </w:p>
        </w:tc>
        <w:tc>
          <w:tcPr>
            <w:tcW w:type="dxa" w:w="9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17,900 </w:t>
            </w:r>
          </w:p>
        </w:tc>
      </w:tr>
      <w:tr>
        <w:trPr>
          <w:trHeight w:hRule="exact" w:val="32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</w:t>
            </w:r>
          </w:p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$319,744 </w:t>
            </w:r>
          </w:p>
        </w:tc>
        <w:tc>
          <w:tcPr>
            <w:tcW w:type="dxa" w:w="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$287,117 </w:t>
            </w:r>
          </w:p>
        </w:tc>
      </w:tr>
      <w:tr>
        <w:trPr>
          <w:trHeight w:hRule="exact" w:val="16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8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borrowings reported at amortized cost were $482 million related to IBRD’s issuances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hybrid capital which represents the outstanding principal of these instruments. The majority of holders of hybrid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as of June 30, 2025, entered into separate agreements with IBRD that allow them to redeem the hybrid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to satisfy the payment condition for their paid-in portion of any future capital increase.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fiscal year ended June 30, 2025, Borrowing expenses, net in the Statements of Income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$14,920 million ($15,215 million—June 30, 2024 and $9,562 million—June 30, 2023). This includes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$6,470 million of interest expense, net related to derivatives associated with the borrowings (interest expense,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$7,781 million— June 30, 2024 and interest expense, net of $4,237 million—June 30, 2023).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provides a summary of the interest rate characteristics of IBRD’s borrowings: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E2: Interest rate composition of Borrowings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dollars, except as otherwise noted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74"/>
        </w:trPr>
        <w:tc>
          <w:tcPr>
            <w:tcW w:type="dxa" w:w="6394"/>
            <w:gridSpan w:val="3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WAC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 (%) </w:t>
            </w:r>
          </w:p>
        </w:tc>
        <w:tc>
          <w:tcPr>
            <w:tcW w:type="dxa" w:w="11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  <w:tc>
          <w:tcPr>
            <w:tcW w:type="dxa" w:w="8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WAC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 (%) </w:t>
            </w:r>
          </w:p>
        </w:tc>
      </w:tr>
      <w:tr>
        <w:trPr>
          <w:trHeight w:hRule="exact" w:val="310"/>
        </w:trPr>
        <w:tc>
          <w:tcPr>
            <w:tcW w:type="dxa" w:w="5224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. . . . . . . . . . . . . . . . . . . . . . . . . . . . . . . . . . . . . . . . . . . . . .</w:t>
            </w:r>
          </w:p>
        </w:tc>
        <w:tc>
          <w:tcPr>
            <w:tcW w:type="dxa" w:w="117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$288,323 </w:t>
            </w:r>
          </w:p>
        </w:tc>
        <w:tc>
          <w:tcPr>
            <w:tcW w:type="dxa" w:w="91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2.81 </w:t>
            </w:r>
          </w:p>
        </w:tc>
        <w:tc>
          <w:tcPr>
            <w:tcW w:type="dxa" w:w="11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$253,337 </w:t>
            </w:r>
          </w:p>
        </w:tc>
        <w:tc>
          <w:tcPr>
            <w:tcW w:type="dxa" w:w="8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2.42 </w:t>
            </w:r>
          </w:p>
        </w:tc>
      </w:tr>
      <w:tr>
        <w:trPr>
          <w:trHeight w:hRule="exact" w:val="256"/>
        </w:trPr>
        <w:tc>
          <w:tcPr>
            <w:tcW w:type="dxa" w:w="52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Variable . . . . . . . . . . . . . . . . . . . . . . . . . . . . . . . . . . . . . . . . . . . .</w:t>
            </w:r>
          </w:p>
        </w:tc>
        <w:tc>
          <w:tcPr>
            <w:tcW w:type="dxa" w:w="11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32,843 </w:t>
            </w:r>
          </w:p>
        </w:tc>
        <w:tc>
          <w:tcPr>
            <w:tcW w:type="dxa" w:w="9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6.61 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29,494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8.40 </w:t>
            </w:r>
          </w:p>
        </w:tc>
      </w:tr>
      <w:tr>
        <w:trPr>
          <w:trHeight w:hRule="exact" w:val="304"/>
        </w:trPr>
        <w:tc>
          <w:tcPr>
            <w:tcW w:type="dxa" w:w="52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Borrowings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</w:t>
            </w:r>
          </w:p>
        </w:tc>
        <w:tc>
          <w:tcPr>
            <w:tcW w:type="dxa" w:w="11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$321,166 </w:t>
            </w:r>
          </w:p>
        </w:tc>
        <w:tc>
          <w:tcPr>
            <w:tcW w:type="dxa" w:w="91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3.20% </w:t>
            </w:r>
          </w:p>
        </w:tc>
        <w:tc>
          <w:tcPr>
            <w:tcW w:type="dxa" w:w="11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$282,831 </w:t>
            </w:r>
          </w:p>
        </w:tc>
        <w:tc>
          <w:tcPr>
            <w:tcW w:type="dxa" w:w="80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3.04% </w:t>
            </w:r>
          </w:p>
        </w:tc>
      </w:tr>
      <w:tr>
        <w:trPr>
          <w:trHeight w:hRule="exact" w:val="256"/>
        </w:trPr>
        <w:tc>
          <w:tcPr>
            <w:tcW w:type="dxa" w:w="52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Fair Value Adjustment . . . . . . . . . . . . . . . . . . . . . . . . . . . . . . . .</w:t>
            </w:r>
          </w:p>
        </w:tc>
        <w:tc>
          <w:tcPr>
            <w:tcW w:type="dxa" w:w="11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(15,005) </w:t>
            </w:r>
          </w:p>
        </w:tc>
        <w:tc>
          <w:tcPr>
            <w:tcW w:type="dxa" w:w="156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(21,041) </w:t>
            </w:r>
          </w:p>
        </w:tc>
        <w:tc>
          <w:tcPr>
            <w:tcW w:type="dxa" w:w="156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320"/>
        </w:trPr>
        <w:tc>
          <w:tcPr>
            <w:tcW w:type="dxa" w:w="522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Borrowings . . . . . . . . . . . . . . . . . . . . . . . . . . . . . . . . . . . .</w:t>
            </w:r>
          </w:p>
        </w:tc>
        <w:tc>
          <w:tcPr>
            <w:tcW w:type="dxa" w:w="11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$306,161 </w:t>
            </w:r>
          </w:p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$261,790 </w:t>
            </w:r>
          </w:p>
        </w:tc>
        <w:tc>
          <w:tcPr>
            <w:tcW w:type="dxa" w:w="8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4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609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WAC refers to weighted average borrowings cost as of the reporting date. </w:t>
            </w:r>
          </w:p>
        </w:tc>
        <w:tc>
          <w:tcPr>
            <w:tcW w:type="dxa" w:w="91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6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At amortized cost. </w:t>
            </w:r>
          </w:p>
        </w:tc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21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currency composition of IBRD’s borrowings before derivatives was as follows: </w:t>
      </w:r>
    </w:p>
    <w:p>
      <w:pPr>
        <w:autoSpaceDN w:val="0"/>
        <w:autoSpaceDE w:val="0"/>
        <w:widowControl/>
        <w:spacing w:line="200" w:lineRule="exact" w:before="398" w:after="24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E3: Currency composition of Borrowings (before derivatives)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71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310"/>
        </w:trPr>
        <w:tc>
          <w:tcPr>
            <w:tcW w:type="dxa" w:w="711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U.S. Dollar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62.1% </w:t>
            </w:r>
          </w:p>
        </w:tc>
        <w:tc>
          <w:tcPr>
            <w:tcW w:type="dxa" w:w="9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62.6% </w:t>
            </w:r>
          </w:p>
        </w:tc>
      </w:tr>
      <w:tr>
        <w:trPr>
          <w:trHeight w:hRule="exact" w:val="240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Euro . . . . . .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16.3 </w:t>
            </w:r>
          </w:p>
        </w:tc>
        <w:tc>
          <w:tcPr>
            <w:tcW w:type="dxa" w:w="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15.1 </w:t>
            </w:r>
          </w:p>
        </w:tc>
      </w:tr>
      <w:tr>
        <w:trPr>
          <w:trHeight w:hRule="exact" w:val="256"/>
        </w:trPr>
        <w:tc>
          <w:tcPr>
            <w:tcW w:type="dxa" w:w="71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Others . . . .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21.6 </w:t>
            </w:r>
          </w:p>
        </w:tc>
        <w:tc>
          <w:tcPr>
            <w:tcW w:type="dxa" w:w="9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22.3 </w:t>
            </w:r>
          </w:p>
        </w:tc>
      </w:tr>
      <w:tr>
        <w:trPr>
          <w:trHeight w:hRule="exact" w:val="32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100.0% </w:t>
            </w:r>
          </w:p>
        </w:tc>
        <w:tc>
          <w:tcPr>
            <w:tcW w:type="dxa" w:w="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100.0% </w:t>
            </w:r>
          </w:p>
        </w:tc>
      </w:tr>
      <w:tr>
        <w:trPr>
          <w:trHeight w:hRule="exact" w:val="16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4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140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maturity structure of IBRD’s borrowings outstanding was as follows: </w:t>
      </w:r>
    </w:p>
    <w:p>
      <w:pPr>
        <w:autoSpaceDN w:val="0"/>
        <w:autoSpaceDE w:val="0"/>
        <w:widowControl/>
        <w:spacing w:line="200" w:lineRule="exact" w:before="3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E4: Maturity structure of Borrowings </w:t>
      </w:r>
    </w:p>
    <w:p>
      <w:pPr>
        <w:autoSpaceDN w:val="0"/>
        <w:autoSpaceDE w:val="0"/>
        <w:widowControl/>
        <w:spacing w:line="180" w:lineRule="exact" w:before="140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71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318"/>
        </w:trPr>
        <w:tc>
          <w:tcPr>
            <w:tcW w:type="dxa" w:w="711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Less than 1 year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47,162 </w:t>
            </w:r>
          </w:p>
        </w:tc>
        <w:tc>
          <w:tcPr>
            <w:tcW w:type="dxa" w:w="9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41,955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Between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26"/>
        </w:trPr>
        <w:tc>
          <w:tcPr>
            <w:tcW w:type="dxa" w:w="7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1-2 years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37,482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32,883 </w:t>
            </w:r>
          </w:p>
        </w:tc>
      </w:tr>
      <w:tr>
        <w:trPr>
          <w:trHeight w:hRule="exact" w:val="240"/>
        </w:trPr>
        <w:tc>
          <w:tcPr>
            <w:tcW w:type="dxa" w:w="7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2-3 years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36,816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31,082 </w:t>
            </w:r>
          </w:p>
        </w:tc>
      </w:tr>
      <w:tr>
        <w:trPr>
          <w:trHeight w:hRule="exact" w:val="240"/>
        </w:trPr>
        <w:tc>
          <w:tcPr>
            <w:tcW w:type="dxa" w:w="7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3-4 years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32,710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29,994 </w:t>
            </w:r>
          </w:p>
        </w:tc>
      </w:tr>
      <w:tr>
        <w:trPr>
          <w:trHeight w:hRule="exact" w:val="240"/>
        </w:trPr>
        <w:tc>
          <w:tcPr>
            <w:tcW w:type="dxa" w:w="71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4-5 years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39,117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32,042 </w:t>
            </w:r>
          </w:p>
        </w:tc>
      </w:tr>
      <w:tr>
        <w:trPr>
          <w:trHeight w:hRule="exact" w:val="262"/>
        </w:trPr>
        <w:tc>
          <w:tcPr>
            <w:tcW w:type="dxa" w:w="71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Thereafter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112,874 </w:t>
            </w:r>
          </w:p>
        </w:tc>
        <w:tc>
          <w:tcPr>
            <w:tcW w:type="dxa" w:w="8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93,834 </w:t>
            </w:r>
          </w:p>
        </w:tc>
      </w:tr>
      <w:tr>
        <w:trPr>
          <w:trHeight w:hRule="exact" w:val="830"/>
        </w:trPr>
        <w:tc>
          <w:tcPr>
            <w:tcW w:type="dxa" w:w="2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 </w:t>
            </w:r>
          </w:p>
        </w:tc>
        <w:tc>
          <w:tcPr>
            <w:tcW w:type="dxa" w:w="69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6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hybrid capital. </w:t>
            </w:r>
          </w:p>
        </w:tc>
        <w:tc>
          <w:tcPr>
            <w:tcW w:type="dxa" w:w="11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$306,161 </w:t>
            </w:r>
          </w:p>
        </w:tc>
        <w:tc>
          <w:tcPr>
            <w:tcW w:type="dxa" w:w="8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$261,790 </w:t>
            </w:r>
          </w:p>
        </w:tc>
      </w:tr>
    </w:tbl>
    <w:p>
      <w:pPr>
        <w:autoSpaceDN w:val="0"/>
        <w:autoSpaceDE w:val="0"/>
        <w:widowControl/>
        <w:spacing w:line="24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borrowings at fair value have original maturities ranging from 20 days to 50 years, with the final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maturity in 2073. Hybrid capital is a perpetual financial instrument, accounted for at amortized cost. </w:t>
      </w:r>
    </w:p>
    <w:p>
      <w:pPr>
        <w:autoSpaceDN w:val="0"/>
        <w:autoSpaceDE w:val="0"/>
        <w:widowControl/>
        <w:spacing w:line="200" w:lineRule="exact" w:before="3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F—DERIVATIVE INSTRUMENTS </w:t>
      </w:r>
    </w:p>
    <w:p>
      <w:pPr>
        <w:autoSpaceDN w:val="0"/>
        <w:autoSpaceDE w:val="0"/>
        <w:widowControl/>
        <w:spacing w:line="240" w:lineRule="exact" w:before="10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uses derivative instruments in its investment, loan and borrowing portfolios, and for asset/liability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purposes. It also offers derivative intermediation services to clients and, concurrently, enters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offsetting transactions with market counterparties. </w:t>
      </w:r>
    </w:p>
    <w:p>
      <w:pPr>
        <w:autoSpaceDN w:val="0"/>
        <w:autoSpaceDE w:val="0"/>
        <w:widowControl/>
        <w:spacing w:line="200" w:lineRule="exact" w:before="254" w:after="16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summarizes IBRD’s use of derivatives in its various financial portfolios: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231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 xml:space="preserve">Portfolio </w:t>
            </w:r>
          </w:p>
        </w:tc>
        <w:tc>
          <w:tcPr>
            <w:tcW w:type="dxa" w:w="346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7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Derivative instruments used</w:t>
            </w:r>
          </w:p>
        </w:tc>
        <w:tc>
          <w:tcPr>
            <w:tcW w:type="dxa" w:w="33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7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Purpose / Risk being managed</w:t>
            </w:r>
          </w:p>
        </w:tc>
      </w:tr>
    </w:tbl>
    <w:p>
      <w:pPr>
        <w:autoSpaceDN w:val="0"/>
        <w:autoSpaceDE w:val="0"/>
        <w:widowControl/>
        <w:spacing w:line="190" w:lineRule="exact" w:before="8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9"/>
        </w:rPr>
        <w:t xml:space="preserve">Risk management purposes: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20"/>
        <w:gridCol w:w="3120"/>
        <w:gridCol w:w="3120"/>
      </w:tblGrid>
      <w:tr>
        <w:trPr>
          <w:trHeight w:hRule="exact" w:val="214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4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Investments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Currency swaps, currency forward 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Manage currency and interest rate risk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7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contracts, interest rate swaps, options, 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3120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7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swaptions and futures contracts, 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20" w:after="14"/>
        <w:ind w:left="0" w:right="3888" w:firstLine="0"/>
        <w:jc w:val="right"/>
      </w:pPr>
      <w:r>
        <w:rPr>
          <w:rFonts w:ascii="Times" w:hAnsi="Times" w:eastAsia="Times"/>
          <w:b w:val="0"/>
          <w:i w:val="0"/>
          <w:color w:val="231F20"/>
          <w:sz w:val="19"/>
        </w:rPr>
        <w:t xml:space="preserve">to-be-announced (TBA)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90"/>
        </w:trPr>
        <w:tc>
          <w:tcPr>
            <w:tcW w:type="dxa" w:w="240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Loans </w:t>
            </w:r>
          </w:p>
        </w:tc>
        <w:tc>
          <w:tcPr>
            <w:tcW w:type="dxa" w:w="332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Currency swaps and interest rate swaps </w:t>
            </w:r>
          </w:p>
        </w:tc>
        <w:tc>
          <w:tcPr>
            <w:tcW w:type="dxa" w:w="34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Manage currency risk and interest rate </w:t>
            </w:r>
          </w:p>
        </w:tc>
      </w:tr>
      <w:tr>
        <w:trPr>
          <w:trHeight w:hRule="exact" w:val="250"/>
        </w:trPr>
        <w:tc>
          <w:tcPr>
            <w:tcW w:type="dxa" w:w="312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12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4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risk between loans and borrowings </w:t>
            </w:r>
          </w:p>
        </w:tc>
      </w:tr>
      <w:tr>
        <w:trPr>
          <w:trHeight w:hRule="exact" w:val="290"/>
        </w:trPr>
        <w:tc>
          <w:tcPr>
            <w:tcW w:type="dxa" w:w="240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Borrowings </w:t>
            </w:r>
          </w:p>
        </w:tc>
        <w:tc>
          <w:tcPr>
            <w:tcW w:type="dxa" w:w="332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Currency swaps and interest rate swaps </w:t>
            </w:r>
          </w:p>
        </w:tc>
        <w:tc>
          <w:tcPr>
            <w:tcW w:type="dxa" w:w="34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Manage currency risk and interest rate </w:t>
            </w:r>
          </w:p>
        </w:tc>
      </w:tr>
      <w:tr>
        <w:trPr>
          <w:trHeight w:hRule="exact" w:val="250"/>
        </w:trPr>
        <w:tc>
          <w:tcPr>
            <w:tcW w:type="dxa" w:w="312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12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4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risk between loans and borrowings </w:t>
            </w:r>
          </w:p>
        </w:tc>
      </w:tr>
      <w:tr>
        <w:trPr>
          <w:trHeight w:hRule="exact" w:val="290"/>
        </w:trPr>
        <w:tc>
          <w:tcPr>
            <w:tcW w:type="dxa" w:w="24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Other asset/liability </w:t>
            </w:r>
          </w:p>
        </w:tc>
        <w:tc>
          <w:tcPr>
            <w:tcW w:type="dxa" w:w="3320"/>
            <w:vMerge w:val="restart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Currency swaps and interest rate swaps </w:t>
            </w:r>
          </w:p>
        </w:tc>
        <w:tc>
          <w:tcPr>
            <w:tcW w:type="dxa" w:w="34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Manage currency risk and the duration of </w:t>
            </w:r>
          </w:p>
        </w:tc>
      </w:tr>
      <w:tr>
        <w:trPr>
          <w:trHeight w:hRule="exact" w:val="250"/>
        </w:trPr>
        <w:tc>
          <w:tcPr>
            <w:tcW w:type="dxa" w:w="24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management derivatives </w:t>
            </w:r>
          </w:p>
        </w:tc>
        <w:tc>
          <w:tcPr>
            <w:tcW w:type="dxa" w:w="3120"/>
            <w:vMerge/>
            <w:tcBorders>
              <w:top w:sz="8.0" w:val="single" w:color="#221F1F"/>
              <w:bottom w:sz="8.0" w:val="single" w:color="#221F1F"/>
            </w:tcBorders>
          </w:tcPr>
          <w:p/>
        </w:tc>
        <w:tc>
          <w:tcPr>
            <w:tcW w:type="dxa" w:w="340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3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IBRD’s equity </w:t>
            </w:r>
          </w:p>
        </w:tc>
      </w:tr>
    </w:tbl>
    <w:p>
      <w:pPr>
        <w:autoSpaceDN w:val="0"/>
        <w:autoSpaceDE w:val="0"/>
        <w:widowControl/>
        <w:spacing w:line="190" w:lineRule="exact" w:before="20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9"/>
        </w:rPr>
        <w:t xml:space="preserve">Other purposes: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24"/>
        </w:trPr>
        <w:tc>
          <w:tcPr>
            <w:tcW w:type="dxa" w:w="212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Client operations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Currency swaps, currency forward </w:t>
            </w:r>
          </w:p>
        </w:tc>
        <w:tc>
          <w:tcPr>
            <w:tcW w:type="dxa" w:w="356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3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Assist clients in managing risks </w:t>
            </w:r>
          </w:p>
        </w:tc>
      </w:tr>
      <w:tr>
        <w:trPr>
          <w:trHeight w:hRule="exact" w:val="240"/>
        </w:trPr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  <w:tc>
          <w:tcPr>
            <w:tcW w:type="dxa" w:w="34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5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9"/>
              </w:rPr>
              <w:t xml:space="preserve">contracts, and interest rate swaps </w:t>
            </w:r>
          </w:p>
        </w:tc>
        <w:tc>
          <w:tcPr>
            <w:tcW w:type="dxa" w:w="3120"/>
            <w:vMerge/>
            <w:tcBorders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31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client operations, derivative intermediation services are provided to the following: </w:t>
      </w:r>
    </w:p>
    <w:p>
      <w:pPr>
        <w:autoSpaceDN w:val="0"/>
        <w:autoSpaceDE w:val="0"/>
        <w:widowControl/>
        <w:spacing w:line="240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Borrowing Countries: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 and interest rate swap transactions are executed between IBRD and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borrowers under master derivatives agreements. </w:t>
      </w:r>
    </w:p>
    <w:p>
      <w:pPr>
        <w:autoSpaceDN w:val="0"/>
        <w:autoSpaceDE w:val="0"/>
        <w:widowControl/>
        <w:spacing w:line="240" w:lineRule="exact" w:before="214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Non-Affiliated Organizations: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a master derivatives agreement with the International Finance Facility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Immunisation (IFFIm), under which several transactions have been executed. </w:t>
      </w:r>
    </w:p>
    <w:p>
      <w:pPr>
        <w:autoSpaceDN w:val="0"/>
        <w:autoSpaceDE w:val="0"/>
        <w:widowControl/>
        <w:spacing w:line="200" w:lineRule="exact" w:before="2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141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>Affiliated Organizations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Derivative contracts are executed between IBRD and IDA, under an agreement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allowing IBRD to intermediate derivative contracts on behalf of IDA.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derivatives in the related tables of Note F are presented on a net basis by instrument. A reconciliation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presentation in the Balance Sheets is shown in Table F1.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Offsetting assets and liabilities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enters into International Swaps and Derivatives Association, Inc. (ISDA) master netting agreements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substantially all of its derivative counterparties. These legally enforceable master netting agreements give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right to liquidate securities held as collateral and to offset receivables and payables with the same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in the event of default by the counterparty. </w:t>
      </w:r>
    </w:p>
    <w:p>
      <w:pPr>
        <w:autoSpaceDN w:val="0"/>
        <w:autoSpaceDE w:val="0"/>
        <w:widowControl/>
        <w:spacing w:line="240" w:lineRule="exact" w:before="12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summarize the gross and net derivative positions by instrument type. Instruments that are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net asset position are included in the Derivative Assets columns and instruments that are in a net liability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 are included in the Derivative Liabilities columns. The effects of the ISDA master netting agreements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applied on an aggregate basis to the total derivative asset and liability positions and are presented net of any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cash collateral received on the Balance Sheets. The net derivative asset positions in the tables below have been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further reduced by any securities received as collateral to show IBRD’s net exposure on its derivative asset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F1: Derivative assets and liabilities before and after netting adjustments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74"/>
        </w:trPr>
        <w:tc>
          <w:tcPr>
            <w:tcW w:type="dxa" w:w="7546"/>
            <w:gridSpan w:val="3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3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1582"/>
            <w:gridSpan w:val="3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206"/>
        </w:trPr>
        <w:tc>
          <w:tcPr>
            <w:tcW w:type="dxa" w:w="6664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 </w:t>
            </w:r>
          </w:p>
        </w:tc>
        <w:tc>
          <w:tcPr>
            <w:tcW w:type="dxa" w:w="88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 </w:t>
            </w:r>
          </w:p>
        </w:tc>
        <w:tc>
          <w:tcPr>
            <w:tcW w:type="dxa" w:w="778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 </w:t>
            </w:r>
          </w:p>
        </w:tc>
        <w:tc>
          <w:tcPr>
            <w:tcW w:type="dxa" w:w="80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 </w:t>
            </w:r>
          </w:p>
        </w:tc>
      </w:tr>
      <w:tr>
        <w:trPr>
          <w:trHeight w:hRule="exact" w:val="194"/>
        </w:trPr>
        <w:tc>
          <w:tcPr>
            <w:tcW w:type="dxa" w:w="659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Assets </w:t>
            </w:r>
          </w:p>
        </w:tc>
        <w:tc>
          <w:tcPr>
            <w:tcW w:type="dxa" w:w="954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Liabilities </w:t>
            </w:r>
          </w:p>
        </w:tc>
        <w:tc>
          <w:tcPr>
            <w:tcW w:type="dxa" w:w="69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Assets 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Liabilities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2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Interest rate swaps . . . . . . . . . . . . . . . . . . . . . . . . . . . . . . . . . . . . . . . . . . .</w:t>
      </w:r>
      <w:r>
        <w:rPr>
          <w:rFonts w:ascii="Times" w:hAnsi="Times" w:eastAsia="Times"/>
          <w:b w:val="0"/>
          <w:i w:val="0"/>
          <w:color w:val="231F20"/>
          <w:sz w:val="20"/>
        </w:rPr>
        <w:t>$</w:t>
      </w:r>
      <w:r>
        <w:rPr>
          <w:rFonts w:ascii="Times" w:hAnsi="Times" w:eastAsia="Times"/>
          <w:b w:val="0"/>
          <w:i w:val="0"/>
          <w:color w:val="231F20"/>
          <w:sz w:val="20"/>
        </w:rPr>
        <w:t>7,559 $17,523 $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7,977 $24,759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swaps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5,115 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7,192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4,057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9,907 </w:t>
            </w:r>
          </w:p>
        </w:tc>
      </w:tr>
      <w:tr>
        <w:trPr>
          <w:trHeight w:hRule="exact" w:val="272"/>
        </w:trPr>
        <w:tc>
          <w:tcPr>
            <w:tcW w:type="dxa" w:w="5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02" w:lineRule="exact" w:before="7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Gross Total </w:t>
      </w:r>
      <w:r>
        <w:rPr>
          <w:rFonts w:ascii="Times" w:hAnsi="Times" w:eastAsia="Times"/>
          <w:b w:val="0"/>
          <w:i w:val="0"/>
          <w:color w:val="231F20"/>
          <w:sz w:val="20"/>
        </w:rPr>
        <w:t>. . . . . . . . . . . . . . . . . . . . . . . . . . . . . . . . . . . . . . . . . . . . . . 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$12,676 $24,715 $12,035 $34,666 </w:t>
      </w:r>
    </w:p>
    <w:p>
      <w:pPr>
        <w:autoSpaceDN w:val="0"/>
        <w:autoSpaceDE w:val="0"/>
        <w:widowControl/>
        <w:spacing w:line="200" w:lineRule="exact" w:before="1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Amounts subject to legally enforceable master netting agreements . . . . .</w:t>
            </w:r>
          </w:p>
        </w:tc>
        <w:tc>
          <w:tcPr>
            <w:tcW w:type="dxa" w:w="3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11,978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 xml:space="preserve">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12,261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11,558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11,938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e</w:t>
            </w:r>
          </w:p>
        </w:tc>
      </w:tr>
      <w:tr>
        <w:trPr>
          <w:trHeight w:hRule="exact" w:val="268"/>
        </w:trPr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Cash collateral received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</w:t>
            </w:r>
          </w:p>
        </w:tc>
        <w:tc>
          <w:tcPr>
            <w:tcW w:type="dxa" w:w="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 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40"/>
        </w:trPr>
        <w:tc>
          <w:tcPr>
            <w:tcW w:type="dxa" w:w="6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derivative position on the Balance Sheet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666 $12,454 $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456 $22,728 </w:t>
            </w:r>
          </w:p>
        </w:tc>
      </w:tr>
    </w:tbl>
    <w:p>
      <w:pPr>
        <w:autoSpaceDN w:val="0"/>
        <w:autoSpaceDE w:val="0"/>
        <w:widowControl/>
        <w:spacing w:line="200" w:lineRule="exact" w:before="10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8"/>
        </w:trPr>
        <w:tc>
          <w:tcPr>
            <w:tcW w:type="dxa" w:w="61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Securities collateral received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</w:t>
            </w:r>
          </w:p>
        </w:tc>
        <w:tc>
          <w:tcPr>
            <w:tcW w:type="dxa" w:w="16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442 </w:t>
            </w:r>
          </w:p>
        </w:tc>
        <w:tc>
          <w:tcPr>
            <w:tcW w:type="dxa" w:w="13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298 </w:t>
            </w:r>
          </w:p>
        </w:tc>
      </w:tr>
      <w:tr>
        <w:trPr>
          <w:trHeight w:hRule="exact" w:val="320"/>
        </w:trPr>
        <w:tc>
          <w:tcPr>
            <w:tcW w:type="dxa" w:w="61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derivative exposure after collateral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224 </w:t>
            </w:r>
          </w:p>
        </w:tc>
        <w:tc>
          <w:tcPr>
            <w:tcW w:type="dxa" w:w="7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$</w:t>
            </w:r>
          </w:p>
        </w:tc>
        <w:tc>
          <w:tcPr>
            <w:tcW w:type="dxa" w:w="13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158 </w:t>
            </w:r>
          </w:p>
        </w:tc>
      </w:tr>
      <w:tr>
        <w:trPr>
          <w:trHeight w:hRule="exact" w:val="464"/>
        </w:trPr>
        <w:tc>
          <w:tcPr>
            <w:tcW w:type="dxa" w:w="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760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forward contracts. </w:t>
            </w:r>
          </w:p>
        </w:tc>
        <w:tc>
          <w:tcPr>
            <w:tcW w:type="dxa" w:w="134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7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Relate to swaptions, options and futures contracts. 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c. </w:t>
            </w:r>
          </w:p>
        </w:tc>
        <w:tc>
          <w:tcPr>
            <w:tcW w:type="dxa" w:w="7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Does not include excess collateral received. 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d. </w:t>
            </w:r>
          </w:p>
        </w:tc>
        <w:tc>
          <w:tcPr>
            <w:tcW w:type="dxa" w:w="7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$36 million Credit Valuation Adjustment (CVA) ($29 million—June 30, 2024). 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86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e. </w:t>
            </w:r>
          </w:p>
        </w:tc>
        <w:tc>
          <w:tcPr>
            <w:tcW w:type="dxa" w:w="7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$319 million Debit Valuation Adjustment (DVA) ($409 million—June 30, 2024). 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8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provide information about the credit risk exposures at fair value of IBRD’s 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 by portfolio, before the effects of master netting arrangements and collateral: </w:t>
      </w:r>
    </w:p>
    <w:p>
      <w:pPr>
        <w:autoSpaceDN w:val="0"/>
        <w:autoSpaceDE w:val="0"/>
        <w:widowControl/>
        <w:spacing w:line="200" w:lineRule="exact" w:before="3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F2: Credit risk exposure of the derivative instruments </w:t>
      </w:r>
      <w:r>
        <w:rPr>
          <w:rFonts w:ascii="Times" w:hAnsi="Times" w:eastAsia="Times"/>
          <w:b/>
          <w:i w:val="0"/>
          <w:color w:val="231F20"/>
          <w:sz w:val="13"/>
        </w:rPr>
        <w:t>a</w:t>
      </w:r>
    </w:p>
    <w:p>
      <w:pPr>
        <w:autoSpaceDN w:val="0"/>
        <w:autoSpaceDE w:val="0"/>
        <w:widowControl/>
        <w:spacing w:line="18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6"/>
        <w:ind w:left="0" w:right="162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3"/>
        </w:trPr>
        <w:tc>
          <w:tcPr>
            <w:tcW w:type="dxa" w:w="512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Portfolio </w:t>
            </w:r>
          </w:p>
        </w:tc>
        <w:tc>
          <w:tcPr>
            <w:tcW w:type="dxa" w:w="1416"/>
            <w:gridSpan w:val="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Interest rate swaps </w:t>
            </w:r>
          </w:p>
        </w:tc>
        <w:tc>
          <w:tcPr>
            <w:tcW w:type="dxa" w:w="1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Currency swaps (including </w:t>
            </w:r>
          </w:p>
        </w:tc>
        <w:tc>
          <w:tcPr>
            <w:tcW w:type="dxa" w:w="740"/>
            <w:gridSpan w:val="2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194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3120"/>
            <w:gridSpan w:val="2"/>
            <w:vMerge/>
            <w:tcBorders>
              <w:bottom w:sz="8.0" w:val="single" w:color="#221F1F"/>
            </w:tcBorders>
          </w:tcPr>
          <w:p/>
        </w:tc>
        <w:tc>
          <w:tcPr>
            <w:tcW w:type="dxa" w:w="193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forward contracts) </w:t>
            </w:r>
          </w:p>
        </w:tc>
        <w:tc>
          <w:tcPr>
            <w:tcW w:type="dxa" w:w="3120"/>
            <w:gridSpan w:val="2"/>
            <w:vMerge/>
            <w:tcBorders>
              <w:bottom w:sz="8.0" w:val="single" w:color="#221F1F"/>
            </w:tcBorders>
          </w:tcPr>
          <w:p/>
        </w:tc>
      </w:tr>
      <w:tr>
        <w:trPr>
          <w:trHeight w:hRule="exact" w:val="304"/>
        </w:trPr>
        <w:tc>
          <w:tcPr>
            <w:tcW w:type="dxa" w:w="51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Investments . . . . . . . . . . . . . . . . . . . . . . . . . . . . . . . . . . . . . . .</w:t>
            </w:r>
          </w:p>
        </w:tc>
        <w:tc>
          <w:tcPr>
            <w:tcW w:type="dxa" w:w="56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5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88 </w:t>
            </w:r>
          </w:p>
        </w:tc>
        <w:tc>
          <w:tcPr>
            <w:tcW w:type="dxa" w:w="193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7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173 </w:t>
            </w:r>
          </w:p>
        </w:tc>
        <w:tc>
          <w:tcPr>
            <w:tcW w:type="dxa" w:w="2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261 </w:t>
            </w:r>
          </w:p>
        </w:tc>
      </w:tr>
      <w:tr>
        <w:trPr>
          <w:trHeight w:hRule="exact" w:val="240"/>
        </w:trPr>
        <w:tc>
          <w:tcPr>
            <w:tcW w:type="dxa" w:w="5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. . . . . . . . . . . . . . . . . . . . . . . . . . . . . . . . . . . . . . . . . . . .</w:t>
            </w:r>
          </w:p>
        </w:tc>
        <w:tc>
          <w:tcPr>
            <w:tcW w:type="dxa" w:w="1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4,986 </w:t>
            </w:r>
          </w:p>
        </w:tc>
        <w:tc>
          <w:tcPr>
            <w:tcW w:type="dxa" w:w="1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1,054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6,040 </w:t>
            </w:r>
          </w:p>
        </w:tc>
      </w:tr>
      <w:tr>
        <w:trPr>
          <w:trHeight w:hRule="exact" w:val="240"/>
        </w:trPr>
        <w:tc>
          <w:tcPr>
            <w:tcW w:type="dxa" w:w="5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Client operations . . . . . . . . . . . . . . . . . . . . . . . . . . . . . . . . . . .</w:t>
            </w:r>
          </w:p>
        </w:tc>
        <w:tc>
          <w:tcPr>
            <w:tcW w:type="dxa" w:w="1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107 </w:t>
            </w:r>
          </w:p>
        </w:tc>
        <w:tc>
          <w:tcPr>
            <w:tcW w:type="dxa" w:w="1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352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459 </w:t>
            </w:r>
          </w:p>
        </w:tc>
      </w:tr>
      <w:tr>
        <w:trPr>
          <w:trHeight w:hRule="exact" w:val="240"/>
        </w:trPr>
        <w:tc>
          <w:tcPr>
            <w:tcW w:type="dxa" w:w="5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 . . . . . . . . . . . . . . . . . . . . . . . . . . . . . . . . . . . . . . .</w:t>
            </w:r>
          </w:p>
        </w:tc>
        <w:tc>
          <w:tcPr>
            <w:tcW w:type="dxa" w:w="1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1,985 </w:t>
            </w:r>
          </w:p>
        </w:tc>
        <w:tc>
          <w:tcPr>
            <w:tcW w:type="dxa" w:w="1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3,536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5,521 </w:t>
            </w:r>
          </w:p>
        </w:tc>
      </w:tr>
      <w:tr>
        <w:trPr>
          <w:trHeight w:hRule="exact" w:val="262"/>
        </w:trPr>
        <w:tc>
          <w:tcPr>
            <w:tcW w:type="dxa" w:w="51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asset/liability management derivatives . . . . . . . . . . . . .</w:t>
            </w:r>
          </w:p>
        </w:tc>
        <w:tc>
          <w:tcPr>
            <w:tcW w:type="dxa" w:w="141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4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393 </w:t>
            </w:r>
          </w:p>
        </w:tc>
        <w:tc>
          <w:tcPr>
            <w:tcW w:type="dxa" w:w="19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393 </w:t>
            </w:r>
          </w:p>
        </w:tc>
      </w:tr>
      <w:tr>
        <w:trPr>
          <w:trHeight w:hRule="exact" w:val="320"/>
        </w:trPr>
        <w:tc>
          <w:tcPr>
            <w:tcW w:type="dxa" w:w="51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Exposure . . . . . . . . . . . . . . . . . . . . . . . . . . . . . . . .</w:t>
            </w:r>
          </w:p>
        </w:tc>
        <w:tc>
          <w:tcPr>
            <w:tcW w:type="dxa" w:w="1416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3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$7,559 </w:t>
            </w:r>
          </w:p>
        </w:tc>
        <w:tc>
          <w:tcPr>
            <w:tcW w:type="dxa" w:w="19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7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$5,115 </w:t>
            </w:r>
          </w:p>
        </w:tc>
        <w:tc>
          <w:tcPr>
            <w:tcW w:type="dxa" w:w="740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$12,674 </w:t>
            </w:r>
          </w:p>
        </w:tc>
      </w:tr>
      <w:tr>
        <w:trPr>
          <w:trHeight w:hRule="exact" w:val="160"/>
        </w:trPr>
        <w:tc>
          <w:tcPr>
            <w:tcW w:type="dxa" w:w="51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9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3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F2.1 </w:t>
      </w:r>
    </w:p>
    <w:p>
      <w:pPr>
        <w:autoSpaceDN w:val="0"/>
        <w:autoSpaceDE w:val="0"/>
        <w:widowControl/>
        <w:spacing w:line="180" w:lineRule="exact" w:before="15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4" w:after="40"/>
        <w:ind w:left="0" w:right="162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00"/>
        </w:trPr>
        <w:tc>
          <w:tcPr>
            <w:tcW w:type="dxa" w:w="92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88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Currency swaps (including </w:t>
            </w:r>
          </w:p>
        </w:tc>
      </w:tr>
      <w:tr>
        <w:trPr>
          <w:trHeight w:hRule="exact" w:val="194"/>
        </w:trPr>
        <w:tc>
          <w:tcPr>
            <w:tcW w:type="dxa" w:w="503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Portfolio </w:t>
            </w:r>
          </w:p>
        </w:tc>
        <w:tc>
          <w:tcPr>
            <w:tcW w:type="dxa" w:w="15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Interest rate swaps </w:t>
            </w:r>
          </w:p>
        </w:tc>
        <w:tc>
          <w:tcPr>
            <w:tcW w:type="dxa" w:w="16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forward contracts) </w:t>
            </w:r>
          </w:p>
        </w:tc>
        <w:tc>
          <w:tcPr>
            <w:tcW w:type="dxa" w:w="96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6"/>
        </w:trPr>
        <w:tc>
          <w:tcPr>
            <w:tcW w:type="dxa" w:w="503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Investments . . . . . . . . . . . . . . . . . . . . . . . . . . . . . . . . . . . . . . .</w:t>
            </w:r>
          </w:p>
        </w:tc>
        <w:tc>
          <w:tcPr>
            <w:tcW w:type="dxa" w:w="72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4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16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812 </w:t>
            </w:r>
          </w:p>
        </w:tc>
        <w:tc>
          <w:tcPr>
            <w:tcW w:type="dxa" w:w="45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0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826 </w:t>
            </w:r>
          </w:p>
        </w:tc>
      </w:tr>
      <w:tr>
        <w:trPr>
          <w:trHeight w:hRule="exact" w:val="240"/>
        </w:trPr>
        <w:tc>
          <w:tcPr>
            <w:tcW w:type="dxa" w:w="5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 . . . . . . . . . . . . . . . . . . . . . . . . . . . . . . . . . . . . . . . . . . . .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5,893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1,314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7,207 </w:t>
            </w:r>
          </w:p>
        </w:tc>
      </w:tr>
      <w:tr>
        <w:trPr>
          <w:trHeight w:hRule="exact" w:val="240"/>
        </w:trPr>
        <w:tc>
          <w:tcPr>
            <w:tcW w:type="dxa" w:w="5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Client operations . . . . . . . . . . . . . . . . . . . . . . . . . . . . . . . . . . .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274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424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698 </w:t>
            </w:r>
          </w:p>
        </w:tc>
      </w:tr>
      <w:tr>
        <w:trPr>
          <w:trHeight w:hRule="exact" w:val="240"/>
        </w:trPr>
        <w:tc>
          <w:tcPr>
            <w:tcW w:type="dxa" w:w="5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 . . . . . . . . . . . . . . . . . . . . . . . . . . . . . . . . . . . . . . .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1,555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1,507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3,062 </w:t>
            </w:r>
          </w:p>
        </w:tc>
      </w:tr>
      <w:tr>
        <w:trPr>
          <w:trHeight w:hRule="exact" w:val="280"/>
        </w:trPr>
        <w:tc>
          <w:tcPr>
            <w:tcW w:type="dxa" w:w="5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asset-liability management derivatives . . . . . . . . . . . . .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241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5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241 </w:t>
            </w:r>
          </w:p>
        </w:tc>
      </w:tr>
      <w:tr>
        <w:trPr>
          <w:trHeight w:hRule="exact" w:val="288"/>
        </w:trPr>
        <w:tc>
          <w:tcPr>
            <w:tcW w:type="dxa" w:w="5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Exposure . . . . . . . . . . . . . . . . . . . . . . . . . . . . . . . .</w:t>
            </w:r>
          </w:p>
        </w:tc>
        <w:tc>
          <w:tcPr>
            <w:tcW w:type="dxa" w:w="156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5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$7,977 </w:t>
            </w:r>
          </w:p>
        </w:tc>
        <w:tc>
          <w:tcPr>
            <w:tcW w:type="dxa" w:w="16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$4,057 </w:t>
            </w:r>
          </w:p>
        </w:tc>
        <w:tc>
          <w:tcPr>
            <w:tcW w:type="dxa" w:w="96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$12,034 </w:t>
            </w:r>
          </w:p>
        </w:tc>
      </w:tr>
      <w:tr>
        <w:trPr>
          <w:trHeight w:hRule="exact" w:val="160"/>
        </w:trPr>
        <w:tc>
          <w:tcPr>
            <w:tcW w:type="dxa" w:w="50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74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2"/>
        </w:trPr>
        <w:tc>
          <w:tcPr>
            <w:tcW w:type="dxa" w:w="3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Excludes exchange traded instruments as they are generally subject to daily margin requirements and are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deemed to have no material credit risk. </w:t>
      </w:r>
    </w:p>
    <w:p>
      <w:pPr>
        <w:autoSpaceDN w:val="0"/>
        <w:autoSpaceDE w:val="0"/>
        <w:widowControl/>
        <w:spacing w:line="240" w:lineRule="exact" w:before="23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volume of derivative contracts is measured using the U.S. dollar equivalent notional balance. The notional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balance represents the face value or reference value on which the calculations of payments on the 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 are determined. As of June 30, 2025, the notional amounts of IBRD’s derivative contracts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outstanding were as follows: interest rate swaps $445,827 million ($436,783 million—June 30, 2024), currency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swaps $129,923 million ($120,483 million—June 30, 2024), long positions of other derivatives $304 million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($280 million—June 30, 2024), and short positions of other derivatives $115 million ($201 million—June 30,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2024). </w:t>
      </w:r>
    </w:p>
    <w:p>
      <w:pPr>
        <w:autoSpaceDN w:val="0"/>
        <w:autoSpaceDE w:val="0"/>
        <w:widowControl/>
        <w:spacing w:line="240" w:lineRule="exact" w:before="23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is not required to post collateral under its derivative agreements as long as it maintains a triple-A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rating. The aggregate fair value of all derivative instruments with credit-risk related contingent features that were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a liability position as of June 30, 2025 was $12,627 million ($22,858 million—June 30, 2024). IBRD has not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posted any collateral with these counterparties due to its triple-A credit rating. </w:t>
      </w:r>
    </w:p>
    <w:p>
      <w:pPr>
        <w:autoSpaceDN w:val="0"/>
        <w:autoSpaceDE w:val="0"/>
        <w:widowControl/>
        <w:spacing w:line="240" w:lineRule="exact" w:before="23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If the credit risk related contingent features underlying these agreements were triggered to the extent that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be required to post collateral as of June 30, 2025, the amount of collateral that would need to be posted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be $9,241 million ($18,593 million—June 30, 2024). Subsequent triggers of contingent features would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 posting of additional collateral, up to a maximum of $12,627 million ($22,858 million—June 30, 2024).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received collateral totaling $520 million as of June 30, 2025 ($343 million—June 30, 2024), in relation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 transactions (see Note C—Investments).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provides information on the unrealized mark-to-market gains and losses on the non- trading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 and their location on the Statements of Income: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F3: Unrealized mark-to-market gains or losses on non-trading derivatives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74"/>
        </w:trPr>
        <w:tc>
          <w:tcPr>
            <w:tcW w:type="dxa" w:w="3624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Type of instrument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335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Reported as: </w:t>
            </w:r>
          </w:p>
        </w:tc>
        <w:tc>
          <w:tcPr>
            <w:tcW w:type="dxa" w:w="69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3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430"/>
        </w:trPr>
        <w:tc>
          <w:tcPr>
            <w:tcW w:type="dxa" w:w="3624"/>
            <w:gridSpan w:val="2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 . . . . . . . . . . . . . . . . . . .</w:t>
            </w:r>
          </w:p>
          <w:p>
            <w:pPr>
              <w:autoSpaceDN w:val="0"/>
              <w:tabs>
                <w:tab w:pos="204" w:val="left"/>
              </w:tabs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swaps (including forward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contracts ) . . . . . . . . . . . . . . . . . . . . . . . .</w:t>
            </w:r>
          </w:p>
        </w:tc>
        <w:tc>
          <w:tcPr>
            <w:tcW w:type="dxa" w:w="3352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144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Unrealized mark-to-market gains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(losses) on non- trading portfolios, net </w:t>
            </w:r>
          </w:p>
        </w:tc>
        <w:tc>
          <w:tcPr>
            <w:tcW w:type="dxa" w:w="2268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$6,283 $3,324 $(4,948) </w:t>
            </w:r>
          </w:p>
        </w:tc>
      </w:tr>
      <w:tr>
        <w:trPr>
          <w:trHeight w:hRule="exact" w:val="388"/>
        </w:trPr>
        <w:tc>
          <w:tcPr>
            <w:tcW w:type="dxa" w:w="2678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339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1,897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1,145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(867) </w:t>
            </w:r>
          </w:p>
        </w:tc>
      </w:tr>
      <w:tr>
        <w:trPr>
          <w:trHeight w:hRule="exact" w:val="308"/>
        </w:trPr>
        <w:tc>
          <w:tcPr>
            <w:tcW w:type="dxa" w:w="6976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</w:t>
            </w:r>
          </w:p>
        </w:tc>
        <w:tc>
          <w:tcPr>
            <w:tcW w:type="dxa" w:w="226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$8,180 $4,469 $(5,815) </w:t>
            </w:r>
          </w:p>
        </w:tc>
      </w:tr>
      <w:tr>
        <w:trPr>
          <w:trHeight w:hRule="exact" w:val="51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667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For disclosures related to derivatives in trading portfolio, see Table F4. </w:t>
            </w:r>
          </w:p>
        </w:tc>
        <w:tc>
          <w:tcPr>
            <w:tcW w:type="dxa" w:w="5356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76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of the instruments in IBRD’s investment portfolio are held for trading purposes. Within the 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portfolio, IBRD holds highly rated fixed income securities, equity securities and derivatives. The trading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is primarily held to ensure the availability of funds to meet future cash flow requirements and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liquidity management purposes.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provides information on the amount of unrealized mark-to-market gains and losses on the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Investment–Trading portfolio and their location on the Statements of Income: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F4: Unrealized mark-to-market gains or losses on net investment-trading portfolio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4"/>
        <w:gridCol w:w="2344"/>
        <w:gridCol w:w="2344"/>
        <w:gridCol w:w="2344"/>
      </w:tblGrid>
      <w:tr>
        <w:trPr>
          <w:trHeight w:hRule="exact" w:val="234"/>
        </w:trPr>
        <w:tc>
          <w:tcPr>
            <w:tcW w:type="dxa" w:w="749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3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Reported as: </w:t>
            </w:r>
          </w:p>
        </w:tc>
        <w:tc>
          <w:tcPr>
            <w:tcW w:type="dxa" w:w="6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4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Type of instrument </w:t>
      </w:r>
      <w:r>
        <w:rPr>
          <w:rFonts w:ascii="Times" w:hAnsi="Times" w:eastAsia="Times"/>
          <w:b w:val="0"/>
          <w:i w:val="0"/>
          <w:color w:val="231F20"/>
          <w:sz w:val="13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32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income . . . . . . . . . . . . . . . . . . . . . .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Unrealized mark-to-market gains (losses)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92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$10 </w:t>
            </w:r>
          </w:p>
        </w:tc>
      </w:tr>
      <w:tr>
        <w:trPr>
          <w:trHeight w:hRule="exact" w:val="280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Equity and other fund investments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on Investments-Trading portfolio, net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122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74 </w:t>
            </w:r>
          </w:p>
        </w:tc>
      </w:tr>
      <w:tr>
        <w:trPr>
          <w:trHeight w:hRule="exact" w:val="296"/>
        </w:trPr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</w:t>
            </w:r>
          </w:p>
        </w:tc>
        <w:tc>
          <w:tcPr>
            <w:tcW w:type="dxa" w:w="432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$214 </w:t>
            </w:r>
          </w:p>
        </w:tc>
        <w:tc>
          <w:tcPr>
            <w:tcW w:type="dxa" w:w="5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$91 </w:t>
            </w:r>
          </w:p>
        </w:tc>
        <w:tc>
          <w:tcPr>
            <w:tcW w:type="dxa" w:w="4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$84 </w:t>
            </w:r>
          </w:p>
        </w:tc>
      </w:tr>
      <w:tr>
        <w:trPr>
          <w:trHeight w:hRule="exact" w:val="160"/>
        </w:trPr>
        <w:tc>
          <w:tcPr>
            <w:tcW w:type="dxa" w:w="38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26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563"/>
            <w:vMerge/>
            <w:tcBorders>
              <w:bottom w:sz="4.0" w:val="single" w:color="#221F1F"/>
            </w:tcBorders>
          </w:tcPr>
          <w:p/>
        </w:tc>
        <w:tc>
          <w:tcPr>
            <w:tcW w:type="dxa" w:w="1563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Amounts associated with each type of instrument include gains and losses on both derivative instruments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and investment securities.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Related to PEBP holdings and investments related to LPF1 and GFPP. </w:t>
      </w:r>
    </w:p>
    <w:p>
      <w:pPr>
        <w:autoSpaceDN w:val="0"/>
        <w:autoSpaceDE w:val="0"/>
        <w:widowControl/>
        <w:spacing w:line="200" w:lineRule="exact" w:before="43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144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G—RETAINED EARNINGS AND BOARD OF GOVERNORS APPROVED TRANSFERS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Retained earnings are comprised of the following components: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G1: Retained earnings composition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04"/>
        </w:trPr>
        <w:tc>
          <w:tcPr>
            <w:tcW w:type="dxa" w:w="812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108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28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Special reserve . . . . . . . . . . . . . . . . . . . . . . . . . . . . . . . . . . . . . . . . . . . . . . . . . . . . . . . .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293 </w:t>
            </w:r>
          </w:p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293 </w:t>
            </w:r>
          </w:p>
        </w:tc>
      </w:tr>
      <w:tr>
        <w:trPr>
          <w:trHeight w:hRule="exact" w:val="24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General reserve . . . . . . . . . . . . . . . . . . . . . . . . . . . . . . . . . . . . . . . . . . . . . . . . . . . . . . . 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34,058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33,224 </w:t>
            </w:r>
          </w:p>
        </w:tc>
      </w:tr>
      <w:tr>
        <w:trPr>
          <w:trHeight w:hRule="exact" w:val="24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Pension reserve . . . . . . . . . . . . . . . . . . . . . . . . . . . . . . . . . . . . . . . . . . . . . . . . . . . . . . . 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987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681 </w:t>
            </w:r>
          </w:p>
        </w:tc>
      </w:tr>
      <w:tr>
        <w:trPr>
          <w:trHeight w:hRule="exact" w:val="24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Surplus . . . . . . . . . . . . . . . . . . . . . . . . . . . . . . . . . . . . . . . . . . . . . . . . . . . . . . . . . . . . . . 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</w:tr>
      <w:tr>
        <w:trPr>
          <w:trHeight w:hRule="exact" w:val="24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Cumulative fair value adjustments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1,390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1,103 </w:t>
            </w:r>
          </w:p>
        </w:tc>
      </w:tr>
      <w:tr>
        <w:trPr>
          <w:trHeight w:hRule="exact" w:val="24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Unallocated net income . . . . . . . . . . . . . . . . . . . . . . . . . . . . . . . . . . . . . . . . . . . . . . . . . 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2,915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2,513 </w:t>
            </w:r>
          </w:p>
        </w:tc>
      </w:tr>
      <w:tr>
        <w:trPr>
          <w:trHeight w:hRule="exact" w:val="24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Restricted retained earnings . . . . . . . . . . . . . . . . . . . . . . . . . . . . . . . . . . . . . . . . . . . . . 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</w:p>
        </w:tc>
      </w:tr>
      <w:tr>
        <w:trPr>
          <w:trHeight w:hRule="exact" w:val="280"/>
        </w:trPr>
        <w:tc>
          <w:tcPr>
            <w:tcW w:type="dxa" w:w="7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reserves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 . . . .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729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358 </w:t>
            </w:r>
          </w:p>
        </w:tc>
      </w:tr>
      <w:tr>
        <w:trPr>
          <w:trHeight w:hRule="exact" w:val="456"/>
        </w:trPr>
        <w:tc>
          <w:tcPr>
            <w:tcW w:type="dxa" w:w="706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 . . . . . . . . . . . .</w:t>
            </w:r>
          </w:p>
        </w:tc>
        <w:tc>
          <w:tcPr>
            <w:tcW w:type="dxa" w:w="106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$40,383 </w:t>
            </w:r>
          </w:p>
        </w:tc>
        <w:tc>
          <w:tcPr>
            <w:tcW w:type="dxa" w:w="10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$38,283 </w:t>
            </w:r>
          </w:p>
        </w:tc>
      </w:tr>
      <w:tr>
        <w:trPr>
          <w:trHeight w:hRule="exact" w:val="304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Unrealized mark-to-market gains (losses), net related to non-trading portfolios reported at fair value. </w:t>
            </w:r>
          </w:p>
        </w:tc>
      </w:tr>
      <w:tr>
        <w:trPr>
          <w:trHeight w:hRule="exact" w:val="246"/>
        </w:trPr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8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Comprised of $324 million of currency remeasurement gains/losses, net ($251 million—June 30, 2024),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520" w:right="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$301 million ( $101 million - June 30, 2024) and $100 million ( Nil- June 30, 2024) balances available for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LPF1 and the GFPP, respectively, and $4 million revenue from prior years which is set aside for a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dedicated purpose ( $6 million—June 30, 2024). </w:t>
      </w:r>
    </w:p>
    <w:p>
      <w:pPr>
        <w:autoSpaceDN w:val="0"/>
        <w:autoSpaceDE w:val="0"/>
        <w:widowControl/>
        <w:spacing w:line="240" w:lineRule="exact" w:before="24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Board of Governors-approved transfers that were expensed during the stated fiscal years are included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following table: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G2: Board of Governors-approved transfers expensed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74"/>
        </w:trPr>
        <w:tc>
          <w:tcPr>
            <w:tcW w:type="dxa" w:w="7514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Transfers funded from: </w:t>
            </w:r>
          </w:p>
        </w:tc>
        <w:tc>
          <w:tcPr>
            <w:tcW w:type="dxa" w:w="42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3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5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10"/>
        </w:trPr>
        <w:tc>
          <w:tcPr>
            <w:tcW w:type="dxa" w:w="7514"/>
            <w:gridSpan w:val="2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04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IDA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Trust fund for Gaza and West Bank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LPF1 . . . . . . . . . . . . . . . . . . . . . . . . . . . . . . . . . . . . . . . . . . . . . . . . . . . . . . . . . . . . . . . .</w:t>
            </w:r>
          </w:p>
        </w:tc>
        <w:tc>
          <w:tcPr>
            <w:tcW w:type="dxa" w:w="1690"/>
            <w:gridSpan w:val="4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$515 $291 $117 </w:t>
            </w:r>
          </w:p>
        </w:tc>
      </w:tr>
      <w:tr>
        <w:trPr>
          <w:trHeight w:hRule="exact" w:val="240"/>
        </w:trPr>
        <w:tc>
          <w:tcPr>
            <w:tcW w:type="dxa" w:w="3120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300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 </w:t>
            </w:r>
          </w:p>
        </w:tc>
      </w:tr>
      <w:tr>
        <w:trPr>
          <w:trHeight w:hRule="exact" w:val="256"/>
        </w:trPr>
        <w:tc>
          <w:tcPr>
            <w:tcW w:type="dxa" w:w="3120"/>
            <w:gridSpan w:val="2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57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* 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 </w:t>
            </w:r>
          </w:p>
        </w:tc>
      </w:tr>
      <w:tr>
        <w:trPr>
          <w:trHeight w:hRule="exact" w:val="320"/>
        </w:trPr>
        <w:tc>
          <w:tcPr>
            <w:tcW w:type="dxa" w:w="751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 . . . . . . . . . . . . . . . .</w:t>
            </w:r>
          </w:p>
        </w:tc>
        <w:tc>
          <w:tcPr>
            <w:tcW w:type="dxa" w:w="1690"/>
            <w:gridSpan w:val="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$815 $371 $221 </w:t>
            </w:r>
          </w:p>
        </w:tc>
      </w:tr>
      <w:tr>
        <w:trPr>
          <w:trHeight w:hRule="exact" w:val="512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* </w:t>
            </w:r>
          </w:p>
        </w:tc>
        <w:tc>
          <w:tcPr>
            <w:tcW w:type="dxa" w:w="72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Indicates amount less than $0.5 million. </w:t>
            </w:r>
          </w:p>
        </w:tc>
        <w:tc>
          <w:tcPr>
            <w:tcW w:type="dxa" w:w="6240"/>
            <w:gridSpan w:val="4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7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On September 9, 2024, IBRD’s Board of Governors approved transfers from Surplus of $100 million to the Trust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 for Gaza and the West Bank. On September 18, 2024, IBRD’s Board of Governors approved an additional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 of $200 million from Surplus to the Trust Fund for Gaza and the West Bank.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On September 18, 2024, IBRD’s Board of Governors approved a transfer of $515 million to the International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Association (IDA).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There were no amounts payable for the transfers approved by the Board of Governors as of June 30, 2025,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30, 2024. </w:t>
      </w:r>
    </w:p>
    <w:p>
      <w:pPr>
        <w:autoSpaceDN w:val="0"/>
        <w:autoSpaceDE w:val="0"/>
        <w:widowControl/>
        <w:spacing w:line="200" w:lineRule="exact" w:before="14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145 </w:t>
      </w:r>
    </w:p>
    <w:p>
      <w:pPr>
        <w:sectPr>
          <w:pgSz w:w="12240" w:h="15840"/>
          <w:pgMar w:top="74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H—TRANSACTIONS WITH AFFILIATED ORGANIZATIONS </w:t>
      </w:r>
    </w:p>
    <w:p>
      <w:pPr>
        <w:autoSpaceDN w:val="0"/>
        <w:autoSpaceDE w:val="0"/>
        <w:widowControl/>
        <w:spacing w:line="240" w:lineRule="exact" w:before="24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transacts with affiliated organizations by providing loans, administrative, derivative and 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intermediation services, and through its pension and other postretirement benefit plans.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IBRD provides transfers to IDA out of its net income, upon approval by the Board of Governors (see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 G—Board of Governors approved transfers).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had the following receivables from (payables to) its affiliated organizations: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H1: IBRD’s receivables and payables with affiliated organizations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274"/>
        </w:trPr>
        <w:tc>
          <w:tcPr>
            <w:tcW w:type="dxa" w:w="384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8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63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6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  <w:tc>
          <w:tcPr>
            <w:tcW w:type="dxa" w:w="63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84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IDA </w:t>
            </w:r>
          </w:p>
        </w:tc>
        <w:tc>
          <w:tcPr>
            <w:tcW w:type="dxa" w:w="81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IFC </w:t>
            </w:r>
          </w:p>
        </w:tc>
        <w:tc>
          <w:tcPr>
            <w:tcW w:type="dxa" w:w="78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MIGA </w:t>
            </w:r>
          </w:p>
        </w:tc>
        <w:tc>
          <w:tcPr>
            <w:tcW w:type="dxa" w:w="63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81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IDA </w:t>
            </w:r>
          </w:p>
        </w:tc>
        <w:tc>
          <w:tcPr>
            <w:tcW w:type="dxa" w:w="81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IFC </w:t>
            </w:r>
          </w:p>
        </w:tc>
        <w:tc>
          <w:tcPr>
            <w:tcW w:type="dxa" w:w="78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MIGA </w:t>
            </w:r>
          </w:p>
        </w:tc>
        <w:tc>
          <w:tcPr>
            <w:tcW w:type="dxa" w:w="63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Receivable (payable)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232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administrative services, net . . . . . .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631 $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(64)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17 $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584 $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279 $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16 $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296 </w:t>
            </w:r>
          </w:p>
        </w:tc>
      </w:tr>
      <w:tr>
        <w:trPr>
          <w:trHeight w:hRule="exact" w:val="24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Payable for PCRF investments . . . . .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(721)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(502)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(1,223)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(489)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(344)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(833)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Pension and other postretirement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248"/>
        </w:trPr>
        <w:tc>
          <w:tcPr>
            <w:tcW w:type="dxa" w:w="321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benefits . . . . . . . . . . . . . . . . . . . . .</w:t>
            </w:r>
          </w:p>
        </w:tc>
        <w:tc>
          <w:tcPr>
            <w:tcW w:type="dxa" w:w="8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(1,086) </w:t>
            </w:r>
          </w:p>
        </w:tc>
        <w:tc>
          <w:tcPr>
            <w:tcW w:type="dxa" w:w="8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(859) 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(34) </w:t>
            </w:r>
          </w:p>
        </w:tc>
        <w:tc>
          <w:tcPr>
            <w:tcW w:type="dxa" w:w="8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(1,979) </w:t>
            </w:r>
          </w:p>
        </w:tc>
        <w:tc>
          <w:tcPr>
            <w:tcW w:type="dxa" w:w="8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(906) </w:t>
            </w:r>
          </w:p>
        </w:tc>
        <w:tc>
          <w:tcPr>
            <w:tcW w:type="dxa" w:w="8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(774) 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(30) </w:t>
            </w:r>
          </w:p>
        </w:tc>
        <w:tc>
          <w:tcPr>
            <w:tcW w:type="dxa" w:w="7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(1,710) </w:t>
            </w:r>
          </w:p>
        </w:tc>
      </w:tr>
      <w:tr>
        <w:trPr>
          <w:trHeight w:hRule="exact" w:val="320"/>
        </w:trPr>
        <w:tc>
          <w:tcPr>
            <w:tcW w:type="dxa" w:w="32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</w:t>
            </w:r>
          </w:p>
        </w:tc>
        <w:tc>
          <w:tcPr>
            <w:tcW w:type="dxa" w:w="6028"/>
            <w:gridSpan w:val="8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$(1,176) $(1,425) $ (17) $(2,618) $(1,116) $(1,117) $ (14) $(2,247) </w:t>
            </w:r>
          </w:p>
        </w:tc>
      </w:tr>
      <w:tr>
        <w:trPr>
          <w:trHeight w:hRule="exact" w:val="160"/>
        </w:trPr>
        <w:tc>
          <w:tcPr>
            <w:tcW w:type="dxa" w:w="32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36"/>
            <w:gridSpan w:val="8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3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receivables from (payables to) these affiliated organizations are reported on the Balance Sheets as follows: </w:t>
      </w:r>
    </w:p>
    <w:p>
      <w:pPr>
        <w:autoSpaceDN w:val="0"/>
        <w:tabs>
          <w:tab w:pos="4920" w:val="left"/>
        </w:tabs>
        <w:autoSpaceDE w:val="0"/>
        <w:widowControl/>
        <w:spacing w:line="244" w:lineRule="exact" w:before="144" w:after="0"/>
        <w:ind w:left="120" w:right="3024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Receivables / Payables related to: </w:t>
      </w:r>
      <w:r>
        <w:tab/>
      </w:r>
      <w:r>
        <w:rPr>
          <w:rFonts w:ascii="Times" w:hAnsi="Times" w:eastAsia="Times"/>
          <w:b/>
          <w:i w:val="0"/>
          <w:color w:val="231F20"/>
          <w:sz w:val="16"/>
        </w:rPr>
        <w:t xml:space="preserve">Reported as: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Administrative services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assets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PCRF investments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liabilities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Pension and other postretirement benefits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liabilities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Administrative Services 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Expenses </w:t>
      </w:r>
    </w:p>
    <w:p>
      <w:pPr>
        <w:autoSpaceDN w:val="0"/>
        <w:autoSpaceDE w:val="0"/>
        <w:widowControl/>
        <w:spacing w:line="240" w:lineRule="exact" w:before="122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Expenses jointly incurred by IBRD and IDA are allocated based on an agreed cost-sharing methodology,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amounts are settled quarterly. For the fiscal year ended June 30, 2025, IBRD’s administrative expenses exclude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share of expenses allocated to IDA of $1,989 million ($1,750 million—fiscal year ended June 30, 2024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$1,744 million fiscal year ended June 30, 2023).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Revenue </w:t>
      </w:r>
    </w:p>
    <w:p>
      <w:pPr>
        <w:autoSpaceDN w:val="0"/>
        <w:autoSpaceDE w:val="0"/>
        <w:widowControl/>
        <w:spacing w:line="240" w:lineRule="exact" w:before="122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jointly earned by IBRD and IDA is allocated based on an agreed revenue-sharing methodology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amounts are settled quarterly. For the fiscal year ended June 30, 2025, IBRD’s Non-interest revenue excludes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allocated to IDA of $330 million ($326 million—fiscal year ended June 30, 2024 and $280 million fiscal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ended June 30, 2023). IBRD’s share of revenue jointly earned is included in Revenue from externally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funded activities on the Statements of Income. This revenue also includes revenue from contracts with clients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are not affiliated with IBRD and are as follows: </w:t>
      </w:r>
    </w:p>
    <w:p>
      <w:pPr>
        <w:autoSpaceDN w:val="0"/>
        <w:autoSpaceDE w:val="0"/>
        <w:widowControl/>
        <w:spacing w:line="200" w:lineRule="exact" w:before="15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146 </w:t>
      </w:r>
    </w:p>
    <w:p>
      <w:pPr>
        <w:sectPr>
          <w:pgSz w:w="12240" w:h="15840"/>
          <w:pgMar w:top="74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H2: Revenue from contracts with clients </w:t>
      </w:r>
    </w:p>
    <w:p>
      <w:pPr>
        <w:autoSpaceDN w:val="0"/>
        <w:autoSpaceDE w:val="0"/>
        <w:widowControl/>
        <w:spacing w:line="180" w:lineRule="exact" w:before="128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74"/>
        </w:trPr>
        <w:tc>
          <w:tcPr>
            <w:tcW w:type="dxa" w:w="691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56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16"/>
        </w:trPr>
        <w:tc>
          <w:tcPr>
            <w:tcW w:type="dxa" w:w="691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Trust fund fees . . . . . . . . . . . . . . . . . . . . . . . . . . . . . . . . . . . . . . . . . . . . . . . . . . . . . . .</w:t>
            </w:r>
          </w:p>
        </w:tc>
        <w:tc>
          <w:tcPr>
            <w:tcW w:type="dxa" w:w="130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179 $</w:t>
            </w:r>
          </w:p>
        </w:tc>
        <w:tc>
          <w:tcPr>
            <w:tcW w:type="dxa" w:w="8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192 $</w:t>
            </w:r>
          </w:p>
        </w:tc>
        <w:tc>
          <w:tcPr>
            <w:tcW w:type="dxa" w:w="5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119 </w:t>
            </w:r>
          </w:p>
        </w:tc>
      </w:tr>
      <w:tr>
        <w:trPr>
          <w:trHeight w:hRule="exact" w:val="240"/>
        </w:trPr>
        <w:tc>
          <w:tcPr>
            <w:tcW w:type="dxa" w:w="6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Reimbursable advisory services . . . . . . . . . . . . . . . . . . . . . . . . . . . . . . . . . . . . . . . . .</w:t>
            </w:r>
          </w:p>
        </w:tc>
        <w:tc>
          <w:tcPr>
            <w:tcW w:type="dxa" w:w="1872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 </w:t>
            </w:r>
          </w:p>
        </w:tc>
      </w:tr>
      <w:tr>
        <w:trPr>
          <w:trHeight w:hRule="exact" w:val="248"/>
        </w:trPr>
        <w:tc>
          <w:tcPr>
            <w:tcW w:type="dxa" w:w="69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Asset management services . . . . . . . . . . . . . . . . . . . . . . . . . . . . . . . . . . . . . . . . . . . . .</w:t>
            </w:r>
          </w:p>
        </w:tc>
        <w:tc>
          <w:tcPr>
            <w:tcW w:type="dxa" w:w="1872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 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 </w:t>
            </w:r>
          </w:p>
        </w:tc>
      </w:tr>
      <w:tr>
        <w:trPr>
          <w:trHeight w:hRule="exact" w:val="337"/>
        </w:trPr>
        <w:tc>
          <w:tcPr>
            <w:tcW w:type="dxa" w:w="691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</w:t>
            </w:r>
          </w:p>
        </w:tc>
        <w:tc>
          <w:tcPr>
            <w:tcW w:type="dxa" w:w="1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310 $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316 $</w:t>
            </w:r>
          </w:p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249 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Of which: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8"/>
        </w:trPr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share . . . . . . . . . . . . . . . . . . . . . . . . . . . . . . . . . . . . . . . . . . . . . . . . . . . .</w:t>
            </w:r>
          </w:p>
        </w:tc>
        <w:tc>
          <w:tcPr>
            <w:tcW w:type="dxa" w:w="3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157 $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163 $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130 </w:t>
            </w:r>
          </w:p>
        </w:tc>
      </w:tr>
      <w:tr>
        <w:trPr>
          <w:trHeight w:hRule="exact" w:val="288"/>
        </w:trPr>
        <w:tc>
          <w:tcPr>
            <w:tcW w:type="dxa" w:w="6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 share . . . . . . . . . . . . . . . . . . . . . . . . . . . . . . . . . . . . . . . . . . . . . . . . . . . . .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153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153 </w:t>
            </w:r>
          </w:p>
        </w:tc>
        <w:tc>
          <w:tcPr>
            <w:tcW w:type="dxa" w:w="4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119 </w:t>
            </w:r>
          </w:p>
        </w:tc>
      </w:tr>
    </w:tbl>
    <w:p>
      <w:pPr>
        <w:autoSpaceDN w:val="0"/>
        <w:autoSpaceDE w:val="0"/>
        <w:widowControl/>
        <w:spacing w:line="240" w:lineRule="exact" w:before="24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Each revenue stream represents compensation for services provided and the related revenue is recognized over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time. </w:t>
      </w:r>
    </w:p>
    <w:p>
      <w:pPr>
        <w:autoSpaceDN w:val="0"/>
        <w:autoSpaceDE w:val="0"/>
        <w:widowControl/>
        <w:spacing w:line="240" w:lineRule="exact" w:before="18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When IBRD performs services, its rights to consideration are deemed unconditional and are classified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receivables. IBRD also has an obligation to provide certain services for which it has received consideration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advance. Such consideration is presented as a contract liability and is subsequently recognized as revenue when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related performance obligation is satisfied. </w:t>
      </w:r>
    </w:p>
    <w:p>
      <w:pPr>
        <w:autoSpaceDN w:val="0"/>
        <w:autoSpaceDE w:val="0"/>
        <w:widowControl/>
        <w:spacing w:line="240" w:lineRule="exact" w:before="18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shows IBRD’s receivables and contract liabilities related to revenue from contracts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clients: </w:t>
      </w:r>
    </w:p>
    <w:p>
      <w:pPr>
        <w:autoSpaceDN w:val="0"/>
        <w:autoSpaceDE w:val="0"/>
        <w:widowControl/>
        <w:spacing w:line="200" w:lineRule="exact" w:before="3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H3: Receivables and contract liabilities related to revenue from contracts with clients </w:t>
      </w:r>
    </w:p>
    <w:p>
      <w:pPr>
        <w:autoSpaceDN w:val="0"/>
        <w:autoSpaceDE w:val="0"/>
        <w:widowControl/>
        <w:spacing w:line="180" w:lineRule="exact" w:before="130" w:after="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76"/>
        </w:trPr>
        <w:tc>
          <w:tcPr>
            <w:tcW w:type="dxa" w:w="71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316"/>
        </w:trPr>
        <w:tc>
          <w:tcPr>
            <w:tcW w:type="dxa" w:w="711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Receivables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$137 </w:t>
            </w:r>
          </w:p>
        </w:tc>
        <w:tc>
          <w:tcPr>
            <w:tcW w:type="dxa" w:w="9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$111 </w:t>
            </w:r>
          </w:p>
        </w:tc>
      </w:tr>
      <w:tr>
        <w:trPr>
          <w:trHeight w:hRule="exact" w:val="288"/>
        </w:trPr>
        <w:tc>
          <w:tcPr>
            <w:tcW w:type="dxa" w:w="71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Contract liabilities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158 </w:t>
            </w:r>
          </w:p>
        </w:tc>
        <w:tc>
          <w:tcPr>
            <w:tcW w:type="dxa" w:w="9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2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185 </w:t>
            </w:r>
          </w:p>
        </w:tc>
      </w:tr>
    </w:tbl>
    <w:p>
      <w:pPr>
        <w:autoSpaceDN w:val="0"/>
        <w:autoSpaceDE w:val="0"/>
        <w:widowControl/>
        <w:spacing w:line="240" w:lineRule="exact" w:before="23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amount of fee revenue associated with services provided to affiliated organizations that is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from externally funded activities in the Statements of Income, is as follows: </w:t>
      </w:r>
    </w:p>
    <w:p>
      <w:pPr>
        <w:autoSpaceDN w:val="0"/>
        <w:autoSpaceDE w:val="0"/>
        <w:widowControl/>
        <w:spacing w:line="200" w:lineRule="exact" w:before="3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H4: Fee revenue from affiliated organizations </w:t>
      </w:r>
    </w:p>
    <w:p>
      <w:pPr>
        <w:autoSpaceDN w:val="0"/>
        <w:autoSpaceDE w:val="0"/>
        <w:widowControl/>
        <w:spacing w:line="180" w:lineRule="exact" w:before="128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74"/>
        </w:trPr>
        <w:tc>
          <w:tcPr>
            <w:tcW w:type="dxa" w:w="691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56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10"/>
        </w:trPr>
        <w:tc>
          <w:tcPr>
            <w:tcW w:type="dxa" w:w="691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Fees charged to IFC . . . . . . . . . . . . . . . . . . . . . . . . . . . . . . . . . . . . . . . . . . . . . . . . . . .</w:t>
            </w:r>
          </w:p>
        </w:tc>
        <w:tc>
          <w:tcPr>
            <w:tcW w:type="dxa" w:w="130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109 $</w:t>
            </w:r>
          </w:p>
        </w:tc>
        <w:tc>
          <w:tcPr>
            <w:tcW w:type="dxa" w:w="8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105 $</w:t>
            </w:r>
          </w:p>
        </w:tc>
        <w:tc>
          <w:tcPr>
            <w:tcW w:type="dxa" w:w="5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102 </w:t>
            </w:r>
          </w:p>
        </w:tc>
      </w:tr>
      <w:tr>
        <w:trPr>
          <w:trHeight w:hRule="exact" w:val="296"/>
        </w:trPr>
        <w:tc>
          <w:tcPr>
            <w:tcW w:type="dxa" w:w="69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Fees charged to MIGA . . . . . . . . . . . . . . . . . . . . . . . . . . . . . . . . . . . . . . . . . . . . . . . .</w:t>
            </w:r>
          </w:p>
        </w:tc>
        <w:tc>
          <w:tcPr>
            <w:tcW w:type="dxa" w:w="1872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00" w:lineRule="exact" w:before="36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Investments </w:t>
      </w:r>
    </w:p>
    <w:p>
      <w:pPr>
        <w:autoSpaceDN w:val="0"/>
        <w:autoSpaceDE w:val="0"/>
        <w:widowControl/>
        <w:spacing w:line="240" w:lineRule="exact" w:before="9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relate to investments that IBRD has made on behalf of IFC associated with the PCRF and are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Investments-Trading on IBRD’s Balance Sheets. The corresponding payable to IFC is included in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liabilities—Accounts payable and miscellaneous liabilities on IBRD’s Balance Sheets. As a result, there is no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impact on IBRD’s net asset value from these transactions. </w:t>
      </w:r>
    </w:p>
    <w:p>
      <w:pPr>
        <w:autoSpaceDN w:val="0"/>
        <w:autoSpaceDE w:val="0"/>
        <w:widowControl/>
        <w:spacing w:line="200" w:lineRule="exact" w:before="322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Pension and Other Postretirement Benefits </w:t>
      </w:r>
    </w:p>
    <w:p>
      <w:pPr>
        <w:autoSpaceDN w:val="0"/>
        <w:autoSpaceDE w:val="0"/>
        <w:widowControl/>
        <w:spacing w:line="240" w:lineRule="exact" w:before="96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payable to IDA represents IDA’s net share of prepaid costs for pension and other postretirement benefit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plans and PEBP assets. These will be realized over the life of the pension plan participants. The payables to IFC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MIGA represent their respective share of PEBP assets.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PEBP assets are managed by IBRD and are part of the investment portfolio. For Pension and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Postretirement Benefits related disclosures, see Note K—Pension and Other Postretirement Benefits. </w:t>
      </w:r>
    </w:p>
    <w:p>
      <w:pPr>
        <w:autoSpaceDN w:val="0"/>
        <w:autoSpaceDE w:val="0"/>
        <w:widowControl/>
        <w:spacing w:line="200" w:lineRule="exact" w:before="3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I—ACCUMULATED OTHER COMPREHENSIVE INCOME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Comprehensive income or loss consists of net income and other gains and losses affecting equity that, under U.S.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GAAP, are excluded from net income. Other comprehensive income (loss) comprises currency translation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adjustments on assets and liabilities denominated in euro, DVA on Fair Value Option elected liabilities,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pension related items. These items are presented in the Statements of Comprehensive Income.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present the changes in Accumulated Other Comprehensive Income (AOCI):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I1: AOCI/AOCL changes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6"/>
        <w:ind w:left="0" w:right="219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3"/>
        </w:trPr>
        <w:tc>
          <w:tcPr>
            <w:tcW w:type="dxa" w:w="4616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Balance,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Changes </w:t>
            </w:r>
          </w:p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Changes </w:t>
            </w:r>
          </w:p>
        </w:tc>
        <w:tc>
          <w:tcPr>
            <w:tcW w:type="dxa" w:w="9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Balance, end </w:t>
            </w:r>
          </w:p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beginning of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reclassified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the fiscal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into net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during the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the fiscal </w:t>
            </w:r>
          </w:p>
        </w:tc>
      </w:tr>
      <w:tr>
        <w:trPr>
          <w:trHeight w:hRule="exact" w:val="194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</w:t>
            </w:r>
          </w:p>
        </w:tc>
        <w:tc>
          <w:tcPr>
            <w:tcW w:type="dxa" w:w="7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 AOCI </w:t>
            </w:r>
          </w:p>
        </w:tc>
        <w:tc>
          <w:tcPr>
            <w:tcW w:type="dxa" w:w="93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income </w:t>
            </w:r>
          </w:p>
        </w:tc>
        <w:tc>
          <w:tcPr>
            <w:tcW w:type="dxa" w:w="102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period </w:t>
            </w:r>
          </w:p>
        </w:tc>
        <w:tc>
          <w:tcPr>
            <w:tcW w:type="dxa" w:w="92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</w:t>
            </w:r>
          </w:p>
        </w:tc>
      </w:tr>
      <w:tr>
        <w:trPr>
          <w:trHeight w:hRule="exact" w:val="310"/>
        </w:trPr>
        <w:tc>
          <w:tcPr>
            <w:tcW w:type="dxa" w:w="461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Cumulative Translation Adjustments . . . . . . . . . . . . . .</w:t>
            </w:r>
          </w:p>
        </w:tc>
        <w:tc>
          <w:tcPr>
            <w:tcW w:type="dxa" w:w="100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(445) </w:t>
            </w:r>
          </w:p>
        </w:tc>
        <w:tc>
          <w:tcPr>
            <w:tcW w:type="dxa" w:w="76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$1,281 </w:t>
            </w:r>
          </w:p>
        </w:tc>
        <w:tc>
          <w:tcPr>
            <w:tcW w:type="dxa" w:w="93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0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$1,281 </w:t>
            </w:r>
          </w:p>
        </w:tc>
        <w:tc>
          <w:tcPr>
            <w:tcW w:type="dxa" w:w="9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836 </w:t>
            </w:r>
          </w:p>
        </w:tc>
      </w:tr>
      <w:tr>
        <w:trPr>
          <w:trHeight w:hRule="exact" w:val="248"/>
        </w:trPr>
        <w:tc>
          <w:tcPr>
            <w:tcW w:type="dxa" w:w="4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DVA on Fair Value Option elected liabilities . . . . . . .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673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1,009 </w:t>
            </w:r>
          </w:p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(18)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991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1,664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0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 Plans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3,741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3,484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(64)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3,420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7,161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8"/>
        </w:trPr>
        <w:tc>
          <w:tcPr>
            <w:tcW w:type="dxa" w:w="4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 Plans . . . . . . . . . . . . . . . . . . . . . . . . . . . . . .</w:t>
            </w:r>
          </w:p>
        </w:tc>
        <w:tc>
          <w:tcPr>
            <w:tcW w:type="dxa" w:w="8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(15) </w:t>
            </w:r>
          </w:p>
        </w:tc>
        <w:tc>
          <w:tcPr>
            <w:tcW w:type="dxa" w:w="92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</w:p>
        </w:tc>
        <w:tc>
          <w:tcPr>
            <w:tcW w:type="dxa" w:w="10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6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(7) </w:t>
            </w:r>
          </w:p>
        </w:tc>
      </w:tr>
      <w:tr>
        <w:trPr>
          <w:trHeight w:hRule="exact" w:val="320"/>
        </w:trPr>
        <w:tc>
          <w:tcPr>
            <w:tcW w:type="dxa" w:w="4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AOCI . . . . . . . . . . . . . . . . . . . . . . . . . . . . . . . . . .</w:t>
            </w:r>
          </w:p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$3,954 </w:t>
            </w:r>
          </w:p>
        </w:tc>
        <w:tc>
          <w:tcPr>
            <w:tcW w:type="dxa" w:w="9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$5,774 </w:t>
            </w:r>
          </w:p>
        </w:tc>
        <w:tc>
          <w:tcPr>
            <w:tcW w:type="dxa" w:w="9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(74) </w:t>
            </w:r>
          </w:p>
        </w:tc>
        <w:tc>
          <w:tcPr>
            <w:tcW w:type="dxa" w:w="10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$5,700 </w:t>
            </w:r>
          </w:p>
        </w:tc>
        <w:tc>
          <w:tcPr>
            <w:tcW w:type="dxa" w:w="6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$9,654 </w:t>
            </w:r>
          </w:p>
        </w:tc>
      </w:tr>
      <w:tr>
        <w:trPr>
          <w:trHeight w:hRule="exact" w:val="160"/>
        </w:trPr>
        <w:tc>
          <w:tcPr>
            <w:tcW w:type="dxa" w:w="4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5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I1.1: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6"/>
        <w:ind w:left="0" w:right="2204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3"/>
        </w:trPr>
        <w:tc>
          <w:tcPr>
            <w:tcW w:type="dxa" w:w="460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Balance, </w:t>
            </w:r>
          </w:p>
        </w:tc>
        <w:tc>
          <w:tcPr>
            <w:tcW w:type="dxa" w:w="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4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Changes </w:t>
            </w:r>
          </w:p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Changes </w:t>
            </w:r>
          </w:p>
        </w:tc>
        <w:tc>
          <w:tcPr>
            <w:tcW w:type="dxa" w:w="9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Balance, end </w:t>
            </w:r>
          </w:p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beginning of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reclassified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the fiscal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into net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during the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the fiscal </w:t>
            </w:r>
          </w:p>
        </w:tc>
      </w:tr>
      <w:tr>
        <w:trPr>
          <w:trHeight w:hRule="exact" w:val="194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</w:t>
            </w:r>
          </w:p>
        </w:tc>
        <w:tc>
          <w:tcPr>
            <w:tcW w:type="dxa" w:w="77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 AOCL </w:t>
            </w:r>
          </w:p>
        </w:tc>
        <w:tc>
          <w:tcPr>
            <w:tcW w:type="dxa" w:w="93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income </w:t>
            </w:r>
          </w:p>
        </w:tc>
        <w:tc>
          <w:tcPr>
            <w:tcW w:type="dxa" w:w="102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period </w:t>
            </w:r>
          </w:p>
        </w:tc>
        <w:tc>
          <w:tcPr>
            <w:tcW w:type="dxa" w:w="92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</w:t>
            </w:r>
          </w:p>
        </w:tc>
      </w:tr>
      <w:tr>
        <w:trPr>
          <w:trHeight w:hRule="exact" w:val="310"/>
        </w:trPr>
        <w:tc>
          <w:tcPr>
            <w:tcW w:type="dxa" w:w="46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Cumulative Translation Adjustments . . . . . . . . . . . . .</w:t>
            </w:r>
          </w:p>
        </w:tc>
        <w:tc>
          <w:tcPr>
            <w:tcW w:type="dxa" w:w="100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(295) </w:t>
            </w:r>
          </w:p>
        </w:tc>
        <w:tc>
          <w:tcPr>
            <w:tcW w:type="dxa" w:w="77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$(150) </w:t>
            </w:r>
          </w:p>
        </w:tc>
        <w:tc>
          <w:tcPr>
            <w:tcW w:type="dxa" w:w="93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0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$(150) </w:t>
            </w:r>
          </w:p>
        </w:tc>
        <w:tc>
          <w:tcPr>
            <w:tcW w:type="dxa" w:w="9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(445) </w:t>
            </w:r>
          </w:p>
        </w:tc>
      </w:tr>
      <w:tr>
        <w:trPr>
          <w:trHeight w:hRule="exact" w:val="248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DVA on Fair Value Option elected liabilities . . . . . . .</w:t>
            </w:r>
          </w:p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351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321 </w:t>
            </w:r>
          </w:p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322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673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0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 Plans . . . . . . . . . . . . . . . . . . . . . . .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3,490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318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(67)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251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3,741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8"/>
        </w:trPr>
        <w:tc>
          <w:tcPr>
            <w:tcW w:type="dxa" w:w="46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 Plans . . . . . . . . . . . . . . . . . . . . . . . . . . . . . .</w:t>
            </w:r>
          </w:p>
        </w:tc>
        <w:tc>
          <w:tcPr>
            <w:tcW w:type="dxa" w:w="9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(23) </w:t>
            </w:r>
          </w:p>
        </w:tc>
        <w:tc>
          <w:tcPr>
            <w:tcW w:type="dxa" w:w="8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4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</w:p>
        </w:tc>
        <w:tc>
          <w:tcPr>
            <w:tcW w:type="dxa" w:w="9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6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(15) </w:t>
            </w:r>
          </w:p>
        </w:tc>
      </w:tr>
      <w:tr>
        <w:trPr>
          <w:trHeight w:hRule="exact" w:val="320"/>
        </w:trPr>
        <w:tc>
          <w:tcPr>
            <w:tcW w:type="dxa" w:w="46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AOCI . . . . . . . . . . . . . . . . . . . . . . . . . . . . . . . . .</w:t>
            </w:r>
          </w:p>
        </w:tc>
        <w:tc>
          <w:tcPr>
            <w:tcW w:type="dxa" w:w="9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$3,523 </w:t>
            </w:r>
          </w:p>
        </w:tc>
        <w:tc>
          <w:tcPr>
            <w:tcW w:type="dxa" w:w="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489 </w:t>
            </w:r>
          </w:p>
        </w:tc>
        <w:tc>
          <w:tcPr>
            <w:tcW w:type="dxa" w:w="94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(58) </w:t>
            </w:r>
          </w:p>
        </w:tc>
        <w:tc>
          <w:tcPr>
            <w:tcW w:type="dxa" w:w="9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431 </w:t>
            </w:r>
          </w:p>
        </w:tc>
        <w:tc>
          <w:tcPr>
            <w:tcW w:type="dxa" w:w="6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$3,954 </w:t>
            </w:r>
          </w:p>
        </w:tc>
      </w:tr>
      <w:tr>
        <w:trPr>
          <w:trHeight w:hRule="exact" w:val="160"/>
        </w:trPr>
        <w:tc>
          <w:tcPr>
            <w:tcW w:type="dxa" w:w="46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21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I1.2: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8"/>
        <w:ind w:left="0" w:right="2204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3"/>
        </w:trPr>
        <w:tc>
          <w:tcPr>
            <w:tcW w:type="dxa" w:w="460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Balance, </w:t>
            </w:r>
          </w:p>
        </w:tc>
        <w:tc>
          <w:tcPr>
            <w:tcW w:type="dxa" w:w="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2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Changes </w:t>
            </w:r>
          </w:p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</w:p>
        </w:tc>
        <w:tc>
          <w:tcPr>
            <w:tcW w:type="dxa" w:w="10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Net Changes </w:t>
            </w:r>
          </w:p>
        </w:tc>
        <w:tc>
          <w:tcPr>
            <w:tcW w:type="dxa" w:w="9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Balance, end </w:t>
            </w:r>
          </w:p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beginning of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reclassified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the fiscal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into net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during the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of the fiscal </w:t>
            </w:r>
          </w:p>
        </w:tc>
      </w:tr>
      <w:tr>
        <w:trPr>
          <w:trHeight w:hRule="exact" w:val="194"/>
        </w:trPr>
        <w:tc>
          <w:tcPr>
            <w:tcW w:type="dxa" w:w="1560"/>
            <w:vMerge/>
            <w:tcBorders>
              <w:bottom w:sz="8.0" w:val="single" w:color="#221F1F"/>
            </w:tcBorders>
          </w:tcPr>
          <w:p/>
        </w:tc>
        <w:tc>
          <w:tcPr>
            <w:tcW w:type="dxa" w:w="100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</w:t>
            </w:r>
          </w:p>
        </w:tc>
        <w:tc>
          <w:tcPr>
            <w:tcW w:type="dxa" w:w="77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 AOCL </w:t>
            </w:r>
          </w:p>
        </w:tc>
        <w:tc>
          <w:tcPr>
            <w:tcW w:type="dxa" w:w="93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income </w:t>
            </w:r>
          </w:p>
        </w:tc>
        <w:tc>
          <w:tcPr>
            <w:tcW w:type="dxa" w:w="102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period </w:t>
            </w:r>
          </w:p>
        </w:tc>
        <w:tc>
          <w:tcPr>
            <w:tcW w:type="dxa" w:w="924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year </w:t>
            </w:r>
          </w:p>
        </w:tc>
      </w:tr>
      <w:tr>
        <w:trPr>
          <w:trHeight w:hRule="exact" w:val="310"/>
        </w:trPr>
        <w:tc>
          <w:tcPr>
            <w:tcW w:type="dxa" w:w="46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Cumulative Translation Adjustments . . . . . . . . . . . . .</w:t>
            </w:r>
          </w:p>
        </w:tc>
        <w:tc>
          <w:tcPr>
            <w:tcW w:type="dxa" w:w="100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(790) </w:t>
            </w:r>
          </w:p>
        </w:tc>
        <w:tc>
          <w:tcPr>
            <w:tcW w:type="dxa" w:w="77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495 </w:t>
            </w:r>
          </w:p>
        </w:tc>
        <w:tc>
          <w:tcPr>
            <w:tcW w:type="dxa" w:w="93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0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495 </w:t>
            </w:r>
          </w:p>
        </w:tc>
        <w:tc>
          <w:tcPr>
            <w:tcW w:type="dxa" w:w="924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(295) </w:t>
            </w:r>
          </w:p>
        </w:tc>
      </w:tr>
      <w:tr>
        <w:trPr>
          <w:trHeight w:hRule="exact" w:val="248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DVA on Fair Value Option elected liabilities . . . . . . .</w:t>
            </w:r>
          </w:p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364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(60) </w:t>
            </w:r>
          </w:p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(13)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351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0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 Plans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1,387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2,131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(28)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2,103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3,490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48"/>
        </w:trPr>
        <w:tc>
          <w:tcPr>
            <w:tcW w:type="dxa" w:w="4672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 Plans . . . . . . . . . . . . . . . . . . . . . . . . . . . . . .</w:t>
            </w:r>
          </w:p>
        </w:tc>
        <w:tc>
          <w:tcPr>
            <w:tcW w:type="dxa" w:w="8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(43) </w:t>
            </w:r>
          </w:p>
        </w:tc>
        <w:tc>
          <w:tcPr>
            <w:tcW w:type="dxa" w:w="9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</w:p>
        </w:tc>
        <w:tc>
          <w:tcPr>
            <w:tcW w:type="dxa" w:w="10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6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(23) </w:t>
            </w:r>
          </w:p>
        </w:tc>
      </w:tr>
      <w:tr>
        <w:trPr>
          <w:trHeight w:hRule="exact" w:val="320"/>
        </w:trPr>
        <w:tc>
          <w:tcPr>
            <w:tcW w:type="dxa" w:w="450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AOCI . . . . . . . . . . . . . . . . . . . . . . . . . . . . . . . . .</w:t>
            </w:r>
          </w:p>
        </w:tc>
        <w:tc>
          <w:tcPr>
            <w:tcW w:type="dxa" w:w="106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918 </w:t>
            </w:r>
          </w:p>
        </w:tc>
        <w:tc>
          <w:tcPr>
            <w:tcW w:type="dxa" w:w="9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$2,566 </w:t>
            </w:r>
          </w:p>
        </w:tc>
        <w:tc>
          <w:tcPr>
            <w:tcW w:type="dxa" w:w="9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 </w:t>
            </w:r>
          </w:p>
        </w:tc>
        <w:tc>
          <w:tcPr>
            <w:tcW w:type="dxa" w:w="10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$2,605 </w:t>
            </w:r>
          </w:p>
        </w:tc>
        <w:tc>
          <w:tcPr>
            <w:tcW w:type="dxa" w:w="6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$3,523 </w:t>
            </w:r>
          </w:p>
        </w:tc>
      </w:tr>
      <w:tr>
        <w:trPr>
          <w:trHeight w:hRule="exact" w:val="510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5262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See Note K—Pension and Other Post Retirement Benefits. </w:t>
            </w:r>
          </w:p>
        </w:tc>
        <w:tc>
          <w:tcPr>
            <w:tcW w:type="dxa" w:w="9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J— FAIR VALUE DISCLOSURES 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Valuation Methods and Assumptions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 and June 30, 2024, IBRD had no assets or liabilities measured at fair value on a non-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recurring basis.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Due from Banks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carrying amount of unrestricted and restricted cash is considered a reasonable estimate of the fair value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positions.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Loans and Loan commitments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There were no loans carried at fair value as of June 30, 2025 or June 30, 2024. IBRD’s loans and loan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commitments would be classified as Level 3 within the fair value hierarchy.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Summarized below are the techniques applied in determining the fair values of IBRD’s financial instruments.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Investment securities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securities are classified based on management’s intention on the date of purchase, their nature,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policies governing the level and use of such investments. As of June 30, 2025, all of the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 in IBRD’s investment portfolio were classified as trading. These securities are carried and reported 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value, or at face value or NAV, which approximates fair value. Where available, quoted market prices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used to determine the fair value of trading securities. Examples include most government and agency securities,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mutual funds, exchange-traded equity securities and ABS.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instruments for which market quotations are not available, fair values are determined using model- based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valuation techniques, whether internally generated or vendor-supplied, that include the standard discounted cash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flow method using observable market inputs such as yield curves, credit spreads, and conditional prepayment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rates. Where applicable, unobservable inputs such as conditional prepayment rates, probability of default and loss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severity are used. Unless quoted prices are available, time deposits are reported at face value,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approximates fair value, as they are short term in nature. </w:t>
      </w:r>
    </w:p>
    <w:p>
      <w:pPr>
        <w:autoSpaceDN w:val="0"/>
        <w:autoSpaceDE w:val="0"/>
        <w:widowControl/>
        <w:spacing w:line="200" w:lineRule="exact" w:before="6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149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288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Securities purchased under resale agreements, Securities sold under repurchase agreements, and Securities </w:t>
      </w:r>
      <w:r>
        <w:rPr>
          <w:rFonts w:ascii="Times" w:hAnsi="Times" w:eastAsia="Times"/>
          <w:b/>
          <w:i/>
          <w:color w:val="044A72"/>
          <w:sz w:val="20"/>
        </w:rPr>
        <w:t xml:space="preserve">lent under securities lending agreements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securities are of a short-term nature and reported at face value, which approximates fair value.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Borrowings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(i) </w:t>
      </w:r>
      <w:r>
        <w:tab/>
      </w:r>
      <w:r>
        <w:rPr>
          <w:rFonts w:ascii="Times" w:hAnsi="Times" w:eastAsia="Times"/>
          <w:b w:val="0"/>
          <w:i/>
          <w:color w:val="044A72"/>
          <w:sz w:val="20"/>
        </w:rPr>
        <w:t xml:space="preserve">Discount notes and vanilla bonds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Discount notes and vanilla bonds issued by IBRD are valued using the standard discounted cash flow method,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relies on observable market inputs such as yield curves, foreign exchange rates, basis spreads and funding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spreads.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(ii) Structured bonds 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Structured bonds issued by IBRD have coupon or repayment terms linked to the level or the performance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rates, foreign exchange rates, equity indices, catastrophic events, or commodities. The fair value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structured bonds is generally derived using the discounted cash flow method based on estimated future pay-offs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determined by applicable models and computation of embedded optionality such as caps, floors and calls. A wide </w:t>
      </w:r>
      <w:r>
        <w:rPr>
          <w:rFonts w:ascii="Times" w:hAnsi="Times" w:eastAsia="Times"/>
          <w:b w:val="0"/>
          <w:i w:val="0"/>
          <w:color w:val="231F20"/>
          <w:sz w:val="20"/>
        </w:rPr>
        <w:t>range of industry standard models such as one factor Hull-White, Generalized Forward Market Model and Black-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Scholes are used depending on the specific structure. These models incorporate observable market inputs, such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yield curves, foreign exchange rates, basis spreads, funding spreads, interest rate volatilities, equity index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volatilities and equity indices. Where applicable, the models also incorporate significant unobservable inputs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as correlations between relevant market data and long-dated interest rate volatilities. Generally,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movements in correlations are considered to be independent of movements in long-dated interest rate volatilities.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 xml:space="preserve">(iii) Borrowings, at amortized cost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fair value of borrowings measured at amortized cost would be classified as Level 3 within the fair value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hierarchy.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Derivative instruments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contracts include currency forward contracts, TBA securities, swaptions, options and futures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contracts, currency swaps and interest rate swaps. Currency swaps and interest rate swaps are either plain vanilla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structured. Currency forward contracts and plain vanilla currency and interest rate swaps are valued using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standard discounted cash flow methods using observable market inputs such as yield curves, foreign exchange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rates, basis spreads and funding spreads. For structured currency and interest rate swaps, which primarily consist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callable swaps linked to interest rates, foreign exchange rates, and equity indices, valuation models and inputs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similar to the ones applicable to the valuation of structured bonds are used. Where applicable, the models also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incorporate significant unobservable inputs such as correlations and long-dated interest rate volatilities.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Valuation adjustments on fair value option elected liabilities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DVA on fair value option elected liabilities is measured by revaluing each liability to determine the changes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fair value of that liability arising from changes in IBRD’s funding spread applicable to the relevant reference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rate. </w:t>
      </w:r>
    </w:p>
    <w:p>
      <w:pPr>
        <w:autoSpaceDN w:val="0"/>
        <w:autoSpaceDE w:val="0"/>
        <w:widowControl/>
        <w:spacing w:line="200" w:lineRule="exact" w:before="17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150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table below presents IBRD’s estimates of fair value of its financial assets and liabilities along with their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respective carrying amounts: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J1: Fair value and carrying amount of financial assets and liabilities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74"/>
        </w:trPr>
        <w:tc>
          <w:tcPr>
            <w:tcW w:type="dxa" w:w="6984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4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2144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48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240"/>
        </w:trPr>
        <w:tc>
          <w:tcPr>
            <w:tcW w:type="dxa" w:w="621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Carrying Value </w:t>
            </w:r>
          </w:p>
        </w:tc>
        <w:tc>
          <w:tcPr>
            <w:tcW w:type="dxa" w:w="7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Fair Value </w:t>
            </w:r>
          </w:p>
        </w:tc>
        <w:tc>
          <w:tcPr>
            <w:tcW w:type="dxa" w:w="138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Carrying Value </w:t>
            </w:r>
          </w:p>
        </w:tc>
        <w:tc>
          <w:tcPr>
            <w:tcW w:type="dxa" w:w="76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Fair Value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Assets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Due from banks . . . . . . . . . . . . . . . . . . . . . . . . . . . . . . . . . . 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485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485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490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Investments-Trading (including Securities purchased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resale agreements)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102,688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102,688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82,807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82,807 </w:t>
            </w:r>
          </w:p>
        </w:tc>
      </w:tr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loans outstanding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280,043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278,883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260,236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257,415 </w:t>
            </w:r>
          </w:p>
        </w:tc>
      </w:tr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Derivative assets, net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456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456 </w:t>
            </w:r>
          </w:p>
        </w:tc>
      </w:tr>
      <w:tr>
        <w:trPr>
          <w:trHeight w:hRule="exact" w:val="24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Miscellaneous assets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88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Liabilities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at fair value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$305,679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$305,679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$261,790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$261,790 </w:t>
            </w:r>
          </w:p>
        </w:tc>
      </w:tr>
      <w:tr>
        <w:trPr>
          <w:trHeight w:hRule="exact" w:val="248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at amortized cost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tabs>
          <w:tab w:pos="320" w:val="left"/>
        </w:tabs>
        <w:autoSpaceDE w:val="0"/>
        <w:widowControl/>
        <w:spacing w:line="230" w:lineRule="exact" w:before="0" w:after="20"/>
        <w:ind w:left="120" w:right="432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sold/lent under repurchase agreements/securities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agreements and payable for cash collateral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received . . . . . . 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256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256 </w:t>
            </w:r>
          </w:p>
        </w:tc>
      </w:tr>
      <w:tr>
        <w:trPr>
          <w:trHeight w:hRule="exact" w:val="296"/>
        </w:trPr>
        <w:tc>
          <w:tcPr>
            <w:tcW w:type="dxa" w:w="50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Derivative liabilities, net . . . . . . . . . . . . . . . . . . . . . . . . . . . .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12,454 </w:t>
            </w:r>
          </w:p>
        </w:tc>
        <w:tc>
          <w:tcPr>
            <w:tcW w:type="dxa" w:w="10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12,454 </w:t>
            </w:r>
          </w:p>
        </w:tc>
        <w:tc>
          <w:tcPr>
            <w:tcW w:type="dxa" w:w="10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22,728 </w:t>
            </w:r>
          </w:p>
        </w:tc>
        <w:tc>
          <w:tcPr>
            <w:tcW w:type="dxa" w:w="8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240" w:lineRule="exact" w:before="29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IBRD’s signed loan commitments were $77 billion ($67 billion—June 30, 2024) and had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 of $(0.014) billion ($0.3 billion—June 30, 2024). </w:t>
      </w:r>
    </w:p>
    <w:p>
      <w:pPr>
        <w:autoSpaceDN w:val="0"/>
        <w:autoSpaceDE w:val="0"/>
        <w:widowControl/>
        <w:spacing w:line="200" w:lineRule="exact" w:before="65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151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present IBRD’s fair value hierarchy for assets and liabilities measured at fair value on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recurring basis. The fair value of the investments included in the Other fund investments that are measured using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NAV as a practical expedient are included in the table below but excluded from the fair value hierarchy.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J2: Fair value hierarchy of IBRD’s assets and liabilities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24"/>
        <w:ind w:left="6048" w:right="144" w:firstLine="0"/>
        <w:jc w:val="center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Fair Value Measurements on a Recurring Basis </w:t>
      </w:r>
      <w:r>
        <w:br/>
      </w: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30.0" w:type="dxa"/>
      </w:tblPr>
      <w:tblGrid>
        <w:gridCol w:w="2340"/>
        <w:gridCol w:w="2340"/>
        <w:gridCol w:w="2340"/>
        <w:gridCol w:w="2340"/>
      </w:tblGrid>
      <w:tr>
        <w:trPr>
          <w:trHeight w:hRule="exact" w:val="240"/>
        </w:trPr>
        <w:tc>
          <w:tcPr>
            <w:tcW w:type="dxa" w:w="6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1 </w:t>
            </w:r>
          </w:p>
        </w:tc>
        <w:tc>
          <w:tcPr>
            <w:tcW w:type="dxa" w:w="9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2 </w:t>
            </w:r>
          </w:p>
        </w:tc>
        <w:tc>
          <w:tcPr>
            <w:tcW w:type="dxa" w:w="7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3 </w:t>
            </w:r>
          </w:p>
        </w:tc>
        <w:tc>
          <w:tcPr>
            <w:tcW w:type="dxa" w:w="9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</w:tbl>
    <w:p>
      <w:pPr>
        <w:autoSpaceDN w:val="0"/>
        <w:autoSpaceDE w:val="0"/>
        <w:widowControl/>
        <w:spacing w:line="200" w:lineRule="exact" w:before="8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Assets: </w:t>
      </w:r>
    </w:p>
    <w:p>
      <w:pPr>
        <w:autoSpaceDN w:val="0"/>
        <w:autoSpaceDE w:val="0"/>
        <w:widowControl/>
        <w:spacing w:line="200" w:lineRule="exact" w:before="42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56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Government, agency and corporate obligations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Time deposits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ABS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fund investments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Equity securities . . . . . . . . . . . . . . . . . . . . . . . . . . . . . . . . . .</w:t>
            </w:r>
          </w:p>
        </w:tc>
        <w:tc>
          <w:tcPr>
            <w:tcW w:type="dxa" w:w="33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$15,957 $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28,194 $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44,151 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2,750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49,533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52,283 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3,210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3,210 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2,775 </w:t>
            </w:r>
          </w:p>
        </w:tc>
      </w:tr>
      <w:tr>
        <w:trPr>
          <w:trHeight w:hRule="exact" w:val="256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255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255 </w:t>
            </w:r>
          </w:p>
        </w:tc>
      </w:tr>
      <w:tr>
        <w:trPr>
          <w:trHeight w:hRule="exact" w:val="304"/>
        </w:trPr>
        <w:tc>
          <w:tcPr>
            <w:tcW w:type="dxa" w:w="567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Investments-Trading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Securities purchased under resale agreements . . . . . . . . . . . . . . .</w:t>
            </w:r>
          </w:p>
        </w:tc>
        <w:tc>
          <w:tcPr>
            <w:tcW w:type="dxa" w:w="3384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$18,962 $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81,353 $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$102,674 </w:t>
            </w:r>
          </w:p>
        </w:tc>
      </w:tr>
      <w:tr>
        <w:trPr>
          <w:trHeight w:hRule="exact" w:val="248"/>
        </w:trPr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14 $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assets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5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swaps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</w:t>
            </w:r>
          </w:p>
        </w:tc>
        <w:tc>
          <w:tcPr>
            <w:tcW w:type="dxa" w:w="22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4,926 $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189 $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5,115 </w:t>
            </w:r>
          </w:p>
        </w:tc>
      </w:tr>
      <w:tr>
        <w:trPr>
          <w:trHeight w:hRule="exact" w:val="240"/>
        </w:trPr>
        <w:tc>
          <w:tcPr>
            <w:tcW w:type="dxa" w:w="5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 . . . . . . . . . . . . . . . . . . . . . . . . . . . . . . . . .</w:t>
            </w:r>
          </w:p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7,392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7,559 </w:t>
            </w:r>
          </w:p>
        </w:tc>
      </w:tr>
      <w:tr>
        <w:trPr>
          <w:trHeight w:hRule="exact" w:val="256"/>
        </w:trPr>
        <w:tc>
          <w:tcPr>
            <w:tcW w:type="dxa" w:w="56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</w:t>
            </w:r>
          </w:p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</w:tr>
      <w:tr>
        <w:trPr>
          <w:trHeight w:hRule="exact" w:val="320"/>
        </w:trPr>
        <w:tc>
          <w:tcPr>
            <w:tcW w:type="dxa" w:w="56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Gross Total . . . . . . . . . . . . . . . . . . . . . . . . . . . . . . . . . . . . . . . . . .</w:t>
            </w:r>
          </w:p>
        </w:tc>
        <w:tc>
          <w:tcPr>
            <w:tcW w:type="dxa" w:w="2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160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12,318 $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356 $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12,676 </w:t>
            </w:r>
          </w:p>
        </w:tc>
      </w:tr>
      <w:tr>
        <w:trPr>
          <w:trHeight w:hRule="exact" w:val="312"/>
        </w:trPr>
        <w:tc>
          <w:tcPr>
            <w:tcW w:type="dxa" w:w="56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Miscellaneous assets . . . . . . . . . . . . . . . . . . . . . . . . . . . . . . . . . . .</w:t>
            </w:r>
          </w:p>
        </w:tc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115 $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115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Liabilities: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at fair value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$300,845 $4,834 $305,679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sold under repurchase agreements and securities lent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0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under securities lending agreements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312 $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312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liabilities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2"/>
        </w:trPr>
        <w:tc>
          <w:tcPr>
            <w:tcW w:type="dxa" w:w="3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swaps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</w:t>
            </w:r>
          </w:p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7,097 $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95 $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7,192 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17,331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192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17,523 </w:t>
            </w:r>
          </w:p>
        </w:tc>
      </w:tr>
      <w:tr>
        <w:trPr>
          <w:trHeight w:hRule="exact" w:val="268"/>
        </w:trPr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20"/>
        </w:trPr>
        <w:tc>
          <w:tcPr>
            <w:tcW w:type="dxa" w:w="3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Gross Total . . . . . . . . . . . . . . . . . . . . . . . . . . . . . . . . . . . . . . . . . .</w:t>
            </w:r>
          </w:p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1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24,428 $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287 $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24,715 </w:t>
            </w:r>
          </w:p>
        </w:tc>
      </w:tr>
      <w:tr>
        <w:trPr>
          <w:trHeight w:hRule="exact" w:val="308"/>
        </w:trPr>
        <w:tc>
          <w:tcPr>
            <w:tcW w:type="dxa" w:w="3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Accounts payable and miscellaneous liabilities . . . . . . . . . . . . . .</w:t>
            </w:r>
          </w:p>
        </w:tc>
        <w:tc>
          <w:tcPr>
            <w:tcW w:type="dxa" w:w="32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</w:tr>
      <w:tr>
        <w:trPr>
          <w:trHeight w:hRule="exact" w:val="120"/>
        </w:trPr>
        <w:tc>
          <w:tcPr>
            <w:tcW w:type="dxa" w:w="30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890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Investments held by LPF1 and GFPP of $416 million, which are carried at fair value and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investments in PEBP holdings of $2,359 million, which are carried at NAV and excluded from the fair value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hierarchy.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forward contracts.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swaptions, options, and futures contracts.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Excludes payable for cash collateral received. </w:t>
      </w:r>
    </w:p>
    <w:p>
      <w:pPr>
        <w:autoSpaceDN w:val="0"/>
        <w:autoSpaceDE w:val="0"/>
        <w:widowControl/>
        <w:spacing w:line="200" w:lineRule="exact" w:before="23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J2.1: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24"/>
        <w:ind w:left="6048" w:right="144" w:firstLine="0"/>
        <w:jc w:val="center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Fair Value Measurements on a Recurring Basis </w:t>
      </w:r>
      <w:r>
        <w:br/>
      </w: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30.0" w:type="dxa"/>
      </w:tblPr>
      <w:tblGrid>
        <w:gridCol w:w="2340"/>
        <w:gridCol w:w="2340"/>
        <w:gridCol w:w="2340"/>
        <w:gridCol w:w="2340"/>
      </w:tblGrid>
      <w:tr>
        <w:trPr>
          <w:trHeight w:hRule="exact" w:val="240"/>
        </w:trPr>
        <w:tc>
          <w:tcPr>
            <w:tcW w:type="dxa" w:w="6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1 </w:t>
            </w:r>
          </w:p>
        </w:tc>
        <w:tc>
          <w:tcPr>
            <w:tcW w:type="dxa" w:w="9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2 </w:t>
            </w:r>
          </w:p>
        </w:tc>
        <w:tc>
          <w:tcPr>
            <w:tcW w:type="dxa" w:w="7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3 </w:t>
            </w:r>
          </w:p>
        </w:tc>
        <w:tc>
          <w:tcPr>
            <w:tcW w:type="dxa" w:w="9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</w:tbl>
    <w:p>
      <w:pPr>
        <w:autoSpaceDN w:val="0"/>
        <w:tabs>
          <w:tab w:pos="520" w:val="left"/>
        </w:tabs>
        <w:autoSpaceDE w:val="0"/>
        <w:widowControl/>
        <w:spacing w:line="242" w:lineRule="exact" w:before="44" w:after="20"/>
        <w:ind w:left="120" w:right="7056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Assets: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56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Government agency and corporate obligations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Time deposits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ABS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fund investments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Equity securities . . . . . . . . . . . . . . . . . . . . . . . . . . . . . . . . . .</w:t>
            </w:r>
          </w:p>
        </w:tc>
        <w:tc>
          <w:tcPr>
            <w:tcW w:type="dxa" w:w="33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$12,940 $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19,413 $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32,353 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3,517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42,474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45,991 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1,880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1,880 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2,155 </w:t>
            </w:r>
          </w:p>
        </w:tc>
      </w:tr>
      <w:tr>
        <w:trPr>
          <w:trHeight w:hRule="exact" w:val="256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349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349 </w:t>
            </w:r>
          </w:p>
        </w:tc>
      </w:tr>
      <w:tr>
        <w:trPr>
          <w:trHeight w:hRule="exact" w:val="304"/>
        </w:trPr>
        <w:tc>
          <w:tcPr>
            <w:tcW w:type="dxa" w:w="567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Total Investments-Trading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Securities purchased under resale agreements . . . . . . . . . . . . . . .</w:t>
            </w:r>
          </w:p>
        </w:tc>
        <w:tc>
          <w:tcPr>
            <w:tcW w:type="dxa" w:w="3384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$16,806 $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63,767 $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82,728 </w:t>
            </w:r>
          </w:p>
        </w:tc>
      </w:tr>
      <w:tr>
        <w:trPr>
          <w:trHeight w:hRule="exact" w:val="248"/>
        </w:trPr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20 $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59 $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assets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5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swaps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</w:t>
            </w:r>
          </w:p>
        </w:tc>
        <w:tc>
          <w:tcPr>
            <w:tcW w:type="dxa" w:w="22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3,935 $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122 $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4,057 </w:t>
            </w:r>
          </w:p>
        </w:tc>
      </w:tr>
      <w:tr>
        <w:trPr>
          <w:trHeight w:hRule="exact" w:val="240"/>
        </w:trPr>
        <w:tc>
          <w:tcPr>
            <w:tcW w:type="dxa" w:w="5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 . . . . . . . . . . . . . . . . . . . . . . . . . . . . . . . . .</w:t>
            </w:r>
          </w:p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7,836 $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141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7,977 </w:t>
            </w:r>
          </w:p>
        </w:tc>
      </w:tr>
      <w:tr>
        <w:trPr>
          <w:trHeight w:hRule="exact" w:val="256"/>
        </w:trPr>
        <w:tc>
          <w:tcPr>
            <w:tcW w:type="dxa" w:w="56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</w:t>
            </w:r>
          </w:p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</w:tr>
      <w:tr>
        <w:trPr>
          <w:trHeight w:hRule="exact" w:val="320"/>
        </w:trPr>
        <w:tc>
          <w:tcPr>
            <w:tcW w:type="dxa" w:w="56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Gross Total . . . . . . . . . . . . . . . . . . . . . . . . . . . . . . . . . . . . . . . . . .</w:t>
            </w:r>
          </w:p>
        </w:tc>
        <w:tc>
          <w:tcPr>
            <w:tcW w:type="dxa" w:w="2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160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11,771 $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263 $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12,035 </w:t>
            </w:r>
          </w:p>
        </w:tc>
      </w:tr>
      <w:tr>
        <w:trPr>
          <w:trHeight w:hRule="exact" w:val="312"/>
        </w:trPr>
        <w:tc>
          <w:tcPr>
            <w:tcW w:type="dxa" w:w="56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Miscellaneous assets . . . . . . . . . . . . . . . . . . . . . . . . . . . . . . . . . . .</w:t>
            </w:r>
          </w:p>
        </w:tc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88 $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Liabilities: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at fair value . . . . . . . . . . . .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$257,735 $4,055 $261,790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sold under repurchase agreements and securities lent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0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under securities lending agreements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256 $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256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liabilities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2"/>
        </w:trPr>
        <w:tc>
          <w:tcPr>
            <w:tcW w:type="dxa" w:w="3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swaps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</w:t>
            </w:r>
          </w:p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9,816 $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91 $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9,907 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rate swaps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24,556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203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24,759 </w:t>
            </w:r>
          </w:p>
        </w:tc>
      </w:tr>
      <w:tr>
        <w:trPr>
          <w:trHeight w:hRule="exact" w:val="268"/>
        </w:trPr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20"/>
        </w:trPr>
        <w:tc>
          <w:tcPr>
            <w:tcW w:type="dxa" w:w="3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Gross Total . . . . . . . . . . . . . . . . . . . . . . . . . . . . . . . . . . . . . . . . . .</w:t>
            </w:r>
          </w:p>
        </w:tc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1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34,372 $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294 $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34,666 </w:t>
            </w:r>
          </w:p>
        </w:tc>
      </w:tr>
      <w:tr>
        <w:trPr>
          <w:trHeight w:hRule="exact" w:val="308"/>
        </w:trPr>
        <w:tc>
          <w:tcPr>
            <w:tcW w:type="dxa" w:w="3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Accounts payable and miscellaneous liabilities . . . . . . . . . . . . . .</w:t>
            </w:r>
          </w:p>
        </w:tc>
        <w:tc>
          <w:tcPr>
            <w:tcW w:type="dxa" w:w="32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170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— $</w:t>
            </w:r>
          </w:p>
        </w:tc>
        <w:tc>
          <w:tcPr>
            <w:tcW w:type="dxa" w:w="6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</w:tr>
      <w:tr>
        <w:trPr>
          <w:trHeight w:hRule="exact" w:val="120"/>
        </w:trPr>
        <w:tc>
          <w:tcPr>
            <w:tcW w:type="dxa" w:w="30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100" w:firstLine="0"/>
              <w:jc w:val="both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c.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d. 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1070"/>
        </w:trPr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890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00" w:right="1728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Investments at NAV related to PEBP holdings, not included in the fair value hierarchy.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forward contracts. 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swaptions, options, and futures contracts. 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Excludes payable for cash collateral received. </w:t>
            </w:r>
          </w:p>
        </w:tc>
      </w:tr>
    </w:tbl>
    <w:p>
      <w:pPr>
        <w:autoSpaceDN w:val="0"/>
        <w:autoSpaceDE w:val="0"/>
        <w:widowControl/>
        <w:spacing w:line="240" w:lineRule="exact" w:before="18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Level 3 borrowings primarily relate to structured bonds. The fair value of these bonds is estimated using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discounted cash flow valuation models that incorporate model parameters, observable market inputs,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unobservable inputs. The significant unobservable inputs used in the fair value measurement of structured bonds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swaps are correlations and long-dated market interest rate volatilities. Generally, the movements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correlations are considered to be independent of the movements in long-dated interest rate volatilities.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Correlation is the statistical measurement of the relationship between two variables. For contracts where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holder benefits from the convergence of the underlying index prices (e.g., market interest rates and foreign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exchange rates), an increase in correlation would generally result in an increase in the fair value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instrument. The magnitude and direction of the fair value adjustment would depend on whether the holder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short or long the option. 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rate volatility is the extent to which the level of interest rates change over time. For purchased options,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increase in volatility will generally result in an increase in the fair value. In general, the volatility used to price </w:t>
      </w:r>
    </w:p>
    <w:p>
      <w:pPr>
        <w:autoSpaceDN w:val="0"/>
        <w:autoSpaceDE w:val="0"/>
        <w:widowControl/>
        <w:spacing w:line="200" w:lineRule="exact" w:before="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option depends on the maturity of the underlying instrument and the option strike price. During the fiscal year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ended June 30, 2025 and the fiscal year ended June 30, 2024, the interest rate volatilities for certain currencies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extrapolated for certain tenors and, thus, are considered an unobservable input.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entered into transactions which have an embedded option associated with an equity index. Valuation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inputs of such transactions include, among other valuation inputs, volatilities of the equity indices, that are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extent to which the level of equity index changes over time. These index volatility levels are consistent with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respective index construction methodologies and historical movements. Similar to the impact of the volatility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other asset classes described above, an increase in the equity index volatility will result in an increase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of the purchase option and vice versa. </w:t>
      </w:r>
    </w:p>
    <w:p>
      <w:pPr>
        <w:autoSpaceDN w:val="0"/>
        <w:autoSpaceDE w:val="0"/>
        <w:widowControl/>
        <w:spacing w:line="240" w:lineRule="exact" w:before="2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certain instances, particularly for instruments with coupon or repayment terms linked to catastrophic events,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relies on instrument valuations supplied by external pricing vendors.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provides a summary of the valuation technique applied in determining fair values of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Level 3 instruments and quantitative information regarding the significant unobservable inputs used. Level 3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 represent 2% of IBRD’s borrowings. </w:t>
      </w:r>
    </w:p>
    <w:p>
      <w:pPr>
        <w:autoSpaceDN w:val="0"/>
        <w:autoSpaceDE w:val="0"/>
        <w:widowControl/>
        <w:spacing w:line="240" w:lineRule="exact" w:before="358" w:after="0"/>
        <w:ind w:left="120" w:right="14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J3: Level 3 Borrowings and derivatives valuation technique and quantitative information regarding 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the significant unobservable inputs: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40"/>
        </w:trPr>
        <w:tc>
          <w:tcPr>
            <w:tcW w:type="dxa" w:w="1848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Portfolio </w:t>
            </w:r>
          </w:p>
        </w:tc>
        <w:tc>
          <w:tcPr>
            <w:tcW w:type="dxa" w:w="9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Fair Value </w:t>
            </w:r>
          </w:p>
        </w:tc>
        <w:tc>
          <w:tcPr>
            <w:tcW w:type="dxa" w:w="9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Fair Value </w:t>
            </w:r>
          </w:p>
        </w:tc>
        <w:tc>
          <w:tcPr>
            <w:tcW w:type="dxa" w:w="93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Valuation </w:t>
            </w:r>
          </w:p>
        </w:tc>
        <w:tc>
          <w:tcPr>
            <w:tcW w:type="dxa" w:w="111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Unobservable </w:t>
            </w:r>
          </w:p>
        </w:tc>
        <w:tc>
          <w:tcPr>
            <w:tcW w:type="dxa" w:w="168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3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Range (average), </w:t>
            </w:r>
          </w:p>
        </w:tc>
        <w:tc>
          <w:tcPr>
            <w:tcW w:type="dxa" w:w="161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4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Range (average), </w:t>
            </w:r>
          </w:p>
        </w:tc>
      </w:tr>
      <w:tr>
        <w:trPr>
          <w:trHeight w:hRule="exact" w:val="160"/>
        </w:trPr>
        <w:tc>
          <w:tcPr>
            <w:tcW w:type="dxa" w:w="1337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as of June 30, </w:t>
            </w:r>
          </w:p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94"/>
        </w:trPr>
        <w:tc>
          <w:tcPr>
            <w:tcW w:type="dxa" w:w="1337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96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96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93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Technique </w:t>
            </w:r>
          </w:p>
        </w:tc>
        <w:tc>
          <w:tcPr>
            <w:tcW w:type="dxa" w:w="111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input </w:t>
            </w:r>
          </w:p>
        </w:tc>
        <w:tc>
          <w:tcPr>
            <w:tcW w:type="dxa" w:w="168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161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44"/>
        <w:ind w:left="0" w:right="88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 Correlations -14% to 80% (10%) -11% to 84% (7%)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88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 . . . . . . . .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$4,834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$4,055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Discounted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rate </w:t>
            </w:r>
          </w:p>
        </w:tc>
        <w:tc>
          <w:tcPr>
            <w:tcW w:type="dxa" w:w="33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66% to 72% (70%) 65% to 77% (73%) </w:t>
            </w:r>
          </w:p>
        </w:tc>
      </w:tr>
      <w:tr>
        <w:trPr>
          <w:trHeight w:hRule="exact" w:val="272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Cash Flow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volatilities 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76" w:after="20"/>
        <w:ind w:left="0" w:right="338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 index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0.0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volatilities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5% to 15% (10%)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5% to 15% (9%)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44"/>
        <w:ind w:left="0" w:right="88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 Correlations -14% to 80% (10%) -11% to 84% (7%)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8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Derivative assets/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(31)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Discounted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rate </w:t>
            </w:r>
          </w:p>
        </w:tc>
        <w:tc>
          <w:tcPr>
            <w:tcW w:type="dxa" w:w="33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66% to 72% (70%) 65% to 77% (73%) </w:t>
            </w:r>
          </w:p>
        </w:tc>
      </w:tr>
      <w:tr>
        <w:trPr>
          <w:trHeight w:hRule="exact" w:val="27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(liabilities), net . . .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Cash Flow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volatilities </w:t>
            </w:r>
          </w:p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76" w:after="20"/>
        <w:ind w:left="0" w:right="338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 index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88"/>
        </w:trPr>
        <w:tc>
          <w:tcPr>
            <w:tcW w:type="dxa" w:w="5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volatilities </w:t>
            </w:r>
          </w:p>
        </w:tc>
        <w:tc>
          <w:tcPr>
            <w:tcW w:type="dxa" w:w="1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5% to 15% (10%) </w:t>
            </w:r>
          </w:p>
        </w:tc>
        <w:tc>
          <w:tcPr>
            <w:tcW w:type="dxa" w:w="1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5% to 15% (9%) </w:t>
            </w:r>
          </w:p>
        </w:tc>
      </w:tr>
    </w:tbl>
    <w:p>
      <w:pPr>
        <w:autoSpaceDN w:val="0"/>
        <w:autoSpaceDE w:val="0"/>
        <w:widowControl/>
        <w:spacing w:line="200" w:lineRule="exact" w:before="405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tables below provide the details of transfers between Level 2 and Level 3 that are due to changes in 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observable inputs.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J4: Borrowings and derivatives inter level transfers </w:t>
      </w:r>
    </w:p>
    <w:p>
      <w:pPr>
        <w:autoSpaceDN w:val="0"/>
        <w:autoSpaceDE w:val="0"/>
        <w:widowControl/>
        <w:spacing w:line="180" w:lineRule="exact" w:before="154" w:after="5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60"/>
        </w:trPr>
        <w:tc>
          <w:tcPr>
            <w:tcW w:type="dxa" w:w="60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4" w:after="0"/>
              <w:ind w:left="0" w:right="3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Level 2</w:t>
            </w:r>
          </w:p>
        </w:tc>
        <w:tc>
          <w:tcPr>
            <w:tcW w:type="dxa" w:w="4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4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Level 3</w:t>
            </w:r>
          </w:p>
        </w:tc>
        <w:tc>
          <w:tcPr>
            <w:tcW w:type="dxa" w:w="8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4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Level 2</w:t>
            </w:r>
          </w:p>
        </w:tc>
        <w:tc>
          <w:tcPr>
            <w:tcW w:type="dxa" w:w="4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4" w:after="0"/>
              <w:ind w:left="3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Level 3</w:t>
            </w:r>
          </w:p>
        </w:tc>
      </w:tr>
    </w:tbl>
    <w:p>
      <w:pPr>
        <w:autoSpaceDN w:val="0"/>
        <w:autoSpaceDE w:val="0"/>
        <w:widowControl/>
        <w:spacing w:line="180" w:lineRule="exact" w:before="80" w:after="1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4"/>
        </w:trPr>
        <w:tc>
          <w:tcPr>
            <w:tcW w:type="dxa" w:w="5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 into (out of) . . . . . . . . . . . . . . . . . . . . . . . . . . . . . . . . . . . . . . . .</w:t>
            </w:r>
          </w:p>
        </w:tc>
        <w:tc>
          <w:tcPr>
            <w:tcW w:type="dxa" w:w="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 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(91) 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90 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$(90) </w:t>
            </w:r>
          </w:p>
        </w:tc>
      </w:tr>
      <w:tr>
        <w:trPr>
          <w:trHeight w:hRule="exact" w:val="276"/>
        </w:trPr>
        <w:tc>
          <w:tcPr>
            <w:tcW w:type="dxa" w:w="55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 (out of) into . . . . . . . . . . . . . . . . . . . . . . . . . . . . . . . . . . . . . . . .</w:t>
            </w:r>
          </w:p>
        </w:tc>
        <w:tc>
          <w:tcPr>
            <w:tcW w:type="dxa" w:w="10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(103) </w:t>
            </w:r>
          </w:p>
        </w:tc>
        <w:tc>
          <w:tcPr>
            <w:tcW w:type="dxa" w:w="10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$103 </w:t>
            </w:r>
          </w:p>
        </w:tc>
        <w:tc>
          <w:tcPr>
            <w:tcW w:type="dxa" w:w="9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(46) </w:t>
            </w:r>
          </w:p>
        </w:tc>
        <w:tc>
          <w:tcPr>
            <w:tcW w:type="dxa" w:w="5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 </w:t>
            </w:r>
          </w:p>
        </w:tc>
      </w:tr>
      <w:tr>
        <w:trPr>
          <w:trHeight w:hRule="exact" w:val="336"/>
        </w:trPr>
        <w:tc>
          <w:tcPr>
            <w:tcW w:type="dxa" w:w="55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(12) </w:t>
            </w:r>
          </w:p>
        </w:tc>
        <w:tc>
          <w:tcPr>
            <w:tcW w:type="dxa" w:w="10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 </w:t>
            </w:r>
          </w:p>
        </w:tc>
        <w:tc>
          <w:tcPr>
            <w:tcW w:type="dxa" w:w="9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 </w:t>
            </w:r>
          </w:p>
        </w:tc>
        <w:tc>
          <w:tcPr>
            <w:tcW w:type="dxa" w:w="58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$(44) </w:t>
            </w:r>
          </w:p>
        </w:tc>
      </w:tr>
    </w:tbl>
    <w:p>
      <w:pPr>
        <w:autoSpaceDN w:val="0"/>
        <w:autoSpaceDE w:val="0"/>
        <w:widowControl/>
        <w:spacing w:line="180" w:lineRule="exact" w:before="110" w:after="1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Derivative assets,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04"/>
        </w:trPr>
        <w:tc>
          <w:tcPr>
            <w:tcW w:type="dxa" w:w="5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 into (out of) . . . . . . . . . . . . . . . . . . . . . . . . . . . . . . . . . . . . . . . .</w:t>
            </w:r>
          </w:p>
        </w:tc>
        <w:tc>
          <w:tcPr>
            <w:tcW w:type="dxa" w:w="17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 </w:t>
            </w:r>
          </w:p>
        </w:tc>
        <w:tc>
          <w:tcPr>
            <w:tcW w:type="dxa" w:w="1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(10) 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 </w:t>
            </w:r>
          </w:p>
        </w:tc>
        <w:tc>
          <w:tcPr>
            <w:tcW w:type="dxa" w:w="5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$(96) </w:t>
            </w:r>
          </w:p>
        </w:tc>
      </w:tr>
      <w:tr>
        <w:trPr>
          <w:trHeight w:hRule="exact" w:val="276"/>
        </w:trPr>
        <w:tc>
          <w:tcPr>
            <w:tcW w:type="dxa" w:w="55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 (out of) into . . . . . . . . . . . . . . . . . . . . . . . . . . . . . . . . . . . . . . . .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  <w:tc>
          <w:tcPr>
            <w:tcW w:type="dxa" w:w="8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(3) </w:t>
            </w:r>
          </w:p>
        </w:tc>
        <w:tc>
          <w:tcPr>
            <w:tcW w:type="dxa" w:w="1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1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9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(1) </w:t>
            </w:r>
          </w:p>
        </w:tc>
        <w:tc>
          <w:tcPr>
            <w:tcW w:type="dxa" w:w="1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4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</w:tr>
      <w:tr>
        <w:trPr>
          <w:trHeight w:hRule="exact" w:val="334"/>
        </w:trPr>
        <w:tc>
          <w:tcPr>
            <w:tcW w:type="dxa" w:w="55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2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100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(7) </w:t>
            </w:r>
          </w:p>
        </w:tc>
        <w:tc>
          <w:tcPr>
            <w:tcW w:type="dxa" w:w="9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95 </w:t>
            </w:r>
          </w:p>
        </w:tc>
        <w:tc>
          <w:tcPr>
            <w:tcW w:type="dxa" w:w="58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$(95) </w:t>
            </w:r>
          </w:p>
        </w:tc>
      </w:tr>
    </w:tbl>
    <w:p>
      <w:pPr>
        <w:autoSpaceDN w:val="0"/>
        <w:autoSpaceDE w:val="0"/>
        <w:widowControl/>
        <w:spacing w:line="180" w:lineRule="exact" w:before="72" w:after="14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Derivative liabilities,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04"/>
        </w:trPr>
        <w:tc>
          <w:tcPr>
            <w:tcW w:type="dxa" w:w="5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 (into) out of . . . . . . . . . . . . . . . . . . . . . . . . . . . . . . . . . . . . . . . .</w:t>
            </w:r>
          </w:p>
        </w:tc>
        <w:tc>
          <w:tcPr>
            <w:tcW w:type="dxa" w:w="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(1) </w:t>
            </w:r>
          </w:p>
        </w:tc>
        <w:tc>
          <w:tcPr>
            <w:tcW w:type="dxa" w:w="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$(63)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 </w:t>
            </w:r>
          </w:p>
        </w:tc>
      </w:tr>
      <w:tr>
        <w:trPr>
          <w:trHeight w:hRule="exact" w:val="276"/>
        </w:trPr>
        <w:tc>
          <w:tcPr>
            <w:tcW w:type="dxa" w:w="55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 out of (into) . . . . . . . . . . . . . . . . . . . . . . . . . . . . . . . . . . . . . . . .</w:t>
            </w:r>
          </w:p>
        </w:tc>
        <w:tc>
          <w:tcPr>
            <w:tcW w:type="dxa" w:w="1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 </w:t>
            </w:r>
          </w:p>
        </w:tc>
        <w:tc>
          <w:tcPr>
            <w:tcW w:type="dxa" w:w="100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(21) </w:t>
            </w:r>
          </w:p>
        </w:tc>
        <w:tc>
          <w:tcPr>
            <w:tcW w:type="dxa" w:w="1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5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(7) </w:t>
            </w:r>
          </w:p>
        </w:tc>
      </w:tr>
      <w:tr>
        <w:trPr>
          <w:trHeight w:hRule="exact" w:val="320"/>
        </w:trPr>
        <w:tc>
          <w:tcPr>
            <w:tcW w:type="dxa" w:w="553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100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(20) </w:t>
            </w:r>
          </w:p>
        </w:tc>
        <w:tc>
          <w:tcPr>
            <w:tcW w:type="dxa" w:w="986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(56) </w:t>
            </w:r>
          </w:p>
        </w:tc>
        <w:tc>
          <w:tcPr>
            <w:tcW w:type="dxa" w:w="5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56 </w:t>
            </w:r>
          </w:p>
        </w:tc>
      </w:tr>
      <w:tr>
        <w:trPr>
          <w:trHeight w:hRule="exact" w:val="320"/>
        </w:trPr>
        <w:tc>
          <w:tcPr>
            <w:tcW w:type="dxa" w:w="553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Derivative Transfers,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</w:t>
            </w:r>
          </w:p>
        </w:tc>
        <w:tc>
          <w:tcPr>
            <w:tcW w:type="dxa" w:w="1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 </w:t>
            </w:r>
          </w:p>
        </w:tc>
        <w:tc>
          <w:tcPr>
            <w:tcW w:type="dxa" w:w="1002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(27) </w:t>
            </w:r>
          </w:p>
        </w:tc>
        <w:tc>
          <w:tcPr>
            <w:tcW w:type="dxa" w:w="986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 </w:t>
            </w:r>
          </w:p>
        </w:tc>
        <w:tc>
          <w:tcPr>
            <w:tcW w:type="dxa" w:w="5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$(39) </w:t>
            </w:r>
          </w:p>
        </w:tc>
      </w:tr>
      <w:tr>
        <w:trPr>
          <w:trHeight w:hRule="exact" w:val="168"/>
        </w:trPr>
        <w:tc>
          <w:tcPr>
            <w:tcW w:type="dxa" w:w="553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5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3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provide a summary of changes in the fair value of IBRD’s Level 3 borrowings and 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J5: Borrowings Level 3 changes </w:t>
      </w:r>
    </w:p>
    <w:p>
      <w:pPr>
        <w:autoSpaceDN w:val="0"/>
        <w:autoSpaceDE w:val="0"/>
        <w:widowControl/>
        <w:spacing w:line="180" w:lineRule="exact" w:before="154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20"/>
        </w:trPr>
        <w:tc>
          <w:tcPr>
            <w:tcW w:type="dxa" w:w="71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2025 </w:t>
            </w:r>
          </w:p>
        </w:tc>
        <w:tc>
          <w:tcPr>
            <w:tcW w:type="dxa" w:w="9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June 30, 2024 </w:t>
            </w:r>
          </w:p>
        </w:tc>
      </w:tr>
      <w:tr>
        <w:trPr>
          <w:trHeight w:hRule="exact" w:val="276"/>
        </w:trPr>
        <w:tc>
          <w:tcPr>
            <w:tcW w:type="dxa" w:w="711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Beginning of the fiscal year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$4,055 </w:t>
            </w:r>
          </w:p>
        </w:tc>
        <w:tc>
          <w:tcPr>
            <w:tcW w:type="dxa" w:w="9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$3,607 </w:t>
            </w:r>
          </w:p>
        </w:tc>
      </w:tr>
      <w:tr>
        <w:trPr>
          <w:trHeight w:hRule="exact" w:val="220"/>
        </w:trPr>
        <w:tc>
          <w:tcPr>
            <w:tcW w:type="dxa" w:w="7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Issuances . . . . . . . . . .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796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1,054 </w:t>
            </w:r>
          </w:p>
        </w:tc>
      </w:tr>
      <w:tr>
        <w:trPr>
          <w:trHeight w:hRule="exact" w:val="232"/>
        </w:trPr>
        <w:tc>
          <w:tcPr>
            <w:tcW w:type="dxa" w:w="7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Settlements . . . . . . . .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(430)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(831) 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Total realized/unrealized mark-to-market losses (gains)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08"/>
        </w:trPr>
        <w:tc>
          <w:tcPr>
            <w:tcW w:type="dxa" w:w="7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income . . . . . .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335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352 </w:t>
            </w:r>
          </w:p>
        </w:tc>
      </w:tr>
      <w:tr>
        <w:trPr>
          <w:trHeight w:hRule="exact" w:val="220"/>
        </w:trPr>
        <w:tc>
          <w:tcPr>
            <w:tcW w:type="dxa" w:w="7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comprehensive income . . . . . . . . . . . . . . . . . . . . . . . . . . . . . . . . . . . . . . . . . . . . . . . . . . .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66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(83) </w:t>
            </w:r>
          </w:p>
        </w:tc>
      </w:tr>
      <w:tr>
        <w:trPr>
          <w:trHeight w:hRule="exact" w:val="244"/>
        </w:trPr>
        <w:tc>
          <w:tcPr>
            <w:tcW w:type="dxa" w:w="73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Transfers (from) to Level 3, net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 </w:t>
            </w:r>
          </w:p>
        </w:tc>
        <w:tc>
          <w:tcPr>
            <w:tcW w:type="dxa" w:w="7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(44) </w:t>
            </w:r>
          </w:p>
        </w:tc>
      </w:tr>
      <w:tr>
        <w:trPr>
          <w:trHeight w:hRule="exact" w:val="300"/>
        </w:trPr>
        <w:tc>
          <w:tcPr>
            <w:tcW w:type="dxa" w:w="73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End of the fiscal year . . . . . . . . . . . . . . . . . . . . . . . . . . . . . . . . . . . . . . . . . . . . . . . . . . . . . . . . . . .</w:t>
            </w:r>
          </w:p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$4,834 </w:t>
            </w:r>
          </w:p>
        </w:tc>
        <w:tc>
          <w:tcPr>
            <w:tcW w:type="dxa" w:w="7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$4,055 </w:t>
            </w:r>
          </w:p>
        </w:tc>
      </w:tr>
      <w:tr>
        <w:trPr>
          <w:trHeight w:hRule="exact" w:val="160"/>
        </w:trPr>
        <w:tc>
          <w:tcPr>
            <w:tcW w:type="dxa" w:w="73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84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J6: Derivatives Level 3 changes </w:t>
      </w:r>
    </w:p>
    <w:p>
      <w:pPr>
        <w:autoSpaceDN w:val="0"/>
        <w:autoSpaceDE w:val="0"/>
        <w:widowControl/>
        <w:spacing w:line="180" w:lineRule="exact" w:before="154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60"/>
        </w:trPr>
        <w:tc>
          <w:tcPr>
            <w:tcW w:type="dxa" w:w="464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6" w:after="0"/>
              <w:ind w:left="0" w:right="10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2270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240"/>
        </w:trPr>
        <w:tc>
          <w:tcPr>
            <w:tcW w:type="dxa" w:w="464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8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Derivatives, Assets/(Liabilities) </w:t>
            </w:r>
          </w:p>
        </w:tc>
        <w:tc>
          <w:tcPr>
            <w:tcW w:type="dxa" w:w="2270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Derivatives, Assets/(Liabilities) </w:t>
            </w:r>
          </w:p>
        </w:tc>
      </w:tr>
      <w:tr>
        <w:trPr>
          <w:trHeight w:hRule="exact" w:val="200"/>
        </w:trPr>
        <w:tc>
          <w:tcPr>
            <w:tcW w:type="dxa" w:w="464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Currency </w:t>
            </w:r>
          </w:p>
        </w:tc>
        <w:tc>
          <w:tcPr>
            <w:tcW w:type="dxa" w:w="159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Interest </w:t>
            </w:r>
          </w:p>
        </w:tc>
        <w:tc>
          <w:tcPr>
            <w:tcW w:type="dxa" w:w="71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Currency </w:t>
            </w:r>
          </w:p>
        </w:tc>
        <w:tc>
          <w:tcPr>
            <w:tcW w:type="dxa" w:w="156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2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Interest </w:t>
            </w:r>
          </w:p>
        </w:tc>
      </w:tr>
      <w:tr>
        <w:trPr>
          <w:trHeight w:hRule="exact" w:val="200"/>
        </w:trPr>
        <w:tc>
          <w:tcPr>
            <w:tcW w:type="dxa" w:w="117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7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Swaps </w:t>
            </w:r>
          </w:p>
        </w:tc>
        <w:tc>
          <w:tcPr>
            <w:tcW w:type="dxa" w:w="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Rate Swaps </w:t>
            </w:r>
          </w:p>
        </w:tc>
        <w:tc>
          <w:tcPr>
            <w:tcW w:type="dxa" w:w="6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71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Swaps </w:t>
            </w:r>
          </w:p>
        </w:tc>
        <w:tc>
          <w:tcPr>
            <w:tcW w:type="dxa" w:w="9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Rate Swaps 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284"/>
        </w:trPr>
        <w:tc>
          <w:tcPr>
            <w:tcW w:type="dxa" w:w="464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Beginning of the fiscal year . . . . . . . . . . . . . . . . . . . . . . . . . . .</w:t>
            </w:r>
          </w:p>
        </w:tc>
        <w:tc>
          <w:tcPr>
            <w:tcW w:type="dxa" w:w="7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31 </w:t>
            </w:r>
          </w:p>
        </w:tc>
        <w:tc>
          <w:tcPr>
            <w:tcW w:type="dxa" w:w="9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 (62) </w:t>
            </w:r>
          </w:p>
        </w:tc>
        <w:tc>
          <w:tcPr>
            <w:tcW w:type="dxa" w:w="6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 (31) </w:t>
            </w:r>
          </w:p>
        </w:tc>
        <w:tc>
          <w:tcPr>
            <w:tcW w:type="dxa" w:w="2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 </w:t>
            </w:r>
          </w:p>
        </w:tc>
        <w:tc>
          <w:tcPr>
            <w:tcW w:type="dxa" w:w="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$(134) </w:t>
            </w:r>
          </w:p>
        </w:tc>
        <w:tc>
          <w:tcPr>
            <w:tcW w:type="dxa" w:w="6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$(121) </w:t>
            </w:r>
          </w:p>
        </w:tc>
      </w:tr>
      <w:tr>
        <w:trPr>
          <w:trHeight w:hRule="exact" w:val="220"/>
        </w:trPr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Issuances . . . . . . . . . . . . . . . . . . . . . . . . . . . . . . . . . . . . . . . . .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(78)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(78) </w:t>
            </w:r>
          </w:p>
        </w:tc>
      </w:tr>
      <w:tr>
        <w:trPr>
          <w:trHeight w:hRule="exact" w:val="222"/>
        </w:trPr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Settlements . . . . . . . . . . . . . . . . . . . . . . . . . . . . . . . . . . . . . . . .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44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(53)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(9) </w:t>
            </w:r>
          </w:p>
        </w:tc>
        <w:tc>
          <w:tcPr>
            <w:tcW w:type="dxa" w:w="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52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65 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Total realized/unrealized mark-to- market gains (losses)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18"/>
        </w:trPr>
        <w:tc>
          <w:tcPr>
            <w:tcW w:type="dxa" w:w="4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income . . . . . . . . . . . . . . . . . . . . . . . . . . . . . . . . . . . . . .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27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96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123 </w:t>
            </w:r>
          </w:p>
        </w:tc>
        <w:tc>
          <w:tcPr>
            <w:tcW w:type="dxa" w:w="8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162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76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238 </w:t>
            </w:r>
          </w:p>
        </w:tc>
      </w:tr>
      <w:tr>
        <w:trPr>
          <w:trHeight w:hRule="exact" w:val="220"/>
        </w:trPr>
        <w:tc>
          <w:tcPr>
            <w:tcW w:type="dxa" w:w="4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comprehensive income . . . . . . . . . . . . . . . . . . . . . . .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18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(5)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13 </w:t>
            </w:r>
          </w:p>
        </w:tc>
        <w:tc>
          <w:tcPr>
            <w:tcW w:type="dxa" w:w="8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(96)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(96) </w:t>
            </w:r>
          </w:p>
        </w:tc>
      </w:tr>
      <w:tr>
        <w:trPr>
          <w:trHeight w:hRule="exact" w:val="236"/>
        </w:trPr>
        <w:tc>
          <w:tcPr>
            <w:tcW w:type="dxa" w:w="47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Transfers (from) to Level 3, net . . . . . . . . . . . . . . . . . . . . . . . .</w:t>
            </w:r>
          </w:p>
        </w:tc>
        <w:tc>
          <w:tcPr>
            <w:tcW w:type="dxa" w:w="8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(27) 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— </w:t>
            </w:r>
          </w:p>
        </w:tc>
        <w:tc>
          <w:tcPr>
            <w:tcW w:type="dxa" w:w="6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(27) </w:t>
            </w:r>
          </w:p>
        </w:tc>
        <w:tc>
          <w:tcPr>
            <w:tcW w:type="dxa" w:w="87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(100) </w:t>
            </w:r>
          </w:p>
        </w:tc>
        <w:tc>
          <w:tcPr>
            <w:tcW w:type="dxa" w:w="7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61 </w:t>
            </w:r>
          </w:p>
        </w:tc>
        <w:tc>
          <w:tcPr>
            <w:tcW w:type="dxa" w:w="5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(39) </w:t>
            </w:r>
          </w:p>
        </w:tc>
      </w:tr>
      <w:tr>
        <w:trPr>
          <w:trHeight w:hRule="exact" w:val="300"/>
        </w:trPr>
        <w:tc>
          <w:tcPr>
            <w:tcW w:type="dxa" w:w="47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End of the fiscal year . . . . . . . . . . . . . . . . . . . . . . . . . . . . . . . .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93 </w:t>
            </w:r>
          </w:p>
        </w:tc>
        <w:tc>
          <w:tcPr>
            <w:tcW w:type="dxa" w:w="7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 (24) </w:t>
            </w:r>
          </w:p>
        </w:tc>
        <w:tc>
          <w:tcPr>
            <w:tcW w:type="dxa" w:w="6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69 </w:t>
            </w:r>
          </w:p>
        </w:tc>
        <w:tc>
          <w:tcPr>
            <w:tcW w:type="dxa" w:w="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31 </w:t>
            </w:r>
          </w:p>
        </w:tc>
        <w:tc>
          <w:tcPr>
            <w:tcW w:type="dxa" w:w="7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(62) </w:t>
            </w:r>
          </w:p>
        </w:tc>
        <w:tc>
          <w:tcPr>
            <w:tcW w:type="dxa" w:w="5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(31) </w:t>
            </w:r>
          </w:p>
        </w:tc>
      </w:tr>
      <w:tr>
        <w:trPr>
          <w:trHeight w:hRule="exact" w:val="168"/>
        </w:trPr>
        <w:tc>
          <w:tcPr>
            <w:tcW w:type="dxa" w:w="47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74" w:after="0"/>
        <w:ind w:left="120" w:right="74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Information on the unrealized gains or losses included in the Statements of Income and Statements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Comprehensive Income relating to IBRD’s Level 3 borrowings and derivatives that are still held at the reporting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dates, is presented in the following table: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J7: Unrealized gains or losses relating to IBRD’s Level 3 borrowings and derivatives </w:t>
      </w:r>
    </w:p>
    <w:p>
      <w:pPr>
        <w:autoSpaceDN w:val="0"/>
        <w:autoSpaceDE w:val="0"/>
        <w:widowControl/>
        <w:spacing w:line="180" w:lineRule="exact" w:before="154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1"/>
        <w:gridCol w:w="3121"/>
        <w:gridCol w:w="3121"/>
      </w:tblGrid>
      <w:tr>
        <w:trPr>
          <w:trHeight w:hRule="exact" w:val="276"/>
        </w:trPr>
        <w:tc>
          <w:tcPr>
            <w:tcW w:type="dxa" w:w="798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42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</w:tbl>
    <w:p>
      <w:pPr>
        <w:autoSpaceDN w:val="0"/>
        <w:tabs>
          <w:tab w:pos="300" w:val="left"/>
        </w:tabs>
        <w:autoSpaceDE w:val="0"/>
        <w:widowControl/>
        <w:spacing w:line="220" w:lineRule="exact" w:before="48" w:after="20"/>
        <w:ind w:left="120" w:right="806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Reported as: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41"/>
        <w:gridCol w:w="2341"/>
        <w:gridCol w:w="2341"/>
        <w:gridCol w:w="2341"/>
      </w:tblGrid>
      <w:tr>
        <w:trPr>
          <w:trHeight w:hRule="exact" w:val="208"/>
        </w:trPr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Net (loss) income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 . . . . . . . . . . . . . . . . . . .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$(302)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210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56 </w:t>
            </w:r>
          </w:p>
        </w:tc>
      </w:tr>
      <w:tr>
        <w:trPr>
          <w:trHeight w:hRule="exact" w:val="232"/>
        </w:trPr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Other Comprehensive income (loss)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 . . . .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(66)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83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(53)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3"/>
        <w:gridCol w:w="1873"/>
        <w:gridCol w:w="1873"/>
        <w:gridCol w:w="1873"/>
        <w:gridCol w:w="1873"/>
      </w:tblGrid>
      <w:tr>
        <w:trPr>
          <w:trHeight w:hRule="exact" w:val="208"/>
        </w:trPr>
        <w:tc>
          <w:tcPr>
            <w:tcW w:type="dxa" w:w="28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Net income (loss )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 . . . . . . . . . . . . . . . . . . . . 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316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$(107) $(54) </w:t>
            </w:r>
          </w:p>
        </w:tc>
      </w:tr>
      <w:tr>
        <w:trPr>
          <w:trHeight w:hRule="exact" w:val="296"/>
        </w:trPr>
        <w:tc>
          <w:tcPr>
            <w:tcW w:type="dxa" w:w="1873"/>
            <w:vMerge/>
            <w:tcBorders>
              <w:bottom w:sz="4.0" w:val="single" w:color="#221F1F"/>
            </w:tcBorders>
          </w:tcPr>
          <w:p/>
        </w:tc>
        <w:tc>
          <w:tcPr>
            <w:tcW w:type="dxa" w:w="71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Other Comprehensive (loss) income 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 . . . . . . .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11 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(91) </w:t>
            </w:r>
          </w:p>
        </w:tc>
        <w:tc>
          <w:tcPr>
            <w:tcW w:type="dxa" w:w="3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5 </w:t>
            </w:r>
          </w:p>
        </w:tc>
      </w:tr>
      <w:tr>
        <w:trPr>
          <w:trHeight w:hRule="exact" w:val="310"/>
        </w:trPr>
        <w:tc>
          <w:tcPr>
            <w:tcW w:type="dxa" w:w="2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4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Amounts are included in Unrealized mark-to-market gains (losses) on non-trading portfolios, net on the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6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Statements of Income. </w:t>
      </w:r>
    </w:p>
    <w:p>
      <w:pPr>
        <w:autoSpaceDN w:val="0"/>
        <w:tabs>
          <w:tab w:pos="6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Amounts are included in Currency translation adjustment on functional currency and Net Change in DVA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on fair value option elected liabilities, in the Statements of Comprehensive Income. </w:t>
      </w:r>
    </w:p>
    <w:p>
      <w:pPr>
        <w:autoSpaceDN w:val="0"/>
        <w:tabs>
          <w:tab w:pos="6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Amounts are included in Currency translation adjustment on functional currency, in the Statements of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Comprehensive Income.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J8: Borrowings fair value and contractual principal balance </w:t>
      </w:r>
    </w:p>
    <w:p>
      <w:pPr>
        <w:autoSpaceDN w:val="0"/>
        <w:autoSpaceDE w:val="0"/>
        <w:widowControl/>
        <w:spacing w:line="180" w:lineRule="exact" w:before="154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1"/>
        <w:gridCol w:w="2341"/>
        <w:gridCol w:w="2341"/>
        <w:gridCol w:w="2341"/>
      </w:tblGrid>
      <w:tr>
        <w:trPr>
          <w:trHeight w:hRule="exact" w:val="242"/>
        </w:trPr>
        <w:tc>
          <w:tcPr>
            <w:tcW w:type="dxa" w:w="5908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3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Fair </w:t>
            </w:r>
          </w:p>
        </w:tc>
        <w:tc>
          <w:tcPr>
            <w:tcW w:type="dxa" w:w="16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Principal Amount Due </w:t>
            </w:r>
          </w:p>
        </w:tc>
        <w:tc>
          <w:tcPr>
            <w:tcW w:type="dxa" w:w="792"/>
            <w:vMerge w:val="restart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Difference </w:t>
            </w:r>
          </w:p>
        </w:tc>
      </w:tr>
      <w:tr>
        <w:trPr>
          <w:trHeight w:hRule="exact" w:val="192"/>
        </w:trPr>
        <w:tc>
          <w:tcPr>
            <w:tcW w:type="dxa" w:w="2341"/>
            <w:vMerge/>
            <w:tcBorders>
              <w:top w:sz="4.0" w:val="single" w:color="#221F1F"/>
              <w:bottom w:sz="8.0" w:val="single" w:color="#221F1F"/>
            </w:tcBorders>
          </w:tcPr>
          <w:p/>
        </w:tc>
        <w:tc>
          <w:tcPr>
            <w:tcW w:type="dxa" w:w="87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Value </w:t>
            </w:r>
          </w:p>
        </w:tc>
        <w:tc>
          <w:tcPr>
            <w:tcW w:type="dxa" w:w="164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Upon Maturity </w:t>
            </w:r>
          </w:p>
        </w:tc>
        <w:tc>
          <w:tcPr>
            <w:tcW w:type="dxa" w:w="2341"/>
            <w:vMerge/>
            <w:tcBorders>
              <w:top w:sz="4.0" w:val="single" w:color="#221F1F"/>
              <w:bottom w:sz="8.0" w:val="single" w:color="#221F1F"/>
            </w:tcBorders>
          </w:tcPr>
          <w:p/>
        </w:tc>
      </w:tr>
      <w:tr>
        <w:trPr>
          <w:trHeight w:hRule="exact" w:val="290"/>
        </w:trPr>
        <w:tc>
          <w:tcPr>
            <w:tcW w:type="dxa" w:w="590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2025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$305,679 </w:t>
            </w:r>
          </w:p>
        </w:tc>
        <w:tc>
          <w:tcPr>
            <w:tcW w:type="dxa" w:w="164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3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$325,327 </w:t>
            </w:r>
          </w:p>
        </w:tc>
        <w:tc>
          <w:tcPr>
            <w:tcW w:type="dxa" w:w="7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$(19,648) </w:t>
            </w:r>
          </w:p>
        </w:tc>
      </w:tr>
      <w:tr>
        <w:trPr>
          <w:trHeight w:hRule="exact" w:val="284"/>
        </w:trPr>
        <w:tc>
          <w:tcPr>
            <w:tcW w:type="dxa" w:w="59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2024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$261,790 </w:t>
            </w:r>
          </w:p>
        </w:tc>
        <w:tc>
          <w:tcPr>
            <w:tcW w:type="dxa" w:w="16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$285,322 </w:t>
            </w:r>
          </w:p>
        </w:tc>
        <w:tc>
          <w:tcPr>
            <w:tcW w:type="dxa" w:w="7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$(23,532) </w:t>
            </w:r>
          </w:p>
        </w:tc>
      </w:tr>
    </w:tbl>
    <w:p>
      <w:pPr>
        <w:autoSpaceDN w:val="0"/>
        <w:autoSpaceDE w:val="0"/>
        <w:widowControl/>
        <w:spacing w:line="200" w:lineRule="exact" w:before="19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156 </w:t>
      </w:r>
    </w:p>
    <w:p>
      <w:pPr>
        <w:sectPr>
          <w:pgSz w:w="12240" w:h="15840"/>
          <w:pgMar w:top="764" w:right="1436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provide information on the changes in fair value due to the change in IBRD’s own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for financial liabilities measured under the fair value option, included in the Statements of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Comprehensive Income: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J9: Changes in fair value due to IBRD’s own credit risk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80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Unrealized mark-to-market gains (losses) due to DVA on fair value option elected liabilities </w:t>
            </w:r>
          </w:p>
        </w:tc>
        <w:tc>
          <w:tcPr>
            <w:tcW w:type="dxa" w:w="6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4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284"/>
        </w:trPr>
        <w:tc>
          <w:tcPr>
            <w:tcW w:type="dxa" w:w="80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DVA on Fair Value Option Elected Liabilities . . . . . . . . . . . . . . . . . . . . . . . . . . . . . . . . . . . . . . . . . . . . . . . . . .</w:t>
            </w:r>
          </w:p>
        </w:tc>
        <w:tc>
          <w:tcPr>
            <w:tcW w:type="dxa" w:w="6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$1,009 </w:t>
            </w:r>
          </w:p>
        </w:tc>
        <w:tc>
          <w:tcPr>
            <w:tcW w:type="dxa" w:w="4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$321 </w:t>
            </w:r>
          </w:p>
        </w:tc>
      </w:tr>
      <w:tr>
        <w:trPr>
          <w:trHeight w:hRule="exact" w:val="236"/>
        </w:trPr>
        <w:tc>
          <w:tcPr>
            <w:tcW w:type="dxa" w:w="80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Amounts reclassified to net income upon derecognition of a liability . . . . . . . . . . . . . . . . . . . . . . . . . . . . . . . .</w:t>
            </w:r>
          </w:p>
        </w:tc>
        <w:tc>
          <w:tcPr>
            <w:tcW w:type="dxa" w:w="6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(18) </w:t>
            </w:r>
          </w:p>
        </w:tc>
        <w:tc>
          <w:tcPr>
            <w:tcW w:type="dxa" w:w="4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 </w:t>
            </w:r>
          </w:p>
        </w:tc>
      </w:tr>
      <w:tr>
        <w:trPr>
          <w:trHeight w:hRule="exact" w:val="300"/>
        </w:trPr>
        <w:tc>
          <w:tcPr>
            <w:tcW w:type="dxa" w:w="80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change in DVA on Fair Value Option Elected Liabilities . . . . . . . . . . . . . . . . . . . . . . . . . . . . . . . . . . . . . .</w:t>
            </w:r>
          </w:p>
        </w:tc>
        <w:tc>
          <w:tcPr>
            <w:tcW w:type="dxa" w:w="6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991 </w:t>
            </w:r>
          </w:p>
        </w:tc>
        <w:tc>
          <w:tcPr>
            <w:tcW w:type="dxa" w:w="4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$322 </w:t>
            </w:r>
          </w:p>
        </w:tc>
      </w:tr>
      <w:tr>
        <w:trPr>
          <w:trHeight w:hRule="exact" w:val="168"/>
        </w:trPr>
        <w:tc>
          <w:tcPr>
            <w:tcW w:type="dxa" w:w="80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9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IBRD’s Balance Sheets included a DVA of $1,664 million cumulative gains ($673 million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cumulative gain—June 30, 2024) in Accumulated other comprehensive income, associated with the changes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own credit for financial liabilities measured under the fair value option. </w:t>
      </w:r>
    </w:p>
    <w:p>
      <w:pPr>
        <w:autoSpaceDN w:val="0"/>
        <w:autoSpaceDE w:val="0"/>
        <w:widowControl/>
        <w:spacing w:line="240" w:lineRule="exact" w:before="358" w:after="0"/>
        <w:ind w:left="120" w:right="14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J10: Unrealized mark-to-market gains or losses on investments-trading, and non-trading portfolios, 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net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8"/>
        <w:ind w:left="0" w:right="184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1"/>
        </w:trPr>
        <w:tc>
          <w:tcPr>
            <w:tcW w:type="dxa" w:w="53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Realized gains </w:t>
            </w:r>
          </w:p>
        </w:tc>
        <w:tc>
          <w:tcPr>
            <w:tcW w:type="dxa" w:w="1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Unrealized gains (losses) 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Unrealized gains </w:t>
            </w:r>
          </w:p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excluding realized 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(losses) </w:t>
            </w:r>
          </w:p>
        </w:tc>
        <w:tc>
          <w:tcPr>
            <w:tcW w:type="dxa" w:w="17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5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1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(losses) </w:t>
            </w:r>
          </w:p>
        </w:tc>
      </w:tr>
      <w:tr>
        <w:trPr>
          <w:trHeight w:hRule="exact" w:val="337"/>
        </w:trPr>
        <w:tc>
          <w:tcPr>
            <w:tcW w:type="dxa" w:w="53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Investments-Trading,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</w:t>
            </w:r>
          </w:p>
        </w:tc>
        <w:tc>
          <w:tcPr>
            <w:tcW w:type="dxa" w:w="10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$(343) </w:t>
            </w:r>
          </w:p>
        </w:tc>
        <w:tc>
          <w:tcPr>
            <w:tcW w:type="dxa" w:w="7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557 </w:t>
            </w:r>
          </w:p>
        </w:tc>
        <w:tc>
          <w:tcPr>
            <w:tcW w:type="dxa" w:w="4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214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Non trading portfolios,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2"/>
        </w:trPr>
        <w:tc>
          <w:tcPr>
            <w:tcW w:type="dxa" w:w="5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Loan-related derivatives—Note F . . . . . . . . . . . . . . . . . . . . . .</w:t>
            </w:r>
          </w:p>
        </w:tc>
        <w:tc>
          <w:tcPr>
            <w:tcW w:type="dxa" w:w="12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1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(1,376) </w:t>
            </w:r>
          </w:p>
        </w:tc>
        <w:tc>
          <w:tcPr>
            <w:tcW w:type="dxa" w:w="8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(1,372) </w:t>
            </w:r>
          </w:p>
        </w:tc>
      </w:tr>
      <w:tr>
        <w:trPr>
          <w:trHeight w:hRule="exact" w:val="240"/>
        </w:trPr>
        <w:tc>
          <w:tcPr>
            <w:tcW w:type="dxa" w:w="5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assets/liabilities management derivatives, net . . . . . . . .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1,839 </w:t>
            </w:r>
          </w:p>
        </w:tc>
        <w:tc>
          <w:tcPr>
            <w:tcW w:type="dxa" w:w="8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1,839 </w:t>
            </w:r>
          </w:p>
        </w:tc>
      </w:tr>
      <w:tr>
        <w:trPr>
          <w:trHeight w:hRule="exact" w:val="240"/>
        </w:trPr>
        <w:tc>
          <w:tcPr>
            <w:tcW w:type="dxa" w:w="5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including derivatives—Notes E and F . . . . . . . .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(234) </w:t>
            </w:r>
          </w:p>
        </w:tc>
        <w:tc>
          <w:tcPr>
            <w:tcW w:type="dxa" w:w="8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(234)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</w:p>
        </w:tc>
      </w:tr>
      <w:tr>
        <w:trPr>
          <w:trHeight w:hRule="exact" w:val="264"/>
        </w:trPr>
        <w:tc>
          <w:tcPr>
            <w:tcW w:type="dxa" w:w="54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Client operations and other derivatives, net . . . . . . . . . . . . . . .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45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7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  <w:tc>
          <w:tcPr>
            <w:tcW w:type="dxa" w:w="86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</w:tr>
      <w:tr>
        <w:trPr>
          <w:trHeight w:hRule="exact" w:val="320"/>
        </w:trPr>
        <w:tc>
          <w:tcPr>
            <w:tcW w:type="dxa" w:w="54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</w:t>
            </w:r>
          </w:p>
        </w:tc>
        <w:tc>
          <w:tcPr>
            <w:tcW w:type="dxa" w:w="1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2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2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2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252 </w:t>
            </w:r>
          </w:p>
        </w:tc>
        <w:tc>
          <w:tcPr>
            <w:tcW w:type="dxa" w:w="2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256 </w:t>
            </w:r>
          </w:p>
        </w:tc>
      </w:tr>
      <w:tr>
        <w:trPr>
          <w:trHeight w:hRule="exact" w:val="172"/>
        </w:trPr>
        <w:tc>
          <w:tcPr>
            <w:tcW w:type="dxa" w:w="54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5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J10.1: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40"/>
        <w:ind w:left="0" w:right="184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0"/>
        </w:trPr>
        <w:tc>
          <w:tcPr>
            <w:tcW w:type="dxa" w:w="53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Realized gains </w:t>
            </w:r>
          </w:p>
        </w:tc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Unrealized gains (losses) 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Unrealized gains </w:t>
            </w:r>
          </w:p>
        </w:tc>
      </w:tr>
      <w:tr>
        <w:trPr>
          <w:trHeight w:hRule="exact" w:val="160"/>
        </w:trPr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excluding realized </w:t>
            </w:r>
          </w:p>
        </w:tc>
        <w:tc>
          <w:tcPr>
            <w:tcW w:type="dxa" w:w="3744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10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(losses) </w:t>
            </w:r>
          </w:p>
        </w:tc>
        <w:tc>
          <w:tcPr>
            <w:tcW w:type="dxa" w:w="17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5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1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(losses) </w:t>
            </w:r>
          </w:p>
        </w:tc>
      </w:tr>
      <w:tr>
        <w:trPr>
          <w:trHeight w:hRule="exact" w:val="335"/>
        </w:trPr>
        <w:tc>
          <w:tcPr>
            <w:tcW w:type="dxa" w:w="53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Investments-Trading,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</w:t>
            </w:r>
          </w:p>
        </w:tc>
        <w:tc>
          <w:tcPr>
            <w:tcW w:type="dxa" w:w="10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$113 </w:t>
            </w:r>
          </w:p>
        </w:tc>
        <w:tc>
          <w:tcPr>
            <w:tcW w:type="dxa" w:w="17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(22) </w:t>
            </w:r>
          </w:p>
        </w:tc>
        <w:tc>
          <w:tcPr>
            <w:tcW w:type="dxa" w:w="5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Non trading portfolios,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4"/>
        </w:trPr>
        <w:tc>
          <w:tcPr>
            <w:tcW w:type="dxa" w:w="5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Loan-related derivatives—Note F . . . . . . . . . . . . . . . . . . . . . .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(458)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(458) </w:t>
            </w:r>
          </w:p>
        </w:tc>
      </w:tr>
      <w:tr>
        <w:trPr>
          <w:trHeight w:hRule="exact" w:val="240"/>
        </w:trPr>
        <w:tc>
          <w:tcPr>
            <w:tcW w:type="dxa" w:w="5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assets/liabilities management derivatives, net . . . . . . . .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708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708 </w:t>
            </w:r>
          </w:p>
        </w:tc>
      </w:tr>
      <w:tr>
        <w:trPr>
          <w:trHeight w:hRule="exact" w:val="240"/>
        </w:trPr>
        <w:tc>
          <w:tcPr>
            <w:tcW w:type="dxa" w:w="5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including derivatives —Notes E and F . . . . . . . .</w:t>
            </w:r>
          </w:p>
        </w:tc>
        <w:tc>
          <w:tcPr>
            <w:tcW w:type="dxa" w:w="1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</w:p>
        </w:tc>
      </w:tr>
      <w:tr>
        <w:trPr>
          <w:trHeight w:hRule="exact" w:val="256"/>
        </w:trPr>
        <w:tc>
          <w:tcPr>
            <w:tcW w:type="dxa" w:w="55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Client operations and other derivatives, net . . . . . . . . . . . . . . .</w:t>
            </w:r>
          </w:p>
        </w:tc>
        <w:tc>
          <w:tcPr>
            <w:tcW w:type="dxa" w:w="134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4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 </w:t>
            </w:r>
          </w:p>
        </w:tc>
        <w:tc>
          <w:tcPr>
            <w:tcW w:type="dxa" w:w="7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 </w:t>
            </w:r>
          </w:p>
        </w:tc>
      </w:tr>
      <w:tr>
        <w:trPr>
          <w:trHeight w:hRule="exact" w:val="320"/>
        </w:trPr>
        <w:tc>
          <w:tcPr>
            <w:tcW w:type="dxa" w:w="553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</w:t>
            </w:r>
          </w:p>
        </w:tc>
        <w:tc>
          <w:tcPr>
            <w:tcW w:type="dxa" w:w="1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1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14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287 </w:t>
            </w:r>
          </w:p>
        </w:tc>
        <w:tc>
          <w:tcPr>
            <w:tcW w:type="dxa" w:w="7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289 </w:t>
            </w:r>
          </w:p>
        </w:tc>
      </w:tr>
      <w:tr>
        <w:trPr>
          <w:trHeight w:hRule="exact" w:val="168"/>
        </w:trPr>
        <w:tc>
          <w:tcPr>
            <w:tcW w:type="dxa" w:w="553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88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J10.2: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40"/>
        <w:ind w:left="0" w:right="184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00"/>
        </w:trPr>
        <w:tc>
          <w:tcPr>
            <w:tcW w:type="dxa" w:w="53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Realized gains </w:t>
            </w:r>
          </w:p>
        </w:tc>
        <w:tc>
          <w:tcPr>
            <w:tcW w:type="dxa" w:w="1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Unrealized gains (losses) </w:t>
            </w:r>
          </w:p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Unrealized gains </w:t>
            </w:r>
          </w:p>
        </w:tc>
      </w:tr>
      <w:tr>
        <w:trPr>
          <w:trHeight w:hRule="exact" w:val="16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excluding realized 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0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(losses) </w:t>
            </w:r>
          </w:p>
        </w:tc>
        <w:tc>
          <w:tcPr>
            <w:tcW w:type="dxa" w:w="17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5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amounts </w:t>
            </w:r>
            <w:r>
              <w:rPr>
                <w:w w:val="103.99999618530273"/>
                <w:rFonts w:ascii="Times" w:hAnsi="Times" w:eastAsia="Times"/>
                <w:b w:val="0"/>
                <w:i/>
                <w:color w:val="231F20"/>
                <w:sz w:val="10"/>
              </w:rPr>
              <w:t>a</w:t>
            </w:r>
          </w:p>
        </w:tc>
        <w:tc>
          <w:tcPr>
            <w:tcW w:type="dxa" w:w="11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(losses) </w:t>
            </w:r>
          </w:p>
        </w:tc>
      </w:tr>
      <w:tr>
        <w:trPr>
          <w:trHeight w:hRule="exact" w:val="336"/>
        </w:trPr>
        <w:tc>
          <w:tcPr>
            <w:tcW w:type="dxa" w:w="53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Investments-Trading,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</w:t>
            </w:r>
          </w:p>
        </w:tc>
        <w:tc>
          <w:tcPr>
            <w:tcW w:type="dxa" w:w="10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(42) </w:t>
            </w:r>
          </w:p>
        </w:tc>
        <w:tc>
          <w:tcPr>
            <w:tcW w:type="dxa" w:w="7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126 </w:t>
            </w:r>
          </w:p>
        </w:tc>
        <w:tc>
          <w:tcPr>
            <w:tcW w:type="dxa" w:w="5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6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Non trading portfolios,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18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Loan-related derivatives—Note F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1,673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1,677 </w:t>
            </w:r>
          </w:p>
        </w:tc>
      </w:tr>
      <w:tr>
        <w:trPr>
          <w:trHeight w:hRule="exact" w:val="240"/>
        </w:trPr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assets/liabilities management derivatives, net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(1,642)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(1,642) </w:t>
            </w:r>
          </w:p>
        </w:tc>
      </w:tr>
      <w:tr>
        <w:trPr>
          <w:trHeight w:hRule="exact" w:val="240"/>
        </w:trPr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Borrowings, including derivatives—Notes E and F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(198)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(190)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</w:p>
        </w:tc>
      </w:tr>
      <w:tr>
        <w:trPr>
          <w:trHeight w:hRule="exact" w:val="268"/>
        </w:trPr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Client operations and other derivatives, net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08"/>
        </w:trPr>
        <w:tc>
          <w:tcPr>
            <w:tcW w:type="dxa" w:w="1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2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</w:t>
            </w:r>
          </w:p>
        </w:tc>
        <w:tc>
          <w:tcPr>
            <w:tcW w:type="dxa" w:w="8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 </w:t>
            </w:r>
          </w:p>
        </w:tc>
        <w:tc>
          <w:tcPr>
            <w:tcW w:type="dxa" w:w="19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4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(167) </w:t>
            </w:r>
          </w:p>
        </w:tc>
        <w:tc>
          <w:tcPr>
            <w:tcW w:type="dxa" w:w="12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(155) </w:t>
            </w:r>
          </w:p>
        </w:tc>
      </w:tr>
      <w:tr>
        <w:trPr>
          <w:trHeight w:hRule="exact" w:val="160"/>
        </w:trPr>
        <w:tc>
          <w:tcPr>
            <w:tcW w:type="dxa" w:w="18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a.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b. 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504"/>
        </w:trPr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  <w:tc>
          <w:tcPr>
            <w:tcW w:type="dxa" w:w="902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Adjusted to exclude amounts reclassified to realized gains (losses). </w:t>
            </w:r>
          </w:p>
          <w:p>
            <w:pPr>
              <w:autoSpaceDN w:val="0"/>
              <w:autoSpaceDE w:val="0"/>
              <w:widowControl/>
              <w:spacing w:line="180" w:lineRule="exact" w:before="4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Includes $7,714 million of unrealized mark-to-market gains related to derivatives associated with borrowings for fiscal 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year ended June 30, 2025 (unrealized mark-to-market gains of $4,220 million—fiscal year ended June 30, 2024 and 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unrealized mark-to-market losses of $5,851 million—fiscal year ended June 30, 2023). </w:t>
      </w:r>
    </w:p>
    <w:p>
      <w:pPr>
        <w:autoSpaceDN w:val="0"/>
        <w:autoSpaceDE w:val="0"/>
        <w:widowControl/>
        <w:spacing w:line="200" w:lineRule="exact" w:before="36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K—PENSION AND OTHER POSTRETIREMENT BENEFITS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IBRD, IFC and MIGA participate in the defined benefit Staff Retirement Plan (SRP), a Retired Staff Benefits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 (RSBP) and PEBP (collectively “the Pension Plans”) that cover substantially all of their staff members. 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SRP provides pension benefits and includes a cash balance plan. The RSBP provides certain health and life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insurance benefits to eligible retirees. The PEBP provides certain pension benefits administered outside the SRP.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IBRD uses a June 30</w:t>
      </w:r>
      <w:r>
        <w:rPr>
          <w:rFonts w:ascii="Times" w:hAnsi="Times" w:eastAsia="Times"/>
          <w:b w:val="0"/>
          <w:i w:val="0"/>
          <w:color w:val="231F20"/>
          <w:sz w:val="13"/>
        </w:rPr>
        <w:t>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measurement date for its pension and other postretirement benefit plans.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costs, assets and liabilities associated with these plans are allocated between IBRD, IFC, and MIGA based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upon their employees’ respective participation in the Pension Plans. Costs allocated to IBRD are then shared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between IBRD and IDA based on an agreed cost-sharing methodology. IDA, IFC and MIGA reimburse IBRD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proportionate share of any contributions made to these plans by IBRD. Contributions to the Pension Plans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calculated as a percentage of salary. </w:t>
      </w:r>
    </w:p>
    <w:p>
      <w:pPr>
        <w:autoSpaceDN w:val="0"/>
        <w:autoSpaceDE w:val="0"/>
        <w:widowControl/>
        <w:spacing w:line="200" w:lineRule="exact" w:before="4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summarizes the benefit costs associated with the SRP, RSBP, and PEBP for IBRD and IDA: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K1: Pension Plan benefit costs </w:t>
      </w:r>
    </w:p>
    <w:p>
      <w:pPr>
        <w:autoSpaceDN w:val="0"/>
        <w:autoSpaceDE w:val="0"/>
        <w:widowControl/>
        <w:spacing w:line="180" w:lineRule="exact" w:before="154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rPr>
          <w:trHeight w:hRule="exact" w:val="274"/>
        </w:trPr>
        <w:tc>
          <w:tcPr>
            <w:tcW w:type="dxa" w:w="306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2"/>
            <w:gridSpan w:val="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3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2140"/>
            <w:gridSpan w:val="5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2360"/>
            <w:gridSpan w:val="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</w:tr>
      <w:tr>
        <w:trPr>
          <w:trHeight w:hRule="exact" w:val="240"/>
        </w:trPr>
        <w:tc>
          <w:tcPr>
            <w:tcW w:type="dxa" w:w="306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2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20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02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  <w:tc>
          <w:tcPr>
            <w:tcW w:type="dxa" w:w="858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8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58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  <w:tc>
          <w:tcPr>
            <w:tcW w:type="dxa" w:w="618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20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54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10"/>
        </w:trPr>
        <w:tc>
          <w:tcPr>
            <w:tcW w:type="dxa" w:w="3062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Service cost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cost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Expected return on plan assets . . . .</w:t>
            </w:r>
          </w:p>
        </w:tc>
        <w:tc>
          <w:tcPr>
            <w:tcW w:type="dxa" w:w="20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6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424 $</w:t>
            </w:r>
          </w:p>
        </w:tc>
        <w:tc>
          <w:tcPr>
            <w:tcW w:type="dxa" w:w="792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401 $</w:t>
            </w:r>
          </w:p>
        </w:tc>
        <w:tc>
          <w:tcPr>
            <w:tcW w:type="dxa" w:w="4288"/>
            <w:gridSpan w:val="10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511 $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139 $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93 </w:t>
            </w:r>
          </w:p>
        </w:tc>
      </w:tr>
      <w:tr>
        <w:trPr>
          <w:trHeight w:hRule="exact" w:val="240"/>
        </w:trPr>
        <w:tc>
          <w:tcPr>
            <w:tcW w:type="dxa" w:w="585"/>
            <w:vMerge/>
            <w:tcBorders>
              <w:top w:sz="8.0" w:val="single" w:color="#221F1F"/>
            </w:tcBorders>
          </w:tcPr>
          <w:p/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1,152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1,011 </w:t>
            </w:r>
          </w:p>
        </w:tc>
        <w:tc>
          <w:tcPr>
            <w:tcW w:type="dxa" w:w="8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944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180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162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162 </w:t>
            </w:r>
          </w:p>
        </w:tc>
        <w:tc>
          <w:tcPr>
            <w:tcW w:type="dxa" w:w="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110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92 </w:t>
            </w:r>
          </w:p>
        </w:tc>
      </w:tr>
      <w:tr>
        <w:trPr>
          <w:trHeight w:hRule="exact" w:val="248"/>
        </w:trPr>
        <w:tc>
          <w:tcPr>
            <w:tcW w:type="dxa" w:w="585"/>
            <w:vMerge/>
            <w:tcBorders>
              <w:top w:sz="8.0" w:val="single" w:color="#221F1F"/>
            </w:tcBorders>
          </w:tcPr>
          <w:p/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(1,492)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(1,377) </w:t>
            </w:r>
          </w:p>
        </w:tc>
        <w:tc>
          <w:tcPr>
            <w:tcW w:type="dxa" w:w="8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(1,386)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(266)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(243)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(238) </w:t>
            </w:r>
          </w:p>
        </w:tc>
        <w:tc>
          <w:tcPr>
            <w:tcW w:type="dxa" w:w="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Amortization of unrecognized prior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4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service costs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Amortization of unrecognized net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48"/>
        </w:trPr>
        <w:tc>
          <w:tcPr>
            <w:tcW w:type="dxa" w:w="312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actuarial (gains) losses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</w:t>
            </w:r>
          </w:p>
        </w:tc>
        <w:tc>
          <w:tcPr>
            <w:tcW w:type="dxa" w:w="1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(64) </w:t>
            </w:r>
          </w:p>
        </w:tc>
        <w:tc>
          <w:tcPr>
            <w:tcW w:type="dxa" w:w="8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(67) </w:t>
            </w:r>
          </w:p>
        </w:tc>
        <w:tc>
          <w:tcPr>
            <w:tcW w:type="dxa" w:w="5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(28) 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4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</w:tr>
      <w:tr>
        <w:trPr>
          <w:trHeight w:hRule="exact" w:val="336"/>
        </w:trPr>
        <w:tc>
          <w:tcPr>
            <w:tcW w:type="dxa" w:w="312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 periodic pension cost . . . . . . . .</w:t>
            </w:r>
          </w:p>
        </w:tc>
        <w:tc>
          <w:tcPr>
            <w:tcW w:type="dxa" w:w="19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87 $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38 $</w:t>
            </w:r>
          </w:p>
        </w:tc>
        <w:tc>
          <w:tcPr>
            <w:tcW w:type="dxa" w:w="210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(37)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(34) $</w:t>
            </w:r>
          </w:p>
        </w:tc>
        <w:tc>
          <w:tcPr>
            <w:tcW w:type="dxa" w:w="220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49 $190 $184 $188 </w:t>
            </w:r>
          </w:p>
        </w:tc>
      </w:tr>
    </w:tbl>
    <w:p>
      <w:pPr>
        <w:autoSpaceDN w:val="0"/>
        <w:autoSpaceDE w:val="0"/>
        <w:widowControl/>
        <w:spacing w:line="200" w:lineRule="exact" w:before="1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of which: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32"/>
        </w:trPr>
        <w:tc>
          <w:tcPr>
            <w:tcW w:type="dxa" w:w="2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share . . . . . . . . . . . . .</w:t>
            </w:r>
          </w:p>
        </w:tc>
        <w:tc>
          <w:tcPr>
            <w:tcW w:type="dxa" w:w="3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41 $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18 $</w:t>
            </w:r>
          </w:p>
        </w:tc>
        <w:tc>
          <w:tcPr>
            <w:tcW w:type="dxa" w:w="2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34 $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(18)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(16) $</w:t>
            </w:r>
          </w:p>
        </w:tc>
        <w:tc>
          <w:tcPr>
            <w:tcW w:type="dxa" w:w="2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23 $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89 $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88 $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89 </w:t>
            </w:r>
          </w:p>
        </w:tc>
      </w:tr>
      <w:tr>
        <w:trPr>
          <w:trHeight w:hRule="exact" w:val="296"/>
        </w:trPr>
        <w:tc>
          <w:tcPr>
            <w:tcW w:type="dxa" w:w="29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 share . . . . . . . . . . . . . .</w:t>
            </w:r>
          </w:p>
        </w:tc>
        <w:tc>
          <w:tcPr>
            <w:tcW w:type="dxa" w:w="851"/>
            <w:vMerge/>
            <w:tcBorders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 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 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(19) </w:t>
            </w:r>
          </w:p>
        </w:tc>
        <w:tc>
          <w:tcPr>
            <w:tcW w:type="dxa" w:w="7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(18) </w:t>
            </w:r>
          </w:p>
        </w:tc>
        <w:tc>
          <w:tcPr>
            <w:tcW w:type="dxa" w:w="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 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101 </w:t>
            </w:r>
          </w:p>
        </w:tc>
        <w:tc>
          <w:tcPr>
            <w:tcW w:type="dxa" w:w="5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 </w:t>
            </w:r>
          </w:p>
        </w:tc>
        <w:tc>
          <w:tcPr>
            <w:tcW w:type="dxa" w:w="4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 </w:t>
            </w:r>
          </w:p>
        </w:tc>
      </w:tr>
      <w:tr>
        <w:trPr>
          <w:trHeight w:hRule="exact" w:val="587"/>
        </w:trPr>
        <w:tc>
          <w:tcPr>
            <w:tcW w:type="dxa" w:w="29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9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74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</w:tbl>
    <w:p>
      <w:pPr>
        <w:autoSpaceDN w:val="0"/>
        <w:autoSpaceDE w:val="0"/>
        <w:widowControl/>
        <w:spacing w:line="200" w:lineRule="exact" w:before="8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Net periodic pension cost (all three plans combined)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30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share . . . . . . . . . . . . . . . . . . . . . . . . . . . . . . . . . . . . . . . . . . . . . . . . . . . . .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112 $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90 $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146 </w:t>
            </w:r>
          </w:p>
        </w:tc>
      </w:tr>
      <w:tr>
        <w:trPr>
          <w:trHeight w:hRule="exact" w:val="296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66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 share . . . . . . . . . . . . . . . . . . . . . . . . . . . . . . . . . . . . . . . . . . . . . . . . . . . . . .</w:t>
            </w:r>
          </w:p>
        </w:tc>
        <w:tc>
          <w:tcPr>
            <w:tcW w:type="dxa" w:w="11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128 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98 </w:t>
            </w:r>
          </w:p>
        </w:tc>
        <w:tc>
          <w:tcPr>
            <w:tcW w:type="dxa" w:w="4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163 </w:t>
            </w:r>
          </w:p>
        </w:tc>
      </w:tr>
      <w:tr>
        <w:trPr>
          <w:trHeight w:hRule="exact" w:val="390"/>
        </w:trPr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Included in Amounts reclassified into net income in Note I—Accumulated Other Comprehensive Income. </w:t>
            </w:r>
          </w:p>
        </w:tc>
      </w:tr>
    </w:tbl>
    <w:p>
      <w:pPr>
        <w:autoSpaceDN w:val="0"/>
        <w:autoSpaceDE w:val="0"/>
        <w:widowControl/>
        <w:spacing w:line="240" w:lineRule="exact" w:before="18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share of benefit costs is included as a payable to/receivable from IDA in Other liabilities – Accounts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payable and miscellaneous liabilities on the Balance Sheets (see Note H—Transactions with Affiliated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Organizations).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components of net periodic pension cost, other than the service cost component, are included in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Non-interest expenses – Other line item in the Statements of Income. The service cost component is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line item Non-interest expenses – Administrative expenses.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provides details of the Pension service cost: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K2: Pension service cost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6"/>
        <w:ind w:left="0" w:right="1370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7"/>
        </w:trPr>
        <w:tc>
          <w:tcPr>
            <w:tcW w:type="dxa" w:w="627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51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99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5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8"/>
        </w:trPr>
        <w:tc>
          <w:tcPr>
            <w:tcW w:type="dxa" w:w="627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Service cost . . . . . . . . . . . . . . . . . . . . . . . . . . . . . . . . . . . . . . . . . . . . . . . . . .</w:t>
            </w:r>
          </w:p>
        </w:tc>
        <w:tc>
          <w:tcPr>
            <w:tcW w:type="dxa" w:w="13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8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424 $</w:t>
            </w:r>
          </w:p>
        </w:tc>
        <w:tc>
          <w:tcPr>
            <w:tcW w:type="dxa" w:w="90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111 $</w:t>
            </w:r>
          </w:p>
        </w:tc>
        <w:tc>
          <w:tcPr>
            <w:tcW w:type="dxa" w:w="60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77 $</w:t>
            </w:r>
          </w:p>
        </w:tc>
        <w:tc>
          <w:tcPr>
            <w:tcW w:type="dxa" w:w="58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612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Of which: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2"/>
        </w:trPr>
        <w:tc>
          <w:tcPr>
            <w:tcW w:type="dxa" w:w="6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share . . . . . . . . . . . . . . . . . . . . . . . . . . . . . . . . . . . . . . . . .</w:t>
            </w:r>
          </w:p>
        </w:tc>
        <w:tc>
          <w:tcPr>
            <w:tcW w:type="dxa" w:w="3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199 $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52 $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36 $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287 </w:t>
            </w:r>
          </w:p>
        </w:tc>
      </w:tr>
      <w:tr>
        <w:trPr>
          <w:trHeight w:hRule="exact" w:val="296"/>
        </w:trPr>
        <w:tc>
          <w:tcPr>
            <w:tcW w:type="dxa" w:w="61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 share . . . . . . . . . . . . . . . . . . . . . . . . . . . . . . . . . . . . . . . . . .</w:t>
            </w:r>
          </w:p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225 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59 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 </w:t>
            </w:r>
          </w:p>
        </w:tc>
        <w:tc>
          <w:tcPr>
            <w:tcW w:type="dxa" w:w="4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325 </w:t>
            </w:r>
          </w:p>
        </w:tc>
      </w:tr>
    </w:tbl>
    <w:p>
      <w:pPr>
        <w:autoSpaceDN w:val="0"/>
        <w:autoSpaceDE w:val="0"/>
        <w:widowControl/>
        <w:spacing w:line="200" w:lineRule="exact" w:before="151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159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0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8"/>
        <w:ind w:left="0" w:right="103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37"/>
        </w:trPr>
        <w:tc>
          <w:tcPr>
            <w:tcW w:type="dxa" w:w="697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7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59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49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8"/>
        </w:trPr>
        <w:tc>
          <w:tcPr>
            <w:tcW w:type="dxa" w:w="697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Service cost . . . . . . . . . . . . . . . . . . . . . . . . . . . . . . . . . . . . . . . . . . . . . . . . . . . . . . . . .</w:t>
            </w:r>
          </w:p>
        </w:tc>
        <w:tc>
          <w:tcPr>
            <w:tcW w:type="dxa" w:w="120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$401 $112 </w:t>
            </w:r>
          </w:p>
        </w:tc>
        <w:tc>
          <w:tcPr>
            <w:tcW w:type="dxa" w:w="5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$82 </w:t>
            </w:r>
          </w:p>
        </w:tc>
        <w:tc>
          <w:tcPr>
            <w:tcW w:type="dxa" w:w="49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$595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Of which: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32"/>
        </w:trPr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share . . . . . . . . . . . . . . . . . . . . . . . . . . . . . . . . . . . . . . . . . . . . . . . .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$191 $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53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$40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$284 </w:t>
            </w:r>
          </w:p>
        </w:tc>
      </w:tr>
      <w:tr>
        <w:trPr>
          <w:trHeight w:hRule="exact" w:val="296"/>
        </w:trPr>
        <w:tc>
          <w:tcPr>
            <w:tcW w:type="dxa" w:w="6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 share . . . . . . . . . . . . . . . . . . . . . . . . . . . . . . . . . . . . . . . . . . . . . . . . .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210 </w:t>
            </w:r>
          </w:p>
        </w:tc>
        <w:tc>
          <w:tcPr>
            <w:tcW w:type="dxa" w:w="5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59 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 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311 </w:t>
            </w:r>
          </w:p>
        </w:tc>
      </w:tr>
    </w:tbl>
    <w:p>
      <w:pPr>
        <w:autoSpaceDN w:val="0"/>
        <w:autoSpaceDE w:val="0"/>
        <w:widowControl/>
        <w:spacing w:line="180" w:lineRule="exact" w:before="32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38"/>
        <w:ind w:left="0" w:right="1032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2023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37"/>
        </w:trPr>
        <w:tc>
          <w:tcPr>
            <w:tcW w:type="dxa" w:w="6978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7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59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49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8"/>
        </w:trPr>
        <w:tc>
          <w:tcPr>
            <w:tcW w:type="dxa" w:w="697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Service cost . . . . . . . . . . . . . . . . . . . . . . . . . . . . . . . . . . . . . . . . . . . . . . . . . . . . . . . . .</w:t>
            </w:r>
          </w:p>
        </w:tc>
        <w:tc>
          <w:tcPr>
            <w:tcW w:type="dxa" w:w="120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$511 $139 </w:t>
            </w:r>
          </w:p>
        </w:tc>
        <w:tc>
          <w:tcPr>
            <w:tcW w:type="dxa" w:w="592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$93 </w:t>
            </w:r>
          </w:p>
        </w:tc>
        <w:tc>
          <w:tcPr>
            <w:tcW w:type="dxa" w:w="490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$743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Of which: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32"/>
        </w:trPr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IBRD’s share . . . . . . . . . . . . . . . . . . . . . . . . . . . . . . . . . . . . . . . . . . . . . . . .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$241 $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$44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$351 </w:t>
            </w:r>
          </w:p>
        </w:tc>
      </w:tr>
      <w:tr>
        <w:trPr>
          <w:trHeight w:hRule="exact" w:val="296"/>
        </w:trPr>
        <w:tc>
          <w:tcPr>
            <w:tcW w:type="dxa" w:w="6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8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 share . . . . . . . . . . . . . . . . . . . . . . . . . . . . . . . . . . . . . . . . . . . . . . . . .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270 </w:t>
            </w:r>
          </w:p>
        </w:tc>
        <w:tc>
          <w:tcPr>
            <w:tcW w:type="dxa" w:w="5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 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49 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392 </w:t>
            </w:r>
          </w:p>
        </w:tc>
      </w:tr>
    </w:tbl>
    <w:p>
      <w:pPr>
        <w:autoSpaceDN w:val="0"/>
        <w:autoSpaceDE w:val="0"/>
        <w:widowControl/>
        <w:spacing w:line="240" w:lineRule="exact" w:before="172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summarizes the Projected Benefit Obligations (PBO), fair value of plan assets, and funded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 associated with the SRP, RSBP, and PEBP for IBRD and IDA. The SRP and RSBP assets are held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separate trusts and the PEBP assets are included in IBRD’s investment portfolio. The assets of the PEBP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mostly invested in fixed income, equity instruments and other fund investments.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K3: PBO, funded status and accumulated benefit obligations </w:t>
      </w:r>
    </w:p>
    <w:p>
      <w:pPr>
        <w:autoSpaceDN w:val="0"/>
        <w:autoSpaceDE w:val="0"/>
        <w:widowControl/>
        <w:spacing w:line="180" w:lineRule="exact" w:before="154" w:after="1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514"/>
        </w:trPr>
        <w:tc>
          <w:tcPr>
            <w:tcW w:type="dxa" w:w="504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55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0" w:after="0"/>
              <w:ind w:left="0" w:right="4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70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48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504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40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7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0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44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00" w:lineRule="exact" w:before="92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Projected Benefit Obligations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32"/>
        </w:trPr>
        <w:tc>
          <w:tcPr>
            <w:tcW w:type="dxa" w:w="43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260" w:right="194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Beginning of year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Service cost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Interest cost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Participant contributions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Benefits paid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Actuarial loss (gain) . . . . . . . . . . . . . . . . . . . . . .</w:t>
            </w:r>
          </w:p>
        </w:tc>
        <w:tc>
          <w:tcPr>
            <w:tcW w:type="dxa" w:w="47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$22,166 $21,208 $3,408 $3,341 $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2,097 $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2,057 </w:t>
            </w:r>
          </w:p>
        </w:tc>
      </w:tr>
      <w:tr>
        <w:trPr>
          <w:trHeight w:hRule="exact" w:val="240"/>
        </w:trPr>
        <w:tc>
          <w:tcPr>
            <w:tcW w:type="dxa" w:w="1339"/>
            <w:vMerge/>
            <w:tcBorders>
              <w:bottom w:sz="4.0" w:val="single" w:color="#221F1F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424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111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112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 </w:t>
            </w:r>
          </w:p>
        </w:tc>
      </w:tr>
      <w:tr>
        <w:trPr>
          <w:trHeight w:hRule="exact" w:val="240"/>
        </w:trPr>
        <w:tc>
          <w:tcPr>
            <w:tcW w:type="dxa" w:w="1339"/>
            <w:vMerge/>
            <w:tcBorders>
              <w:bottom w:sz="4.0" w:val="single" w:color="#221F1F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1,152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1,011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162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 </w:t>
            </w:r>
          </w:p>
        </w:tc>
      </w:tr>
      <w:tr>
        <w:trPr>
          <w:trHeight w:hRule="exact" w:val="240"/>
        </w:trPr>
        <w:tc>
          <w:tcPr>
            <w:tcW w:type="dxa" w:w="1339"/>
            <w:vMerge/>
            <w:tcBorders>
              <w:bottom w:sz="4.0" w:val="single" w:color="#221F1F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</w:p>
        </w:tc>
      </w:tr>
      <w:tr>
        <w:trPr>
          <w:trHeight w:hRule="exact" w:val="240"/>
        </w:trPr>
        <w:tc>
          <w:tcPr>
            <w:tcW w:type="dxa" w:w="1339"/>
            <w:vMerge/>
            <w:tcBorders>
              <w:bottom w:sz="4.0" w:val="single" w:color="#221F1F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(1,073)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(961)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(126)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(117)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(58)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(57) </w:t>
            </w:r>
          </w:p>
        </w:tc>
      </w:tr>
      <w:tr>
        <w:trPr>
          <w:trHeight w:hRule="exact" w:val="256"/>
        </w:trPr>
        <w:tc>
          <w:tcPr>
            <w:tcW w:type="dxa" w:w="1339"/>
            <w:vMerge/>
            <w:tcBorders>
              <w:bottom w:sz="4.0" w:val="single" w:color="#221F1F"/>
            </w:tcBorders>
          </w:tcPr>
          <w:p/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(1,307)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326 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(882) </w:t>
            </w:r>
          </w:p>
        </w:tc>
        <w:tc>
          <w:tcPr>
            <w:tcW w:type="dxa" w:w="7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(123) 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(161) 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(88) </w:t>
            </w:r>
          </w:p>
        </w:tc>
      </w:tr>
      <w:tr>
        <w:trPr>
          <w:trHeight w:hRule="exact" w:val="335"/>
        </w:trPr>
        <w:tc>
          <w:tcPr>
            <w:tcW w:type="dxa" w:w="43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End of year . . . . . . . . . . . . . . . . . . . . . . . . . . . . .</w:t>
            </w:r>
          </w:p>
        </w:tc>
        <w:tc>
          <w:tcPr>
            <w:tcW w:type="dxa" w:w="8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21,555 </w:t>
            </w:r>
          </w:p>
        </w:tc>
        <w:tc>
          <w:tcPr>
            <w:tcW w:type="dxa" w:w="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22,166 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2,725 </w:t>
            </w:r>
          </w:p>
        </w:tc>
        <w:tc>
          <w:tcPr>
            <w:tcW w:type="dxa" w:w="7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3,408 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2,070 </w:t>
            </w:r>
          </w:p>
        </w:tc>
        <w:tc>
          <w:tcPr>
            <w:tcW w:type="dxa" w:w="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2,097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Fair value of plan assets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34"/>
        </w:trPr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Beginning of year . . . .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25,689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24,565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4,540 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4,281 </w:t>
            </w:r>
          </w:p>
        </w:tc>
      </w:tr>
      <w:tr>
        <w:trPr>
          <w:trHeight w:hRule="exact" w:val="240"/>
        </w:trPr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Participant contributions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193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181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 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 </w:t>
            </w:r>
          </w:p>
        </w:tc>
      </w:tr>
      <w:tr>
        <w:trPr>
          <w:trHeight w:hRule="exact" w:val="240"/>
        </w:trPr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Actual return on assets .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2,454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1,749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438 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303 </w:t>
            </w:r>
          </w:p>
        </w:tc>
      </w:tr>
      <w:tr>
        <w:trPr>
          <w:trHeight w:hRule="exact" w:val="240"/>
        </w:trPr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Employer contributions . . . . . . . . . . . . . . . . . . .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137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155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 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 </w:t>
            </w:r>
          </w:p>
        </w:tc>
      </w:tr>
      <w:tr>
        <w:trPr>
          <w:trHeight w:hRule="exact" w:val="256"/>
        </w:trPr>
        <w:tc>
          <w:tcPr>
            <w:tcW w:type="dxa" w:w="43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Benefits paid . . . . . . . . . . . . . . . . . . . . . . . . . . . .</w:t>
            </w:r>
          </w:p>
        </w:tc>
        <w:tc>
          <w:tcPr>
            <w:tcW w:type="dxa" w:w="8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(1,073) </w:t>
            </w:r>
          </w:p>
        </w:tc>
        <w:tc>
          <w:tcPr>
            <w:tcW w:type="dxa" w:w="8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(961) </w:t>
            </w:r>
          </w:p>
        </w:tc>
        <w:tc>
          <w:tcPr>
            <w:tcW w:type="dxa" w:w="7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(126) </w:t>
            </w:r>
          </w:p>
        </w:tc>
        <w:tc>
          <w:tcPr>
            <w:tcW w:type="dxa" w:w="13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(117) </w:t>
            </w:r>
          </w:p>
        </w:tc>
      </w:tr>
      <w:tr>
        <w:trPr>
          <w:trHeight w:hRule="exact" w:val="300"/>
        </w:trPr>
        <w:tc>
          <w:tcPr>
            <w:tcW w:type="dxa" w:w="43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End of year . . . . . . . . . . . . . . . . . . . . . . . . . . . . .</w:t>
            </w:r>
          </w:p>
        </w:tc>
        <w:tc>
          <w:tcPr>
            <w:tcW w:type="dxa" w:w="8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27,400 </w:t>
            </w:r>
          </w:p>
        </w:tc>
        <w:tc>
          <w:tcPr>
            <w:tcW w:type="dxa" w:w="8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25,689 </w:t>
            </w:r>
          </w:p>
        </w:tc>
        <w:tc>
          <w:tcPr>
            <w:tcW w:type="dxa" w:w="7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4,921 </w:t>
            </w:r>
          </w:p>
        </w:tc>
        <w:tc>
          <w:tcPr>
            <w:tcW w:type="dxa" w:w="137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4,540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pgSz w:w="12240" w:h="15840"/>
          <w:pgMar w:top="780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Funded Status-Over (Under) </w:t>
      </w:r>
      <w:r>
        <w:rPr>
          <w:rFonts w:ascii="Times" w:hAnsi="Times" w:eastAsia="Times"/>
          <w:b/>
          <w:i w:val="0"/>
          <w:color w:val="231F20"/>
          <w:sz w:val="13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. . . . . . . . . . . . . . . . . 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Accumulated Benefit Obligations </w:t>
      </w:r>
      <w:r>
        <w:rPr>
          <w:rFonts w:ascii="Times" w:hAnsi="Times" w:eastAsia="Times"/>
          <w:b w:val="0"/>
          <w:i w:val="0"/>
          <w:color w:val="231F20"/>
          <w:sz w:val="20"/>
        </w:rPr>
        <w:t>. . . . . . . . . . . . . .</w:t>
      </w:r>
    </w:p>
    <w:p>
      <w:pPr>
        <w:sectPr>
          <w:type w:val="continuous"/>
          <w:pgSz w:w="12240" w:h="15840"/>
          <w:pgMar w:top="780" w:right="1424" w:bottom="696" w:left="1440" w:header="720" w:footer="720" w:gutter="0"/>
          <w:cols w:num="2" w:equalWidth="0">
            <w:col w:w="4502" w:space="0"/>
            <w:col w:w="4873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62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$</w:t>
      </w:r>
      <w:r>
        <w:rPr>
          <w:rFonts w:ascii="Times" w:hAnsi="Times" w:eastAsia="Times"/>
          <w:b w:val="0"/>
          <w:i w:val="0"/>
          <w:color w:val="231F20"/>
          <w:sz w:val="20"/>
        </w:rPr>
        <w:t>5,845 $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3,523 $2,196 $1,132 $(2,070) $(2,097) </w:t>
      </w:r>
      <w:r>
        <w:rPr>
          <w:rFonts w:ascii="Times" w:hAnsi="Times" w:eastAsia="Times"/>
          <w:b w:val="0"/>
          <w:i w:val="0"/>
          <w:color w:val="231F20"/>
          <w:sz w:val="20"/>
        </w:rPr>
        <w:t>$20,506 $20,968 $2,725 $3,408 $</w:t>
      </w:r>
      <w:r>
        <w:rPr>
          <w:rFonts w:ascii="Times" w:hAnsi="Times" w:eastAsia="Times"/>
          <w:b w:val="0"/>
          <w:i w:val="0"/>
          <w:color w:val="231F20"/>
          <w:sz w:val="20"/>
        </w:rPr>
        <w:t>1,925 $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1,931 </w:t>
      </w:r>
    </w:p>
    <w:p>
      <w:pPr>
        <w:sectPr>
          <w:type w:val="nextColumn"/>
          <w:pgSz w:w="12240" w:h="15840"/>
          <w:pgMar w:top="780" w:right="1424" w:bottom="696" w:left="1440" w:header="720" w:footer="720" w:gutter="0"/>
          <w:cols w:num="2" w:equalWidth="0">
            <w:col w:w="4502" w:space="0"/>
            <w:col w:w="487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8"/>
        <w:gridCol w:w="4688"/>
      </w:tblGrid>
      <w:tr>
        <w:trPr>
          <w:trHeight w:hRule="exact" w:val="310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Over-Funded status is included in Other Assets – Assets under retirement benefits plans on the Balance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Sheets and Under - Funded status Other liabilities – Liabilities under retirement benefits plans on the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Balance Sheets. </w:t>
      </w:r>
    </w:p>
    <w:p>
      <w:pPr>
        <w:autoSpaceDN w:val="0"/>
        <w:autoSpaceDE w:val="0"/>
        <w:widowControl/>
        <w:spacing w:line="200" w:lineRule="exact" w:before="5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160 </w:t>
      </w:r>
    </w:p>
    <w:p>
      <w:pPr>
        <w:sectPr>
          <w:type w:val="continuous"/>
          <w:pgSz w:w="12240" w:h="15840"/>
          <w:pgMar w:top="780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the SRP and RSBP were overfunded by $5,845 million and $2,196 million, respectively.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PEBP, after reflecting IBRD and IDA’s share of assets which totals $2,359 million, within 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portfolio, was overfunded by $289 million. </w:t>
      </w:r>
    </w:p>
    <w:p>
      <w:pPr>
        <w:autoSpaceDN w:val="0"/>
        <w:autoSpaceDE w:val="0"/>
        <w:widowControl/>
        <w:spacing w:line="240" w:lineRule="exact" w:before="25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fiscal years ended June 30, 2025 and June 30, 2024, there were no amendments made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retirement benefit plans. </w:t>
      </w:r>
    </w:p>
    <w:p>
      <w:pPr>
        <w:autoSpaceDN w:val="0"/>
        <w:autoSpaceDE w:val="0"/>
        <w:widowControl/>
        <w:spacing w:line="240" w:lineRule="exact" w:before="25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present the amounts included in Accumulated Other Comprehensive Income/Loss relating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Pension and Other Postretirement Benefits: </w:t>
      </w:r>
    </w:p>
    <w:p>
      <w:pPr>
        <w:autoSpaceDN w:val="0"/>
        <w:autoSpaceDE w:val="0"/>
        <w:widowControl/>
        <w:spacing w:line="200" w:lineRule="exact" w:before="29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K4: Amounts included in Accumulated Other Comprehensive Income as of June 30, 2025 </w:t>
      </w:r>
    </w:p>
    <w:p>
      <w:pPr>
        <w:autoSpaceDN w:val="0"/>
        <w:autoSpaceDE w:val="0"/>
        <w:widowControl/>
        <w:spacing w:line="180" w:lineRule="exact" w:before="164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74"/>
        </w:trPr>
        <w:tc>
          <w:tcPr>
            <w:tcW w:type="dxa" w:w="619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71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93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76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12"/>
        </w:trPr>
        <w:tc>
          <w:tcPr>
            <w:tcW w:type="dxa" w:w="6192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Net actuarial (gains)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Prior service cost . . . . . . . . . . . . . . . . . . . . . . . . . . . . . . . . . . . . . . . . . . . . . .</w:t>
            </w:r>
          </w:p>
        </w:tc>
        <w:tc>
          <w:tcPr>
            <w:tcW w:type="dxa" w:w="3048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$(4,491) $(2,424) $(246) $(7,161) </w:t>
            </w:r>
          </w:p>
        </w:tc>
      </w:tr>
      <w:tr>
        <w:trPr>
          <w:trHeight w:hRule="exact" w:val="269"/>
        </w:trPr>
        <w:tc>
          <w:tcPr>
            <w:tcW w:type="dxa" w:w="1563"/>
            <w:vMerge/>
            <w:tcBorders>
              <w:top w:sz="8.0" w:val="single" w:color="#221F1F"/>
            </w:tcBorders>
          </w:tcPr>
          <w:p/>
        </w:tc>
        <w:tc>
          <w:tcPr>
            <w:tcW w:type="dxa" w:w="13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00" w:lineRule="exact" w:before="72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Net amount recognized in Accumulated 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8"/>
        <w:gridCol w:w="4688"/>
      </w:tblGrid>
      <w:tr>
        <w:trPr>
          <w:trHeight w:hRule="exact" w:val="246"/>
        </w:trPr>
        <w:tc>
          <w:tcPr>
            <w:tcW w:type="dxa" w:w="61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Income . . . . . . . . . . . . . . . . . . . . . . . . . . . . . . . . . . . . . . . . . . . . . . . .</w:t>
            </w:r>
          </w:p>
        </w:tc>
        <w:tc>
          <w:tcPr>
            <w:tcW w:type="dxa" w:w="30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$(4,491) $(2,417) $(246) $(7,154) </w:t>
            </w:r>
          </w:p>
        </w:tc>
      </w:tr>
      <w:tr>
        <w:trPr>
          <w:trHeight w:hRule="exact" w:val="160"/>
        </w:trPr>
        <w:tc>
          <w:tcPr>
            <w:tcW w:type="dxa" w:w="61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5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K4.1: Amounts included in Accumulated Other Comprehensive Income as of June 30, 2024 </w:t>
      </w:r>
    </w:p>
    <w:p>
      <w:pPr>
        <w:autoSpaceDN w:val="0"/>
        <w:autoSpaceDE w:val="0"/>
        <w:widowControl/>
        <w:spacing w:line="180" w:lineRule="exact" w:before="162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276"/>
        </w:trPr>
        <w:tc>
          <w:tcPr>
            <w:tcW w:type="dxa" w:w="6268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6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716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868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  <w:tc>
          <w:tcPr>
            <w:tcW w:type="dxa" w:w="752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6268"/>
            <w:vMerge w:val="restart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Net actuarial (gains)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Prior service cost . . . . . . . . . . . . . . . . . . . . . . . . . . . . . . . . . . . . . . . . . . . . . .</w:t>
            </w:r>
          </w:p>
        </w:tc>
        <w:tc>
          <w:tcPr>
            <w:tcW w:type="dxa" w:w="2972"/>
            <w:gridSpan w:val="5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$(2,222) $(1,434) $(85) $(3,741) </w:t>
            </w:r>
          </w:p>
        </w:tc>
      </w:tr>
      <w:tr>
        <w:trPr>
          <w:trHeight w:hRule="exact" w:val="275"/>
        </w:trPr>
        <w:tc>
          <w:tcPr>
            <w:tcW w:type="dxa" w:w="1563"/>
            <w:vMerge/>
            <w:tcBorders>
              <w:top w:sz="8.0" w:val="single" w:color="#221F1F"/>
            </w:tcBorders>
          </w:tcPr>
          <w:p/>
        </w:tc>
        <w:tc>
          <w:tcPr>
            <w:tcW w:type="dxa" w:w="13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6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200" w:lineRule="exact" w:before="72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Net amount recognized in Accumulated Other Comprehensive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8"/>
        <w:gridCol w:w="4688"/>
      </w:tblGrid>
      <w:tr>
        <w:trPr>
          <w:trHeight w:hRule="exact" w:val="246"/>
        </w:trPr>
        <w:tc>
          <w:tcPr>
            <w:tcW w:type="dxa" w:w="62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Income . . . . . . . . . . . . . . . . . . . . . . . . . . . . . . . . . . . . . . . . . . . . . . . .</w:t>
            </w:r>
          </w:p>
        </w:tc>
        <w:tc>
          <w:tcPr>
            <w:tcW w:type="dxa" w:w="29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$(2,219) $(1,425) $(82) $(3,726) </w:t>
            </w:r>
          </w:p>
        </w:tc>
      </w:tr>
      <w:tr>
        <w:trPr>
          <w:trHeight w:hRule="exact" w:val="160"/>
        </w:trPr>
        <w:tc>
          <w:tcPr>
            <w:tcW w:type="dxa" w:w="62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7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Assumptions </w:t>
      </w:r>
    </w:p>
    <w:p>
      <w:pPr>
        <w:autoSpaceDN w:val="0"/>
        <w:autoSpaceDE w:val="0"/>
        <w:widowControl/>
        <w:spacing w:line="240" w:lineRule="exact" w:before="130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actuarial assumptions used are based on financial market interest rates, inflation expectations, past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experience, and Management’s best estimate of future benefit changes and economic conditions. Changes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assumptions will impact future benefit costs and obligations. </w:t>
      </w:r>
    </w:p>
    <w:p>
      <w:pPr>
        <w:autoSpaceDN w:val="0"/>
        <w:autoSpaceDE w:val="0"/>
        <w:widowControl/>
        <w:spacing w:line="240" w:lineRule="exact" w:before="256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expected long-term rate of return for the SRP assets is a weighted average of the expected long-term (10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years or more) returns for the various asset classes, weighted by the portfolio allocation. Asset class returns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developed using a forward-looking building block approach. Equity returns are generally developed as the sum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expected inflation, expected real earnings growth and expected long-term dividend yield. Bond returns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generally developed as the sum of expected inflation, real bond yield, duration-adjusted change in yields and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premium/spread (as appropriate). Other asset class returns are derived from their relationship to equity and bond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markets. The expected long-term rate of return for the RSBP is computed using procedures similar to those used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SRP. The discount rate used in determining the benefit obligation is selected by reference to the year-end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yield of AA corporate bonds. </w:t>
      </w:r>
    </w:p>
    <w:p>
      <w:pPr>
        <w:autoSpaceDN w:val="0"/>
        <w:autoSpaceDE w:val="0"/>
        <w:widowControl/>
        <w:spacing w:line="240" w:lineRule="exact" w:before="258" w:after="0"/>
        <w:ind w:left="120" w:right="8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Actuarial gains and losses occur when actual results are different from expected results. Amortization of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gains and losses will be included in income if, at the beginning of the fiscal year, they exceed 10%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greater of the projected benefit obligation or the market-related value of plan assets. If required,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unrecognized gains and losses are amortized over the expected average remaining service lives of the employee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group. </w:t>
      </w:r>
    </w:p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161 </w:t>
      </w:r>
    </w:p>
    <w:p>
      <w:pPr>
        <w:sectPr>
          <w:pgSz w:w="12240" w:h="15840"/>
          <w:pgMar w:top="764" w:right="142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present the weighted-average assumptions used in determining the projected benefit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obligations and the net periodic pension costs: </w:t>
      </w:r>
    </w:p>
    <w:p>
      <w:pPr>
        <w:autoSpaceDN w:val="0"/>
        <w:autoSpaceDE w:val="0"/>
        <w:widowControl/>
        <w:spacing w:line="200" w:lineRule="exact" w:before="2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K5: Weighted average assumptions used to determine projected benefit obligations </w:t>
      </w:r>
    </w:p>
    <w:p>
      <w:pPr>
        <w:autoSpaceDN w:val="0"/>
        <w:autoSpaceDE w:val="0"/>
        <w:widowControl/>
        <w:spacing w:line="180" w:lineRule="exact" w:before="152" w:after="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percent, except years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516"/>
        </w:trPr>
        <w:tc>
          <w:tcPr>
            <w:tcW w:type="dxa" w:w="591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8" w:after="0"/>
              <w:ind w:left="0" w:right="13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1544"/>
            <w:gridSpan w:val="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8" w:after="0"/>
              <w:ind w:left="0" w:right="47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976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</w:tr>
      <w:tr>
        <w:trPr>
          <w:trHeight w:hRule="exact" w:val="240"/>
        </w:trPr>
        <w:tc>
          <w:tcPr>
            <w:tcW w:type="dxa" w:w="591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82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598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6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35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00"/>
        </w:trPr>
        <w:tc>
          <w:tcPr>
            <w:tcW w:type="dxa" w:w="5914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Discount rate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Rate of compensation increase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Health care growth rates – at end of fiscal year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Ultimate health care growth rate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Year in which ultimate rate is reached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crediting rate . . . . . . . . . . . . . . . . . . . . . . . . . . . . . . . . . . . . . . . .</w:t>
            </w:r>
          </w:p>
        </w:tc>
        <w:tc>
          <w:tcPr>
            <w:tcW w:type="dxa" w:w="1052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5.50 5.30 </w:t>
            </w:r>
          </w:p>
        </w:tc>
        <w:tc>
          <w:tcPr>
            <w:tcW w:type="dxa" w:w="598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5.60 </w:t>
            </w:r>
          </w:p>
        </w:tc>
        <w:tc>
          <w:tcPr>
            <w:tcW w:type="dxa" w:w="164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5.40 5.50 5.30 </w:t>
            </w:r>
          </w:p>
        </w:tc>
      </w:tr>
      <w:tr>
        <w:trPr>
          <w:trHeight w:hRule="exact" w:val="240"/>
        </w:trPr>
        <w:tc>
          <w:tcPr>
            <w:tcW w:type="dxa" w:w="104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6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4.80 5.20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4.80 5.20 </w:t>
            </w:r>
          </w:p>
        </w:tc>
      </w:tr>
      <w:tr>
        <w:trPr>
          <w:trHeight w:hRule="exact" w:val="240"/>
        </w:trPr>
        <w:tc>
          <w:tcPr>
            <w:tcW w:type="dxa" w:w="104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6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6.00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5.40 </w:t>
            </w:r>
          </w:p>
        </w:tc>
      </w:tr>
      <w:tr>
        <w:trPr>
          <w:trHeight w:hRule="exact" w:val="240"/>
        </w:trPr>
        <w:tc>
          <w:tcPr>
            <w:tcW w:type="dxa" w:w="104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65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4.00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4.40 </w:t>
            </w:r>
          </w:p>
        </w:tc>
      </w:tr>
      <w:tr>
        <w:trPr>
          <w:trHeight w:hRule="exact" w:val="240"/>
        </w:trPr>
        <w:tc>
          <w:tcPr>
            <w:tcW w:type="dxa" w:w="104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329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1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2033 2031 </w:t>
            </w:r>
          </w:p>
        </w:tc>
      </w:tr>
      <w:tr>
        <w:trPr>
          <w:trHeight w:hRule="exact" w:val="304"/>
        </w:trPr>
        <w:tc>
          <w:tcPr>
            <w:tcW w:type="dxa" w:w="104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116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5.00 5.40 </w:t>
            </w:r>
          </w:p>
        </w:tc>
        <w:tc>
          <w:tcPr>
            <w:tcW w:type="dxa" w:w="5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n.a </w:t>
            </w:r>
          </w:p>
        </w:tc>
        <w:tc>
          <w:tcPr>
            <w:tcW w:type="dxa" w:w="164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n.a 5.00 5.40 </w:t>
            </w:r>
          </w:p>
        </w:tc>
      </w:tr>
    </w:tbl>
    <w:p>
      <w:pPr>
        <w:autoSpaceDN w:val="0"/>
        <w:autoSpaceDE w:val="0"/>
        <w:widowControl/>
        <w:spacing w:line="200" w:lineRule="exact" w:before="4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K6: Weighted average assumptions used to determine net periodic pension cost </w:t>
      </w:r>
    </w:p>
    <w:p>
      <w:pPr>
        <w:autoSpaceDN w:val="0"/>
        <w:autoSpaceDE w:val="0"/>
        <w:widowControl/>
        <w:spacing w:line="180" w:lineRule="exact" w:before="152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percent, except years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76"/>
        </w:trPr>
        <w:tc>
          <w:tcPr>
            <w:tcW w:type="dxa" w:w="421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90"/>
            <w:gridSpan w:val="5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127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1420"/>
            <w:gridSpan w:val="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8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1380"/>
            <w:gridSpan w:val="3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56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</w:tr>
      <w:tr>
        <w:trPr>
          <w:trHeight w:hRule="exact" w:val="240"/>
        </w:trPr>
        <w:tc>
          <w:tcPr>
            <w:tcW w:type="dxa" w:w="421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3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8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  <w:tc>
          <w:tcPr>
            <w:tcW w:type="dxa" w:w="584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18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42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9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  <w:tc>
          <w:tcPr>
            <w:tcW w:type="dxa" w:w="370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5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12"/>
        </w:trPr>
        <w:tc>
          <w:tcPr>
            <w:tcW w:type="dxa" w:w="4214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Discount rate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Expected return on plan assets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Rate of compensation increase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Health care growth rates – at end of fiscal year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Ultimate health care growth rate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Year in which ultimate rate is reached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 crediting rate . . . . . . . . . . . . . . . . . . . . . . .</w:t>
            </w:r>
          </w:p>
        </w:tc>
        <w:tc>
          <w:tcPr>
            <w:tcW w:type="dxa" w:w="1606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5.30 4.90 4.40 </w:t>
            </w:r>
          </w:p>
        </w:tc>
        <w:tc>
          <w:tcPr>
            <w:tcW w:type="dxa" w:w="584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5.40 </w:t>
            </w:r>
          </w:p>
        </w:tc>
        <w:tc>
          <w:tcPr>
            <w:tcW w:type="dxa" w:w="618"/>
            <w:tcBorders>
              <w:top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4.90 </w:t>
            </w:r>
          </w:p>
        </w:tc>
        <w:tc>
          <w:tcPr>
            <w:tcW w:type="dxa" w:w="2182"/>
            <w:gridSpan w:val="6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4.50 5.30 4.90 4.50 </w:t>
            </w:r>
          </w:p>
        </w:tc>
      </w:tr>
      <w:tr>
        <w:trPr>
          <w:trHeight w:hRule="exact" w:val="240"/>
        </w:trPr>
        <w:tc>
          <w:tcPr>
            <w:tcW w:type="dxa" w:w="7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6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5.90 5.70 5.90 </w:t>
            </w:r>
          </w:p>
        </w:tc>
        <w:tc>
          <w:tcPr>
            <w:tcW w:type="dxa" w:w="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5.90 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5.70 </w:t>
            </w:r>
          </w:p>
        </w:tc>
        <w:tc>
          <w:tcPr>
            <w:tcW w:type="dxa" w:w="21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5.90 </w:t>
            </w:r>
          </w:p>
        </w:tc>
      </w:tr>
      <w:tr>
        <w:trPr>
          <w:trHeight w:hRule="exact" w:val="240"/>
        </w:trPr>
        <w:tc>
          <w:tcPr>
            <w:tcW w:type="dxa" w:w="7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2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5.20 5.10 5.30 </w:t>
            </w:r>
          </w:p>
        </w:tc>
        <w:tc>
          <w:tcPr>
            <w:tcW w:type="dxa" w:w="28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5.20 5.10 5.30 </w:t>
            </w:r>
          </w:p>
        </w:tc>
      </w:tr>
      <w:tr>
        <w:trPr>
          <w:trHeight w:hRule="exact" w:val="240"/>
        </w:trPr>
        <w:tc>
          <w:tcPr>
            <w:tcW w:type="dxa" w:w="7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2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5.40 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5.40 </w:t>
            </w:r>
          </w:p>
        </w:tc>
        <w:tc>
          <w:tcPr>
            <w:tcW w:type="dxa" w:w="21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5.80 </w:t>
            </w:r>
          </w:p>
        </w:tc>
      </w:tr>
      <w:tr>
        <w:trPr>
          <w:trHeight w:hRule="exact" w:val="240"/>
        </w:trPr>
        <w:tc>
          <w:tcPr>
            <w:tcW w:type="dxa" w:w="7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2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4.40 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4.20 </w:t>
            </w:r>
          </w:p>
        </w:tc>
        <w:tc>
          <w:tcPr>
            <w:tcW w:type="dxa" w:w="21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4.40 </w:t>
            </w:r>
          </w:p>
        </w:tc>
      </w:tr>
      <w:tr>
        <w:trPr>
          <w:trHeight w:hRule="exact" w:val="240"/>
        </w:trPr>
        <w:tc>
          <w:tcPr>
            <w:tcW w:type="dxa" w:w="7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499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6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2031 2031 2031 </w:t>
            </w:r>
          </w:p>
        </w:tc>
      </w:tr>
      <w:tr>
        <w:trPr>
          <w:trHeight w:hRule="exact" w:val="292"/>
        </w:trPr>
        <w:tc>
          <w:tcPr>
            <w:tcW w:type="dxa" w:w="720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1666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5.40 5.20 5.40 </w:t>
            </w:r>
          </w:p>
        </w:tc>
        <w:tc>
          <w:tcPr>
            <w:tcW w:type="dxa" w:w="5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n.a </w:t>
            </w:r>
          </w:p>
        </w:tc>
        <w:tc>
          <w:tcPr>
            <w:tcW w:type="dxa" w:w="67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n.a </w:t>
            </w:r>
          </w:p>
        </w:tc>
        <w:tc>
          <w:tcPr>
            <w:tcW w:type="dxa" w:w="2124"/>
            <w:gridSpan w:val="5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n.a 5.40 5.20 5.40 </w:t>
            </w:r>
          </w:p>
        </w:tc>
      </w:tr>
    </w:tbl>
    <w:p>
      <w:pPr>
        <w:autoSpaceDN w:val="0"/>
        <w:autoSpaceDE w:val="0"/>
        <w:widowControl/>
        <w:spacing w:line="240" w:lineRule="exact" w:before="28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medical cost trend rate can significantly affect the reported postretirement benefit income or costs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benefit obligations for the RSBP. For the fiscal year ended June 30, 2025, the net actuarial gains were primarily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attributable to the decrease in the expected inflation assumption and an increase in the nominal discount rate,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offset by changes in demographic experience. In addition, there was an increase in the value of the plan assets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exceeded the expected asset returns. For the fiscal year ended June 30, 2024, the actuarial gains were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primarily due to an increase in the value of the plan assets in excess of expected asset returns which was partially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offset by the actuarial losses attributable to the increase in inflation assumptions and demographic experience. </w:t>
      </w:r>
    </w:p>
    <w:p>
      <w:pPr>
        <w:autoSpaceDN w:val="0"/>
        <w:autoSpaceDE w:val="0"/>
        <w:widowControl/>
        <w:spacing w:line="200" w:lineRule="exact" w:before="39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Investment Strategy </w:t>
      </w:r>
    </w:p>
    <w:p>
      <w:pPr>
        <w:autoSpaceDN w:val="0"/>
        <w:autoSpaceDE w:val="0"/>
        <w:widowControl/>
        <w:spacing w:line="240" w:lineRule="exact" w:before="11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investment policies establish the framework for investment of the plan assets based on long-term 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objectives and the trade-offs inherent in seeking adequate investment returns within acceptable risk parameters.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key component of the investment policy is to establish a Strategic Asset Allocation (SAA) representing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policy portfolio (i.e., policy mix of assets) around which the SRP and RSBP (the Plans) are invested. The SAA 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derived using a mix of quantitative analysis that incorporates expected returns and volatilities by asset class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well as correlations across the asset classes, and qualitative considerations such as the liquidity needs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Plans. The SAA for the Plans is reviewed in detail and reset about every three to five years, with more frequent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reviews and changes if and as needed based on market conditions. </w:t>
      </w:r>
    </w:p>
    <w:p>
      <w:pPr>
        <w:autoSpaceDN w:val="0"/>
        <w:autoSpaceDE w:val="0"/>
        <w:widowControl/>
        <w:spacing w:line="240" w:lineRule="exact" w:before="23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key long-term objective is to generate asset performance that is reasonable in relation to the growth rate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underlying liabilities and the assumed sponsor contribution rates, without taking undue risks. Given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relatively long investment horizons of the SRP and RSBP, and the relatively modest liquidity needs over the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162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short-term to pay benefits and meet other cash requirements, the focus of the investment strategy is on generating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sustainable long-term investment returns through a globally diversified set of strategies including fixed income,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public and private equity and real assets. The last SAA review effective July 1, 2024 resulted in an increased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to Credit Strategies from 6% to 7% and Real Assets from 13% to 15% while reducing the Public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Equities allocation from 31% to 29% and Market Neutral Hedge Funds from 10% to 9%. </w:t>
      </w:r>
    </w:p>
    <w:p>
      <w:pPr>
        <w:autoSpaceDN w:val="0"/>
        <w:autoSpaceDE w:val="0"/>
        <w:widowControl/>
        <w:spacing w:line="240" w:lineRule="exact" w:before="19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presents the policy asset allocation and the actual asset allocations by asset category for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SRP and RSBP: </w:t>
      </w:r>
    </w:p>
    <w:p>
      <w:pPr>
        <w:autoSpaceDN w:val="0"/>
        <w:autoSpaceDE w:val="0"/>
        <w:widowControl/>
        <w:spacing w:line="200" w:lineRule="exact" w:before="232" w:after="19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K7: Policy and actual asset allocations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74"/>
        </w:trPr>
        <w:tc>
          <w:tcPr>
            <w:tcW w:type="dxa" w:w="470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6"/>
            <w:gridSpan w:val="2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114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</w:tr>
      <w:tr>
        <w:trPr>
          <w:trHeight w:hRule="exact" w:val="240"/>
        </w:trPr>
        <w:tc>
          <w:tcPr>
            <w:tcW w:type="dxa" w:w="470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Policy allocation </w:t>
            </w:r>
          </w:p>
        </w:tc>
        <w:tc>
          <w:tcPr>
            <w:tcW w:type="dxa" w:w="1716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Actual Allocation (%) </w:t>
            </w:r>
          </w:p>
        </w:tc>
        <w:tc>
          <w:tcPr>
            <w:tcW w:type="dxa" w:w="114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Policy allocation </w:t>
            </w:r>
          </w:p>
        </w:tc>
        <w:tc>
          <w:tcPr>
            <w:tcW w:type="dxa" w:w="1640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Actual Allocation (%) </w:t>
            </w:r>
          </w:p>
        </w:tc>
      </w:tr>
      <w:tr>
        <w:trPr>
          <w:trHeight w:hRule="exact" w:val="240"/>
        </w:trPr>
        <w:tc>
          <w:tcPr>
            <w:tcW w:type="dxa" w:w="470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2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(%) </w:t>
            </w:r>
          </w:p>
        </w:tc>
        <w:tc>
          <w:tcPr>
            <w:tcW w:type="dxa" w:w="73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98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1144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(%) </w:t>
            </w:r>
          </w:p>
        </w:tc>
        <w:tc>
          <w:tcPr>
            <w:tcW w:type="dxa" w:w="7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7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00" w:lineRule="exact" w:before="90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Asset class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6"/>
        </w:trPr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Fixed income and Cash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45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Credit Strategies . . . . .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Public equity . . . . . . . .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22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29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Private equity . . . . . . . .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23 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Market neutral hedge funds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3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Real assets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14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 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52"/>
        </w:trPr>
        <w:tc>
          <w:tcPr>
            <w:tcW w:type="dxa" w:w="36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14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20"/>
        </w:trPr>
        <w:tc>
          <w:tcPr>
            <w:tcW w:type="dxa" w:w="362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</w:t>
            </w:r>
          </w:p>
        </w:tc>
        <w:tc>
          <w:tcPr>
            <w:tcW w:type="dxa" w:w="10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  <w:tc>
          <w:tcPr>
            <w:tcW w:type="dxa" w:w="8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  <w:tc>
          <w:tcPr>
            <w:tcW w:type="dxa" w:w="14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  <w:tc>
          <w:tcPr>
            <w:tcW w:type="dxa" w:w="11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4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  <w:tc>
          <w:tcPr>
            <w:tcW w:type="dxa" w:w="4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100 </w:t>
            </w:r>
          </w:p>
        </w:tc>
      </w:tr>
      <w:tr>
        <w:trPr>
          <w:trHeight w:hRule="exact" w:val="468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364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public and private real estate, infrastructure and timber. </w:t>
            </w:r>
          </w:p>
        </w:tc>
        <w:tc>
          <w:tcPr>
            <w:tcW w:type="dxa" w:w="45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b. </w:t>
            </w:r>
          </w:p>
        </w:tc>
        <w:tc>
          <w:tcPr>
            <w:tcW w:type="dxa" w:w="83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Includes authorized investments that are outside the policy allocations primarily in hedge funds. </w:t>
            </w:r>
          </w:p>
        </w:tc>
        <w:tc>
          <w:tcPr>
            <w:tcW w:type="dxa" w:w="117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27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Significant Concentrations of Risk in Plan Assets </w:t>
      </w:r>
    </w:p>
    <w:p>
      <w:pPr>
        <w:autoSpaceDN w:val="0"/>
        <w:autoSpaceDE w:val="0"/>
        <w:widowControl/>
        <w:spacing w:line="240" w:lineRule="exact" w:before="9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assets of the SRP and RSBP are diversified across a variety of asset classes. Investments in these asset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classes are further diversified across funds, managers, strategies, geographies and sectors, to limit the impact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individual investment. In spite of such level of diversification, equity market risk remains the primary source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overall return volatility of the Plans. As of June 30, 2025, the largest exposure to a single counterparty was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12% and 13% of the plan assets in SRP and RSBP, respectively (10% and 12%, respectively—June 30, 2024). </w:t>
      </w:r>
    </w:p>
    <w:p>
      <w:pPr>
        <w:autoSpaceDN w:val="0"/>
        <w:autoSpaceDE w:val="0"/>
        <w:widowControl/>
        <w:spacing w:line="200" w:lineRule="exact" w:before="326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Risk Management Practices </w:t>
      </w:r>
    </w:p>
    <w:p>
      <w:pPr>
        <w:autoSpaceDN w:val="0"/>
        <w:autoSpaceDE w:val="0"/>
        <w:widowControl/>
        <w:spacing w:line="240" w:lineRule="exact" w:before="9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Managing investment risk is an integral part of managing the assets of the Plans. Asset diversification is central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the overall investment strategy and risk management approach for the Plans. Absolute risk indicators such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overall return volatility and drawdown of the Plans are the primary measures used to define the risk tolerance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level and establish the overall level of investment risk. In addition, the level of active risk (defined as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annualized standard deviation of portfolio returns relative to those of the policy portfolio) is closely monitored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managed on an ongoing basis. </w:t>
      </w:r>
    </w:p>
    <w:p>
      <w:pPr>
        <w:autoSpaceDN w:val="0"/>
        <w:autoSpaceDE w:val="0"/>
        <w:widowControl/>
        <w:spacing w:line="240" w:lineRule="exact" w:before="19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 risk is regularly monitored at the absolute level, as well as at the relative levels with respect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policy, manager benchmarks, and liabilities of the Plans. Stress tests are performed periodically using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relevant market scenarios to assess the impact of extreme market events. </w:t>
      </w:r>
    </w:p>
    <w:p>
      <w:pPr>
        <w:autoSpaceDN w:val="0"/>
        <w:autoSpaceDE w:val="0"/>
        <w:widowControl/>
        <w:spacing w:line="240" w:lineRule="exact" w:before="19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Monitoring of performance (at both manager and asset class levels) against benchmarks, and compliance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guidelines, are carried out on a regular basis which provides helpful information for assessing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impact on the portfolios caused by market risk factors. Risk management for different asset classes is tailored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specific characteristics and is an integral part of the external managers’ due diligence and monitoring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processes.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163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risk is monitored on a regular basis and assessed for possible credit event impacts. The liquidity position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Plans is analyzed at regular intervals and periodically tested using various stress scenarios to ensure that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Plans have sufficient liquidity to meet all cash flow requirements. In addition, the long- term cash flow needs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Plans are considered during the SAA exercise and are one of the main drivers in determining maximum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to the illiquid investment vehicles.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Fair Value Measurements and Disclosures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All plan assets are measured at fair value on a recurring basis. The following tables present the fair value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hierarchy of major categories of plan assets: 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K8: Plan assets fair value hierarchy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60" w:lineRule="exact" w:before="96" w:after="24"/>
        <w:ind w:left="0" w:right="236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2.0000000000005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40"/>
        </w:trPr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50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7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1 </w:t>
            </w:r>
          </w:p>
        </w:tc>
        <w:tc>
          <w:tcPr>
            <w:tcW w:type="dxa" w:w="74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2 </w:t>
            </w:r>
          </w:p>
        </w:tc>
        <w:tc>
          <w:tcPr>
            <w:tcW w:type="dxa" w:w="72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3 </w:t>
            </w:r>
          </w:p>
        </w:tc>
        <w:tc>
          <w:tcPr>
            <w:tcW w:type="dxa" w:w="7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74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1 </w:t>
            </w:r>
          </w:p>
        </w:tc>
        <w:tc>
          <w:tcPr>
            <w:tcW w:type="dxa" w:w="133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2 Level 3 </w:t>
            </w:r>
          </w:p>
        </w:tc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</w:tbl>
    <w:p>
      <w:pPr>
        <w:autoSpaceDN w:val="0"/>
        <w:autoSpaceDE w:val="0"/>
        <w:widowControl/>
        <w:spacing w:line="200" w:lineRule="exact" w:before="86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Debt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4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Short-term investments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9 $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8 $— $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17 $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4 $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4 $— $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2"/>
        </w:trPr>
        <w:tc>
          <w:tcPr>
            <w:tcW w:type="dxa" w:w="3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agreements . . . . . . . . . . . . . . . .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150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150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 </w:t>
            </w:r>
          </w:p>
        </w:tc>
      </w:tr>
      <w:tr>
        <w:trPr>
          <w:trHeight w:hRule="exact" w:val="240"/>
        </w:trPr>
        <w:tc>
          <w:tcPr>
            <w:tcW w:type="dxa" w:w="3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Government and agency securities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3,434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461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3,895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666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760 </w:t>
            </w:r>
          </w:p>
        </w:tc>
      </w:tr>
      <w:tr>
        <w:trPr>
          <w:trHeight w:hRule="exact" w:val="240"/>
        </w:trPr>
        <w:tc>
          <w:tcPr>
            <w:tcW w:type="dxa" w:w="3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Corporate and convertible bonds .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385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385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 </w:t>
            </w:r>
          </w:p>
        </w:tc>
      </w:tr>
      <w:tr>
        <w:trPr>
          <w:trHeight w:hRule="exact" w:val="240"/>
        </w:trPr>
        <w:tc>
          <w:tcPr>
            <w:tcW w:type="dxa" w:w="3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ABS . . . . . . . . . . . . . . . . . . . . . . . .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199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199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 </w:t>
            </w:r>
          </w:p>
        </w:tc>
      </w:tr>
      <w:tr>
        <w:trPr>
          <w:trHeight w:hRule="exact" w:val="256"/>
        </w:trPr>
        <w:tc>
          <w:tcPr>
            <w:tcW w:type="dxa" w:w="36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MBS . . . . . . . . . . . . . . . . . . . . . . . . . .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618 </w:t>
            </w:r>
          </w:p>
        </w:tc>
        <w:tc>
          <w:tcPr>
            <w:tcW w:type="dxa" w:w="5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618 </w:t>
            </w:r>
          </w:p>
        </w:tc>
        <w:tc>
          <w:tcPr>
            <w:tcW w:type="dxa" w:w="7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106 </w:t>
            </w:r>
          </w:p>
        </w:tc>
        <w:tc>
          <w:tcPr>
            <w:tcW w:type="dxa" w:w="5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106 </w:t>
            </w:r>
          </w:p>
        </w:tc>
      </w:tr>
      <w:tr>
        <w:trPr>
          <w:trHeight w:hRule="exact" w:val="336"/>
        </w:trPr>
        <w:tc>
          <w:tcPr>
            <w:tcW w:type="dxa" w:w="369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debt securities . . . . . . . . . . . . . . . . . .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3,593 </w:t>
            </w:r>
          </w:p>
        </w:tc>
        <w:tc>
          <w:tcPr>
            <w:tcW w:type="dxa" w:w="7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1,671 </w:t>
            </w:r>
          </w:p>
        </w:tc>
        <w:tc>
          <w:tcPr>
            <w:tcW w:type="dxa" w:w="5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5,264 </w:t>
            </w:r>
          </w:p>
        </w:tc>
        <w:tc>
          <w:tcPr>
            <w:tcW w:type="dxa" w:w="7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705 </w:t>
            </w:r>
          </w:p>
        </w:tc>
        <w:tc>
          <w:tcPr>
            <w:tcW w:type="dxa" w:w="6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314 </w:t>
            </w:r>
          </w:p>
        </w:tc>
        <w:tc>
          <w:tcPr>
            <w:tcW w:type="dxa" w:w="5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1,019 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Equity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Stocks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2,607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2,607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485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485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Real estate investment trusts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8"/>
        </w:trPr>
        <w:tc>
          <w:tcPr>
            <w:tcW w:type="dxa" w:w="36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(REITs) . . . . . . . . . . . . . . . . . . . . . .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184 </w:t>
            </w:r>
          </w:p>
        </w:tc>
        <w:tc>
          <w:tcPr>
            <w:tcW w:type="dxa" w:w="7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184 </w:t>
            </w:r>
          </w:p>
        </w:tc>
        <w:tc>
          <w:tcPr>
            <w:tcW w:type="dxa" w:w="7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 </w:t>
            </w:r>
          </w:p>
        </w:tc>
        <w:tc>
          <w:tcPr>
            <w:tcW w:type="dxa" w:w="6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 </w:t>
            </w:r>
          </w:p>
        </w:tc>
      </w:tr>
      <w:tr>
        <w:trPr>
          <w:trHeight w:hRule="exact" w:val="336"/>
        </w:trPr>
        <w:tc>
          <w:tcPr>
            <w:tcW w:type="dxa" w:w="369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equity securities . . . . . . . . . . . . . . . . .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2,791 </w:t>
            </w:r>
          </w:p>
        </w:tc>
        <w:tc>
          <w:tcPr>
            <w:tcW w:type="dxa" w:w="7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2,791 </w:t>
            </w:r>
          </w:p>
        </w:tc>
        <w:tc>
          <w:tcPr>
            <w:tcW w:type="dxa" w:w="7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512 </w:t>
            </w:r>
          </w:p>
        </w:tc>
        <w:tc>
          <w:tcPr>
            <w:tcW w:type="dxa" w:w="6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512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funds at NAV </w:t>
      </w:r>
      <w:r>
        <w:rPr>
          <w:rFonts w:ascii="Times" w:hAnsi="Times" w:eastAsia="Times"/>
          <w:b w:val="0"/>
          <w:i w:val="0"/>
          <w:color w:val="231F20"/>
          <w:sz w:val="13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Commingled funds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4,365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746 </w:t>
            </w:r>
          </w:p>
        </w:tc>
      </w:tr>
      <w:tr>
        <w:trPr>
          <w:trHeight w:hRule="exact" w:val="24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Private equity funds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6,459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1,126 </w:t>
            </w:r>
          </w:p>
        </w:tc>
      </w:tr>
      <w:tr>
        <w:trPr>
          <w:trHeight w:hRule="exact" w:val="248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Private credit funds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2,072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352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Real asset funds (including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2"/>
        </w:trPr>
        <w:tc>
          <w:tcPr>
            <w:tcW w:type="dxa" w:w="3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infrastructure and timber) . . . . .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3,680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703 </w:t>
            </w:r>
          </w:p>
        </w:tc>
      </w:tr>
      <w:tr>
        <w:trPr>
          <w:trHeight w:hRule="exact" w:val="256"/>
        </w:trPr>
        <w:tc>
          <w:tcPr>
            <w:tcW w:type="dxa" w:w="36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Hedge funds . . . . . . . . . . . . . . . . . . . .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2,590 </w:t>
            </w:r>
          </w:p>
        </w:tc>
        <w:tc>
          <w:tcPr>
            <w:tcW w:type="dxa" w:w="7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444 </w:t>
            </w:r>
          </w:p>
        </w:tc>
      </w:tr>
      <w:tr>
        <w:trPr>
          <w:trHeight w:hRule="exact" w:val="320"/>
        </w:trPr>
        <w:tc>
          <w:tcPr>
            <w:tcW w:type="dxa" w:w="36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other funds . . . . . . . . . . . . . . . . . . . . .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6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19,166 </w:t>
            </w:r>
          </w:p>
        </w:tc>
        <w:tc>
          <w:tcPr>
            <w:tcW w:type="dxa" w:w="7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3,371 </w:t>
            </w:r>
          </w:p>
        </w:tc>
      </w:tr>
      <w:tr>
        <w:trPr>
          <w:trHeight w:hRule="exact" w:val="304"/>
        </w:trPr>
        <w:tc>
          <w:tcPr>
            <w:tcW w:type="dxa" w:w="369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Derivative assets/liabilities . . . . . . . . . . . . .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134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(1) — </w:t>
            </w:r>
          </w:p>
        </w:tc>
        <w:tc>
          <w:tcPr>
            <w:tcW w:type="dxa" w:w="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</w:p>
        </w:tc>
        <w:tc>
          <w:tcPr>
            <w:tcW w:type="dxa" w:w="7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  <w:tc>
          <w:tcPr>
            <w:tcW w:type="dxa" w:w="6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 </w:t>
            </w:r>
          </w:p>
        </w:tc>
      </w:tr>
      <w:tr>
        <w:trPr>
          <w:trHeight w:hRule="exact" w:val="271"/>
        </w:trPr>
        <w:tc>
          <w:tcPr>
            <w:tcW w:type="dxa" w:w="3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assets/liabilities,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172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202" w:lineRule="exact" w:before="76" w:after="28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Total assets </w:t>
      </w:r>
      <w:r>
        <w:rPr>
          <w:rFonts w:ascii="Times" w:hAnsi="Times" w:eastAsia="Times"/>
          <w:b w:val="0"/>
          <w:i w:val="0"/>
          <w:color w:val="231F20"/>
          <w:sz w:val="20"/>
        </w:rPr>
        <w:t>. . . . . . . . . . . . . . . . . . . . . . . . 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$ 6,392 $ 1,670 $— $ 27,400 $ 1,220 $314 $— $ 4,921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160"/>
        </w:trPr>
        <w:tc>
          <w:tcPr>
            <w:tcW w:type="dxa" w:w="92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Investments measured at fair value using NAV as a practical expedient have not been included under the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fair value hierarchy.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receivables and payables carried at amounts that approximate fair value. </w:t>
      </w:r>
    </w:p>
    <w:p>
      <w:pPr>
        <w:autoSpaceDN w:val="0"/>
        <w:autoSpaceDE w:val="0"/>
        <w:widowControl/>
        <w:spacing w:line="200" w:lineRule="exact" w:before="12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164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K8.1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96" w:after="24"/>
        <w:ind w:left="0" w:right="257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June 30, 2024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32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40"/>
        </w:trPr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6"/>
            <w:gridSpan w:val="2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59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7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2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1 </w:t>
            </w:r>
          </w:p>
        </w:tc>
        <w:tc>
          <w:tcPr>
            <w:tcW w:type="dxa" w:w="80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2 </w:t>
            </w:r>
          </w:p>
        </w:tc>
        <w:tc>
          <w:tcPr>
            <w:tcW w:type="dxa" w:w="84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3 </w:t>
            </w:r>
          </w:p>
        </w:tc>
        <w:tc>
          <w:tcPr>
            <w:tcW w:type="dxa" w:w="7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  <w:tc>
          <w:tcPr>
            <w:tcW w:type="dxa" w:w="80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3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1 </w:t>
            </w:r>
          </w:p>
        </w:tc>
        <w:tc>
          <w:tcPr>
            <w:tcW w:type="dxa" w:w="84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2 </w:t>
            </w:r>
          </w:p>
        </w:tc>
        <w:tc>
          <w:tcPr>
            <w:tcW w:type="dxa" w:w="666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Level 3 </w:t>
            </w:r>
          </w:p>
        </w:tc>
        <w:tc>
          <w:tcPr>
            <w:tcW w:type="dxa" w:w="620"/>
            <w:tcBorders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Total </w:t>
            </w:r>
          </w:p>
        </w:tc>
      </w:tr>
    </w:tbl>
    <w:p>
      <w:pPr>
        <w:autoSpaceDN w:val="0"/>
        <w:autoSpaceDE w:val="0"/>
        <w:widowControl/>
        <w:spacing w:line="200" w:lineRule="exact" w:before="86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Debt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4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Short-term investments . . . . . . 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11 $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48 $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purchased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resale agreements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218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218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Government and agency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securities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2,515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273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2,788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540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48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588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Corporate and convertible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2"/>
        </w:trPr>
        <w:tc>
          <w:tcPr>
            <w:tcW w:type="dxa" w:w="3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bonds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366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366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 </w:t>
            </w:r>
          </w:p>
        </w:tc>
      </w:tr>
      <w:tr>
        <w:trPr>
          <w:trHeight w:hRule="exact" w:val="240"/>
        </w:trPr>
        <w:tc>
          <w:tcPr>
            <w:tcW w:type="dxa" w:w="3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ABS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165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165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 </w:t>
            </w:r>
          </w:p>
        </w:tc>
      </w:tr>
      <w:tr>
        <w:trPr>
          <w:trHeight w:hRule="exact" w:val="256"/>
        </w:trPr>
        <w:tc>
          <w:tcPr>
            <w:tcW w:type="dxa" w:w="32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MBS . . . . . . . . . . . . . . . . . . . . . .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410 </w:t>
            </w:r>
          </w:p>
        </w:tc>
        <w:tc>
          <w:tcPr>
            <w:tcW w:type="dxa" w:w="6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410 </w:t>
            </w:r>
          </w:p>
        </w:tc>
        <w:tc>
          <w:tcPr>
            <w:tcW w:type="dxa" w:w="8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78 </w:t>
            </w:r>
          </w:p>
        </w:tc>
        <w:tc>
          <w:tcPr>
            <w:tcW w:type="dxa" w:w="6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78 </w:t>
            </w:r>
          </w:p>
        </w:tc>
      </w:tr>
      <w:tr>
        <w:trPr>
          <w:trHeight w:hRule="exact" w:val="336"/>
        </w:trPr>
        <w:tc>
          <w:tcPr>
            <w:tcW w:type="dxa" w:w="32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debt securities . . . . . . . . . . . . .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2,744 </w:t>
            </w:r>
          </w:p>
        </w:tc>
        <w:tc>
          <w:tcPr>
            <w:tcW w:type="dxa" w:w="8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1,251 </w:t>
            </w:r>
          </w:p>
        </w:tc>
        <w:tc>
          <w:tcPr>
            <w:tcW w:type="dxa" w:w="6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3,995 </w:t>
            </w:r>
          </w:p>
        </w:tc>
        <w:tc>
          <w:tcPr>
            <w:tcW w:type="dxa" w:w="83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582 </w:t>
            </w:r>
          </w:p>
        </w:tc>
        <w:tc>
          <w:tcPr>
            <w:tcW w:type="dxa" w:w="66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240 </w:t>
            </w:r>
          </w:p>
        </w:tc>
        <w:tc>
          <w:tcPr>
            <w:tcW w:type="dxa" w:w="6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822 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Equity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Stocks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2,680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2,680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423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423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Real estate investment trusts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8"/>
        </w:trPr>
        <w:tc>
          <w:tcPr>
            <w:tcW w:type="dxa" w:w="32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(REITs) . . . . . . . . . . . . . . . . .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176 </w:t>
            </w:r>
          </w:p>
        </w:tc>
        <w:tc>
          <w:tcPr>
            <w:tcW w:type="dxa" w:w="8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176 </w:t>
            </w:r>
          </w:p>
        </w:tc>
        <w:tc>
          <w:tcPr>
            <w:tcW w:type="dxa" w:w="8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 </w:t>
            </w:r>
          </w:p>
        </w:tc>
        <w:tc>
          <w:tcPr>
            <w:tcW w:type="dxa" w:w="6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26 </w:t>
            </w:r>
          </w:p>
        </w:tc>
      </w:tr>
      <w:tr>
        <w:trPr>
          <w:trHeight w:hRule="exact" w:val="336"/>
        </w:trPr>
        <w:tc>
          <w:tcPr>
            <w:tcW w:type="dxa" w:w="32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equity securities . . . . . . . . . . . .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2,856 </w:t>
            </w:r>
          </w:p>
        </w:tc>
        <w:tc>
          <w:tcPr>
            <w:tcW w:type="dxa" w:w="8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2,856 </w:t>
            </w:r>
          </w:p>
        </w:tc>
        <w:tc>
          <w:tcPr>
            <w:tcW w:type="dxa" w:w="83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449 </w:t>
            </w:r>
          </w:p>
        </w:tc>
        <w:tc>
          <w:tcPr>
            <w:tcW w:type="dxa" w:w="66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449 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funds at NAV </w:t>
      </w:r>
      <w:r>
        <w:rPr>
          <w:rFonts w:ascii="Times" w:hAnsi="Times" w:eastAsia="Times"/>
          <w:b w:val="0"/>
          <w:i w:val="0"/>
          <w:color w:val="231F20"/>
          <w:sz w:val="13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2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Commingled funds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3,729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651 </w:t>
            </w:r>
          </w:p>
        </w:tc>
      </w:tr>
      <w:tr>
        <w:trPr>
          <w:trHeight w:hRule="exact" w:val="24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Private equity funds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6,935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1,160 </w:t>
            </w:r>
          </w:p>
        </w:tc>
      </w:tr>
      <w:tr>
        <w:trPr>
          <w:trHeight w:hRule="exact" w:val="248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Private credit funds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2,118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354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Real asset funds (including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32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infrastructure and timber)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3,423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653 </w:t>
            </w:r>
          </w:p>
        </w:tc>
      </w:tr>
      <w:tr>
        <w:trPr>
          <w:trHeight w:hRule="exact" w:val="280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Hedge funds . . . . . . . . .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2,539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431 </w:t>
            </w:r>
          </w:p>
        </w:tc>
      </w:tr>
      <w:tr>
        <w:trPr>
          <w:trHeight w:hRule="exact" w:val="320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other funds . . . . . . . . .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18,744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3,249 </w:t>
            </w:r>
          </w:p>
        </w:tc>
      </w:tr>
      <w:tr>
        <w:trPr>
          <w:trHeight w:hRule="exact" w:val="280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Derivative assets/liabilities .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</w:p>
        </w:tc>
      </w:tr>
      <w:tr>
        <w:trPr>
          <w:trHeight w:hRule="exact" w:val="280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assets/liabilities, net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—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19 </w:t>
            </w:r>
          </w:p>
        </w:tc>
      </w:tr>
      <w:tr>
        <w:trPr>
          <w:trHeight w:hRule="exact" w:val="296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Total assets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</w:t>
            </w:r>
          </w:p>
        </w:tc>
        <w:tc>
          <w:tcPr>
            <w:tcW w:type="dxa" w:w="164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$ 5,609 $ 1,253 </w:t>
            </w:r>
          </w:p>
        </w:tc>
        <w:tc>
          <w:tcPr>
            <w:tcW w:type="dxa" w:w="5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182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$ 25,689 $ 1,032 </w:t>
            </w:r>
          </w:p>
        </w:tc>
        <w:tc>
          <w:tcPr>
            <w:tcW w:type="dxa" w:w="5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$240 </w:t>
            </w:r>
          </w:p>
        </w:tc>
        <w:tc>
          <w:tcPr>
            <w:tcW w:type="dxa" w:w="6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$— </w:t>
            </w:r>
          </w:p>
        </w:tc>
        <w:tc>
          <w:tcPr>
            <w:tcW w:type="dxa" w:w="8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$ 4,540 </w:t>
            </w:r>
          </w:p>
        </w:tc>
      </w:tr>
      <w:tr>
        <w:trPr>
          <w:trHeight w:hRule="exact" w:val="160"/>
        </w:trPr>
        <w:tc>
          <w:tcPr>
            <w:tcW w:type="dxa" w:w="31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9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Investments measured at fair value using NAV as a practical expedient have not been included under the 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fair value hierarchy. 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Includes receivables and payables carried at amounts that approximate fair value.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Valuation Methods and Assumptions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are general descriptions of asset categories, as well as the valuation methodologies and inputs used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determine the fair value of each major category of plan assets. Investment amounts in the asset categories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shown in the table above may be different from the asset category allocation shown in the Investment Strategy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section of the note. Asset classes in the table above are grouped by the characteristics of the investments held.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asset class break-down in the Investment Strategy section is based on Management’s view of the economic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 after considering the impact of derivatives and certain trading strategies. </w:t>
      </w:r>
    </w:p>
    <w:p>
      <w:pPr>
        <w:autoSpaceDN w:val="0"/>
        <w:autoSpaceDE w:val="0"/>
        <w:widowControl/>
        <w:spacing w:line="200" w:lineRule="exact" w:before="12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165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Debt securities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Debt securities include discount notes, securities purchased under resale agreements, U.S. treasuries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agencies, debt obligations of foreign governments, sub-sovereigns and domestic and foreign corporations. Debt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also include investments in ABS such as collateralized mortgage obligations and MBS.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are valued by independent pricing vendors either at quoted prices in active markets or valuation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techniques incorporating observable market inputs such as dealer quotes, yield curves, interest rates, volatilities,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foreign exchange rates, credit curves and other market data for the same or similar securities., Some debt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require significant unobservable inputs, involving judgment in their valuation. Management believes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estimates of fair value are reasonable based on sourcing securities prices from multiple independent third-party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vendors and periodic reviews over valuation. Money market instruments and securities purchased under resale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agreements are reported at discounted face value which approximates fair value.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Equity securities </w:t>
      </w:r>
    </w:p>
    <w:p>
      <w:pPr>
        <w:autoSpaceDN w:val="0"/>
        <w:autoSpaceDE w:val="0"/>
        <w:widowControl/>
        <w:spacing w:line="240" w:lineRule="exact" w:before="122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 securities (including REITs) represent investments in entities in various industries and countries.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in public equity listed on securities exchanges are valued at the quoted closing price on the last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day of the reporting period.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Commingled funds 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Commingled funds are typically collective investment vehicles, such as trusts that are reported at NAV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provided by the investment manager or sponsor of the fund based on the valuation of underlying investments.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Private equity funds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Private equity funds include investments primarily in buyout, venture, growth capital, and secondary funds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across North America, Europe and Asia in a variety of sectors. Many of these funds are in the investment phase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their life-cycle. Private Equity investments do not have a readily determinable fair market value and 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reported at NAV provided by the fund managers, taking into consideration the latest audited financial statements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funds.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Private credit funds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Private credit funds include investments primarily in several direct lending funds that provide private financing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medium-sized companies, and funds focused on opportunistic credit, specialty financing and asset-based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lending. The funds with these strategies offer attractive yields with downside protection compared to public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markets. Many of these funds are in the investment phase of their life cycle. Private credit investments do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have a readily determinable fair value and are reported at NAV provided by the fund managers, taking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consideration the latest audited financial statements of the funds.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Real asset funds (including real estate, infrastructure and timber)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Real asset funds include investments in core real estate, non-core real estate investments (such as debt, value add,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opportunistic equity investments) and infrastructure. Real asset investments do not have a readily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determinable fair market value and are reported at NAV provided by the fund managers, taking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consideration the latest audited financial statements of the funds.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Hedge funds </w:t>
      </w:r>
    </w:p>
    <w:p>
      <w:pPr>
        <w:autoSpaceDN w:val="0"/>
        <w:autoSpaceDE w:val="0"/>
        <w:widowControl/>
        <w:spacing w:line="240" w:lineRule="exact" w:before="1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Hedge funds consist of investments in equity fundamental, equity quantitative, fixed income arbitrage, multi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strategy, macro discretionary, macro quantitative, volatility arbitrage, and merger arbitrage strategies. These </w:t>
      </w:r>
    </w:p>
    <w:p>
      <w:pPr>
        <w:autoSpaceDN w:val="0"/>
        <w:autoSpaceDE w:val="0"/>
        <w:widowControl/>
        <w:spacing w:line="200" w:lineRule="exact" w:before="4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166 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do not have a readily determinable fair market value and are reported at NAV provided by external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managers or fund administrators (based on the valuations of underlying investments) monthly, taking into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consideration the latest audited financial statements of the funds. </w:t>
      </w:r>
    </w:p>
    <w:p>
      <w:pPr>
        <w:autoSpaceDN w:val="0"/>
        <w:autoSpaceDE w:val="0"/>
        <w:widowControl/>
        <w:spacing w:line="240" w:lineRule="exact" w:before="258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in hedge funds and commingled funds can typically be redeemed at NAV within the near term while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 in private equity and most real estate are inherently long term and illiquid in nature with a quarter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lag in reporting by the fund managers. Since the reporting of those asset classes is done with a lag, 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estimates are based on the latest available information considering underlying market fundamentals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significant events through the Balance Sheet date. </w:t>
      </w:r>
    </w:p>
    <w:p>
      <w:pPr>
        <w:autoSpaceDN w:val="0"/>
        <w:autoSpaceDE w:val="0"/>
        <w:widowControl/>
        <w:spacing w:line="200" w:lineRule="exact" w:before="426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Investment in derivatives </w:t>
      </w:r>
    </w:p>
    <w:p>
      <w:pPr>
        <w:autoSpaceDN w:val="0"/>
        <w:autoSpaceDE w:val="0"/>
        <w:widowControl/>
        <w:spacing w:line="240" w:lineRule="exact" w:before="13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in derivatives such as equity or bond futures, swaps, options and currency forwards are used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achieve a variety of objectives that include hedging interest rates and currency risks, gaining desired market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of a security, an index or currency exposure and rebalancing the portfolio. Over-the- counter derivatives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reported using valuations based on discounted cash flow methods incorporating observable market inputs. </w:t>
      </w:r>
    </w:p>
    <w:p>
      <w:pPr>
        <w:autoSpaceDN w:val="0"/>
        <w:autoSpaceDE w:val="0"/>
        <w:widowControl/>
        <w:spacing w:line="200" w:lineRule="exact" w:before="426" w:after="0"/>
        <w:ind w:left="120" w:right="0" w:firstLine="0"/>
        <w:jc w:val="left"/>
      </w:pPr>
      <w:r>
        <w:rPr>
          <w:rFonts w:ascii="Times" w:hAnsi="Times" w:eastAsia="Times"/>
          <w:b/>
          <w:i/>
          <w:color w:val="044A72"/>
          <w:sz w:val="20"/>
        </w:rPr>
        <w:t xml:space="preserve">Estimated Future Benefit Payments </w:t>
      </w:r>
    </w:p>
    <w:p>
      <w:pPr>
        <w:autoSpaceDN w:val="0"/>
        <w:autoSpaceDE w:val="0"/>
        <w:widowControl/>
        <w:spacing w:line="240" w:lineRule="exact" w:before="13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shows the benefit payments expected to be paid in each of the next five years and subsequent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five years. The expected benefit payments are based on the same assumptions used to measure the benefit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obligation: </w:t>
      </w:r>
    </w:p>
    <w:p>
      <w:pPr>
        <w:autoSpaceDN w:val="0"/>
        <w:autoSpaceDE w:val="0"/>
        <w:widowControl/>
        <w:spacing w:line="200" w:lineRule="exact" w:before="2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K9: Expected benefit payments </w:t>
      </w:r>
    </w:p>
    <w:p>
      <w:pPr>
        <w:autoSpaceDN w:val="0"/>
        <w:autoSpaceDE w:val="0"/>
        <w:widowControl/>
        <w:spacing w:line="180" w:lineRule="exact" w:before="164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74"/>
        </w:trPr>
        <w:tc>
          <w:tcPr>
            <w:tcW w:type="dxa" w:w="7364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SRP </w:t>
            </w:r>
          </w:p>
        </w:tc>
        <w:tc>
          <w:tcPr>
            <w:tcW w:type="dxa" w:w="61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RSBP </w:t>
            </w:r>
          </w:p>
        </w:tc>
        <w:tc>
          <w:tcPr>
            <w:tcW w:type="dxa" w:w="660"/>
            <w:gridSpan w:val="3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PEBP </w:t>
            </w:r>
          </w:p>
        </w:tc>
      </w:tr>
      <w:tr>
        <w:trPr>
          <w:trHeight w:hRule="exact" w:val="310"/>
        </w:trPr>
        <w:tc>
          <w:tcPr>
            <w:tcW w:type="dxa" w:w="7364"/>
            <w:vMerge w:val="restart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" w:right="19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July 1, 2025 - June 30, 2026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July 1, 2026 - June 30, 2027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July 1, 2027 - June 30, 2028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July 1, 2028 - June 30, 2029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July 1, 2029 - June 30, 2030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July 1, 2030 - June 30, 2035 . . . . . . . . . . . . . . . . . . . . . . . . . . . . . . . . . . . . . . . . . . . . . . . . .</w:t>
            </w:r>
          </w:p>
        </w:tc>
        <w:tc>
          <w:tcPr>
            <w:tcW w:type="dxa" w:w="1840"/>
            <w:gridSpan w:val="6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$1,166 $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92 $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87 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1,203 </w:t>
            </w:r>
          </w:p>
        </w:tc>
        <w:tc>
          <w:tcPr>
            <w:tcW w:type="dxa" w:w="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99 </w:t>
            </w:r>
          </w:p>
        </w:tc>
        <w:tc>
          <w:tcPr>
            <w:tcW w:type="dxa" w:w="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92 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1,246 </w:t>
            </w:r>
          </w:p>
        </w:tc>
        <w:tc>
          <w:tcPr>
            <w:tcW w:type="dxa" w:w="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106 </w:t>
            </w:r>
          </w:p>
        </w:tc>
        <w:tc>
          <w:tcPr>
            <w:tcW w:type="dxa" w:w="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98 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1,289 </w:t>
            </w:r>
          </w:p>
        </w:tc>
        <w:tc>
          <w:tcPr>
            <w:tcW w:type="dxa" w:w="6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113 </w:t>
            </w:r>
          </w:p>
        </w:tc>
        <w:tc>
          <w:tcPr>
            <w:tcW w:type="dxa" w:w="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105 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1,335 </w:t>
            </w:r>
          </w:p>
        </w:tc>
        <w:tc>
          <w:tcPr>
            <w:tcW w:type="dxa" w:w="6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120 </w:t>
            </w:r>
          </w:p>
        </w:tc>
        <w:tc>
          <w:tcPr>
            <w:tcW w:type="dxa" w:w="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112 </w:t>
            </w:r>
          </w:p>
        </w:tc>
      </w:tr>
      <w:tr>
        <w:trPr>
          <w:trHeight w:hRule="exact" w:val="296"/>
        </w:trPr>
        <w:tc>
          <w:tcPr>
            <w:tcW w:type="dxa" w:w="1337"/>
            <w:vMerge/>
            <w:tcBorders>
              <w:top w:sz="8.0" w:val="single" w:color="#221F1F"/>
              <w:bottom w:sz="4.0" w:val="single" w:color="#221F1F"/>
            </w:tcBorders>
          </w:tcPr>
          <w:p/>
        </w:tc>
        <w:tc>
          <w:tcPr>
            <w:tcW w:type="dxa" w:w="7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7,345 </w:t>
            </w:r>
          </w:p>
        </w:tc>
        <w:tc>
          <w:tcPr>
            <w:tcW w:type="dxa" w:w="61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713 </w:t>
            </w:r>
          </w:p>
        </w:tc>
        <w:tc>
          <w:tcPr>
            <w:tcW w:type="dxa" w:w="5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662 </w:t>
            </w:r>
          </w:p>
        </w:tc>
      </w:tr>
    </w:tbl>
    <w:p>
      <w:pPr>
        <w:autoSpaceDN w:val="0"/>
        <w:autoSpaceDE w:val="0"/>
        <w:widowControl/>
        <w:spacing w:line="200" w:lineRule="exact" w:before="344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 xml:space="preserve">Expected Contributions </w:t>
      </w:r>
    </w:p>
    <w:p>
      <w:pPr>
        <w:autoSpaceDN w:val="0"/>
        <w:autoSpaceDE w:val="0"/>
        <w:widowControl/>
        <w:spacing w:line="240" w:lineRule="exact" w:before="13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contribution to the SRP and RSBP varies from year to year, as determined by the Pension Finance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 (PFC), which bases its judgment on the results of annual actuarial valuations of the assets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of the SRP and RSBP. The best estimate of the amount of contributions expected to be paid to the SRP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RSBP by IBRD and IDA during the fiscal year beginning July 1, 2025 is $140 million and $26 million,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respectively. </w:t>
      </w:r>
    </w:p>
    <w:p>
      <w:pPr>
        <w:autoSpaceDN w:val="0"/>
        <w:autoSpaceDE w:val="0"/>
        <w:widowControl/>
        <w:spacing w:line="200" w:lineRule="exact" w:before="38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L—TRUST FUNDS ADMINISTRATION AND OTHER SERVICES </w:t>
      </w:r>
    </w:p>
    <w:p>
      <w:pPr>
        <w:autoSpaceDN w:val="0"/>
        <w:autoSpaceDE w:val="0"/>
        <w:widowControl/>
        <w:spacing w:line="200" w:lineRule="exact" w:before="17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Trust Funds </w:t>
      </w:r>
    </w:p>
    <w:p>
      <w:pPr>
        <w:autoSpaceDN w:val="0"/>
        <w:autoSpaceDE w:val="0"/>
        <w:widowControl/>
        <w:spacing w:line="240" w:lineRule="exact" w:before="13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IBRD, alone or jointly with one or more of its affiliated organizations, administers on behalf of donors, including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members, their agencies and other entities, funds restricted for specific uses in accordance with administration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agreements with donors. Specified uses could include co-financing of IBRD lending projects, debt reduction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operations, technical assistance including feasibility studies and project preparation, global and regional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programs, and research and training programs. These funds are held in trust with IBRD and/or IDA, and are held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a separate investment portfolio which is not commingled with IBRD and/or IDA funds.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167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Trust fund execution may be carried out in one of two ways: recipient-executed or Bank-executed activities. </w:t>
      </w:r>
    </w:p>
    <w:p>
      <w:pPr>
        <w:autoSpaceDN w:val="0"/>
        <w:autoSpaceDE w:val="0"/>
        <w:widowControl/>
        <w:spacing w:line="240" w:lineRule="exact" w:before="2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Recipient-executed activities for trust funds involve activities carried out by a recipient third-party executing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agency. IBRD enters into agreements with and disburses funds to those recipients, who then exercise spending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authority to meet the objectives and comply with terms stipulated in the agreements. </w:t>
      </w:r>
    </w:p>
    <w:p>
      <w:pPr>
        <w:autoSpaceDN w:val="0"/>
        <w:autoSpaceDE w:val="0"/>
        <w:widowControl/>
        <w:spacing w:line="240" w:lineRule="exact" w:before="22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Bank-executed activities for trust funds involve IBRD execution of activities as described in relevant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administration agreements with donors, which define the terms and conditions for use of the funds. Spending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authority is exercised by IBRD, under the terms of the administration agreements. The executing agency services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provided by IBRD vary and include for example, activity preparation, analytical and advisory activities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project-related activities, including procurement of goods and services. </w:t>
      </w:r>
    </w:p>
    <w:p>
      <w:pPr>
        <w:autoSpaceDN w:val="0"/>
        <w:autoSpaceDE w:val="0"/>
        <w:widowControl/>
        <w:spacing w:line="200" w:lineRule="exact" w:before="2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summarizes the expenses pertaining to Bank-executed activities for trust funds: </w:t>
      </w:r>
    </w:p>
    <w:p>
      <w:pPr>
        <w:autoSpaceDN w:val="0"/>
        <w:autoSpaceDE w:val="0"/>
        <w:widowControl/>
        <w:spacing w:line="200" w:lineRule="exact" w:before="26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L1: Expenses for Bank-executed activities for trust funds </w:t>
      </w:r>
    </w:p>
    <w:p>
      <w:pPr>
        <w:autoSpaceDN w:val="0"/>
        <w:autoSpaceDE w:val="0"/>
        <w:widowControl/>
        <w:spacing w:line="180" w:lineRule="exact" w:before="146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74"/>
        </w:trPr>
        <w:tc>
          <w:tcPr>
            <w:tcW w:type="dxa" w:w="75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0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67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66"/>
        </w:trPr>
        <w:tc>
          <w:tcPr>
            <w:tcW w:type="dxa" w:w="7510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Expenses for Bank-executed activities for trust funds . . . . . . . . . . . . . . . . . . . . . . . . . . . . . .</w:t>
            </w:r>
          </w:p>
        </w:tc>
        <w:tc>
          <w:tcPr>
            <w:tcW w:type="dxa" w:w="1690"/>
            <w:gridSpan w:val="3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$604 $612 $570 </w:t>
            </w:r>
          </w:p>
        </w:tc>
      </w:tr>
    </w:tbl>
    <w:p>
      <w:pPr>
        <w:autoSpaceDN w:val="0"/>
        <w:autoSpaceDE w:val="0"/>
        <w:widowControl/>
        <w:spacing w:line="240" w:lineRule="exact" w:before="27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amounts are included in Administrative expenses and the corresponding revenue is included in Revenue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externally funded activities in the Statements of Income. Administrative expenses primarily relate to staff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costs, travel and consultant fees. </w:t>
      </w:r>
    </w:p>
    <w:p>
      <w:pPr>
        <w:autoSpaceDN w:val="0"/>
        <w:autoSpaceDE w:val="0"/>
        <w:widowControl/>
        <w:spacing w:line="240" w:lineRule="exact" w:before="2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summarizes all undisbursed contributions made by third party donors to Bank- executed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activities for trust funds, recognized on the Balance Sheets: </w:t>
      </w:r>
    </w:p>
    <w:p>
      <w:pPr>
        <w:autoSpaceDN w:val="0"/>
        <w:autoSpaceDE w:val="0"/>
        <w:widowControl/>
        <w:spacing w:line="200" w:lineRule="exact" w:before="26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L2: Undisbursed contributions by third party donors to Bank-executed activities for trust funds </w:t>
      </w:r>
    </w:p>
    <w:p>
      <w:pPr>
        <w:autoSpaceDN w:val="0"/>
        <w:autoSpaceDE w:val="0"/>
        <w:widowControl/>
        <w:spacing w:line="180" w:lineRule="exact" w:before="146" w:after="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81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67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</w:tr>
      <w:tr>
        <w:trPr>
          <w:trHeight w:hRule="exact" w:val="366"/>
        </w:trPr>
        <w:tc>
          <w:tcPr>
            <w:tcW w:type="dxa" w:w="8110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Bank-executed activities for trust funds . . . . . . . . . . . . . . . . . . . . . . . . . . . . . . . . . . . . . . . . . . . . . . .</w:t>
            </w:r>
          </w:p>
        </w:tc>
        <w:tc>
          <w:tcPr>
            <w:tcW w:type="dxa" w:w="1090"/>
            <w:gridSpan w:val="2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$575 $637 </w:t>
            </w:r>
          </w:p>
        </w:tc>
      </w:tr>
    </w:tbl>
    <w:p>
      <w:pPr>
        <w:autoSpaceDN w:val="0"/>
        <w:autoSpaceDE w:val="0"/>
        <w:widowControl/>
        <w:spacing w:line="240" w:lineRule="exact" w:before="27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amounts are included in Other assets—Miscellaneous and the corresponding liabilities are included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liabilities – Accounts payable and miscellaneous liabilities on the Balance Sheets. </w:t>
      </w:r>
    </w:p>
    <w:p>
      <w:pPr>
        <w:autoSpaceDN w:val="0"/>
        <w:autoSpaceDE w:val="0"/>
        <w:widowControl/>
        <w:spacing w:line="200" w:lineRule="exact" w:before="3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Revenues </w:t>
      </w:r>
    </w:p>
    <w:p>
      <w:pPr>
        <w:autoSpaceDN w:val="0"/>
        <w:autoSpaceDE w:val="0"/>
        <w:widowControl/>
        <w:spacing w:line="20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revenues for the administration of trust fund operations were as follows: </w:t>
      </w:r>
    </w:p>
    <w:p>
      <w:pPr>
        <w:autoSpaceDN w:val="0"/>
        <w:autoSpaceDE w:val="0"/>
        <w:widowControl/>
        <w:spacing w:line="200" w:lineRule="exact" w:before="2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L3: Trust fund administration revenues </w:t>
      </w:r>
    </w:p>
    <w:p>
      <w:pPr>
        <w:autoSpaceDN w:val="0"/>
        <w:autoSpaceDE w:val="0"/>
        <w:widowControl/>
        <w:spacing w:line="180" w:lineRule="exact" w:before="146" w:after="1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76"/>
        </w:trPr>
        <w:tc>
          <w:tcPr>
            <w:tcW w:type="dxa" w:w="775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52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410"/>
            <w:tcBorders>
              <w:top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64"/>
        </w:trPr>
        <w:tc>
          <w:tcPr>
            <w:tcW w:type="dxa" w:w="7750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Revenues . . . . . . . . . . . . . . . . . . . . . . . . . . . . . . . . . . . . . . . . . . . . . . . . . . . . . . . . . . . . . . . . . . .</w:t>
            </w:r>
          </w:p>
        </w:tc>
        <w:tc>
          <w:tcPr>
            <w:tcW w:type="dxa" w:w="520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$91 </w:t>
            </w:r>
          </w:p>
        </w:tc>
        <w:tc>
          <w:tcPr>
            <w:tcW w:type="dxa" w:w="520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$99 </w:t>
            </w:r>
          </w:p>
        </w:tc>
        <w:tc>
          <w:tcPr>
            <w:tcW w:type="dxa" w:w="410"/>
            <w:tcBorders>
              <w:top w:sz="8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$62 </w:t>
            </w:r>
          </w:p>
        </w:tc>
      </w:tr>
    </w:tbl>
    <w:p>
      <w:pPr>
        <w:autoSpaceDN w:val="0"/>
        <w:autoSpaceDE w:val="0"/>
        <w:widowControl/>
        <w:spacing w:line="200" w:lineRule="exact" w:before="31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amounts are included in Revenue from externally funded activities in the Statements of Income. </w:t>
      </w:r>
    </w:p>
    <w:p>
      <w:pPr>
        <w:autoSpaceDN w:val="0"/>
        <w:autoSpaceDE w:val="0"/>
        <w:widowControl/>
        <w:spacing w:line="240" w:lineRule="exact" w:before="224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collected from donor contributions for trust fund administration fees, but not yet earned by IBRD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totaling $87 million as of June 30, 2025 ($101 million—June 30, 2024) is included in Other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assets—Miscellaneous and in Other liabilities – Accounts payable and miscellaneous liabilities, respectively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Balance Sheets. </w:t>
      </w:r>
    </w:p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168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Investment Management Services 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offers treasury and investment management services to affiliated and non-affiliated organizations.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IBRD offers asset management and technical advisory services to central banks of member countries,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 Reserves Advisory and Management Program, for capacity building and other development purposes,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receives a fee for these services. </w:t>
      </w:r>
    </w:p>
    <w:p>
      <w:pPr>
        <w:autoSpaceDN w:val="0"/>
        <w:autoSpaceDE w:val="0"/>
        <w:widowControl/>
        <w:spacing w:line="240" w:lineRule="exact" w:before="240" w:after="0"/>
        <w:ind w:left="120" w:right="7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fiscal year ended June 30, 2025, IBRD’s fee revenue from investment management activities totaled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$18 million ($17 million –June 30, 2024 and $16 million – June 30, 2023) and is included in Revenue from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externally funded activities in the Statements of Income. </w:t>
      </w:r>
    </w:p>
    <w:p>
      <w:pPr>
        <w:autoSpaceDN w:val="0"/>
        <w:autoSpaceDE w:val="0"/>
        <w:widowControl/>
        <w:spacing w:line="200" w:lineRule="exact" w:before="3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M—SEGMENT REPORTING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IBRD has determined that it has a single reportable operating segment. The President is the Chief Operating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Decision Maker (CODM), who regularly reviews operational performance and financial measures of IBRD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assess performance and allocate resources. </w:t>
      </w:r>
    </w:p>
    <w:p>
      <w:pPr>
        <w:autoSpaceDN w:val="0"/>
        <w:autoSpaceDE w:val="0"/>
        <w:widowControl/>
        <w:spacing w:line="240" w:lineRule="exact" w:before="240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Administrative budget for IBRD and IDA is approved and managed as a single resource. The CODM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receives expense information on the combined basis for IBRD and IDA. As a result, no significant segment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 amounts are presented separately for IBRD to the CODM. The measure of segment profit or loss is 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entity level and is reported on the Statements of Income as Net (loss) income. The measure of segment assets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reported on the Balance Sheets as Total assets. 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 presents IBRD’s revenues by products/services: </w:t>
      </w:r>
    </w:p>
    <w:p>
      <w:pPr>
        <w:autoSpaceDN w:val="0"/>
        <w:autoSpaceDE w:val="0"/>
        <w:widowControl/>
        <w:spacing w:line="200" w:lineRule="exact" w:before="3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M1: Revenues by products/services 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</w:p>
    <w:p>
      <w:pPr>
        <w:autoSpaceDN w:val="0"/>
        <w:autoSpaceDE w:val="0"/>
        <w:widowControl/>
        <w:spacing w:line="160" w:lineRule="exact" w:before="156" w:after="40"/>
        <w:ind w:left="0" w:right="368" w:firstLine="0"/>
        <w:jc w:val="right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Fiscal Year Ended June 30,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4"/>
        </w:trPr>
        <w:tc>
          <w:tcPr>
            <w:tcW w:type="dxa" w:w="6670"/>
            <w:gridSpan w:val="2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Revenue </w:t>
            </w:r>
          </w:p>
        </w:tc>
        <w:tc>
          <w:tcPr>
            <w:tcW w:type="dxa" w:w="9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2025 </w:t>
            </w:r>
          </w:p>
        </w:tc>
        <w:tc>
          <w:tcPr>
            <w:tcW w:type="dxa" w:w="8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2024 </w:t>
            </w:r>
          </w:p>
        </w:tc>
        <w:tc>
          <w:tcPr>
            <w:tcW w:type="dxa" w:w="74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 xml:space="preserve">2023 </w:t>
            </w:r>
          </w:p>
        </w:tc>
      </w:tr>
      <w:tr>
        <w:trPr>
          <w:trHeight w:hRule="exact" w:val="310"/>
        </w:trPr>
        <w:tc>
          <w:tcPr>
            <w:tcW w:type="dxa" w:w="6670"/>
            <w:gridSpan w:val="2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 Revenue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 .</w:t>
            </w:r>
          </w:p>
        </w:tc>
        <w:tc>
          <w:tcPr>
            <w:tcW w:type="dxa" w:w="2540"/>
            <w:gridSpan w:val="3"/>
            <w:tcBorders>
              <w:top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$14,431 $14,712 $10,279 </w:t>
            </w:r>
          </w:p>
        </w:tc>
      </w:tr>
      <w:tr>
        <w:trPr>
          <w:trHeight w:hRule="exact" w:val="240"/>
        </w:trPr>
        <w:tc>
          <w:tcPr>
            <w:tcW w:type="dxa" w:w="6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 from externally funded activities . . . . . . . . . . . . . . . . . . . . . . . .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947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960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878 </w:t>
            </w:r>
          </w:p>
        </w:tc>
      </w:tr>
      <w:tr>
        <w:trPr>
          <w:trHeight w:hRule="exact" w:val="280"/>
        </w:trPr>
        <w:tc>
          <w:tcPr>
            <w:tcW w:type="dxa" w:w="6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Guarantee fees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3"/>
              </w:rPr>
              <w:t xml:space="preserve"> 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 . . . . . . . . . . . . . . . . . . . . . . . . . . . . . . . . . . . . . . . . . . . . .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37 </w:t>
            </w:r>
          </w:p>
        </w:tc>
      </w:tr>
      <w:tr>
        <w:trPr>
          <w:trHeight w:hRule="exact" w:val="296"/>
        </w:trPr>
        <w:tc>
          <w:tcPr>
            <w:tcW w:type="dxa" w:w="6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 . . . . . . . . . . . . . . . . . . . . . . . . . . . . . . . . . . . . . . . . . . . . . . . . . . . . . . . . .</w:t>
            </w:r>
          </w:p>
        </w:tc>
        <w:tc>
          <w:tcPr>
            <w:tcW w:type="dxa" w:w="2540"/>
            <w:gridSpan w:val="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$15,419 $15,714 $11,194 </w:t>
            </w:r>
          </w:p>
        </w:tc>
      </w:tr>
      <w:tr>
        <w:trPr>
          <w:trHeight w:hRule="exact" w:val="160"/>
        </w:trPr>
        <w:tc>
          <w:tcPr>
            <w:tcW w:type="dxa" w:w="667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16"/>
            <w:gridSpan w:val="3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10"/>
        </w:trPr>
        <w:tc>
          <w:tcPr>
            <w:tcW w:type="dxa" w:w="3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</w:p>
        </w:tc>
        <w:tc>
          <w:tcPr>
            <w:tcW w:type="dxa" w:w="890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For the fiscal year ended June 30, 2025 includes commitment charges of $152 million ($149 million –June </w:t>
            </w:r>
          </w:p>
        </w:tc>
      </w:tr>
    </w:tbl>
    <w:p>
      <w:pPr>
        <w:autoSpaceDN w:val="0"/>
        <w:tabs>
          <w:tab w:pos="520" w:val="left"/>
        </w:tabs>
        <w:autoSpaceDE w:val="0"/>
        <w:widowControl/>
        <w:spacing w:line="236" w:lineRule="exact" w:before="0" w:after="0"/>
        <w:ind w:left="120" w:right="0" w:firstLine="0"/>
        <w:jc w:val="left"/>
      </w:pP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30, 2024 and $124 million – June 30, 2023) and excludes interest from loan related derivatives of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$1,022 million ($1,268 million –June 30, 2024 and $367 million – June 30, 2023)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Included in Non-interest revenue-Other, net on the Statements of Income and excludes recoverable asset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related to guarantees received and other miscellaneous income of $129 million for the fiscal year ended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 xml:space="preserve">June 30, 2025 (Nil –June 30, 2024 and $6 million – June 30, 2023) </w:t>
      </w:r>
    </w:p>
    <w:p>
      <w:pPr>
        <w:autoSpaceDN w:val="0"/>
        <w:autoSpaceDE w:val="0"/>
        <w:widowControl/>
        <w:spacing w:line="200" w:lineRule="exact" w:before="4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N—CONTINGENCIES </w:t>
      </w:r>
    </w:p>
    <w:p>
      <w:pPr>
        <w:autoSpaceDN w:val="0"/>
        <w:autoSpaceDE w:val="0"/>
        <w:widowControl/>
        <w:spacing w:line="240" w:lineRule="exact" w:before="122" w:after="0"/>
        <w:ind w:left="120" w:right="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From time to time, IBRD may be named as a defendant or co-defendant in legal actions on different grounds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various jurisdictions. The outcome of any existing legal action, in which IBRD has been named as a defendant 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co-defendant, as of and for the fiscal year ended June 30, 2025, is not expected to have a material adverse effect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IBRD’s financial position, results of operations or cash flows. </w:t>
      </w:r>
    </w:p>
    <w:p>
      <w:pPr>
        <w:autoSpaceDN w:val="0"/>
        <w:autoSpaceDE w:val="0"/>
        <w:widowControl/>
        <w:spacing w:line="200" w:lineRule="exact" w:before="9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169 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3024" w:right="3024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Information Statement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 xml:space="preserve">International Bank for Reconstruction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>and Development</w:t>
      </w:r>
    </w:p>
    <w:p>
      <w:pPr>
        <w:autoSpaceDN w:val="0"/>
        <w:autoSpaceDE w:val="0"/>
        <w:widowControl/>
        <w:spacing w:line="240" w:lineRule="auto" w:before="1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7000" cy="1371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6" w:after="0"/>
        <w:ind w:left="120" w:right="120" w:firstLine="40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No</w:t>
      </w:r>
      <w:r>
        <w:rPr>
          <w:rFonts w:ascii="Times" w:hAnsi="Times" w:eastAsia="Times"/>
          <w:b w:val="0"/>
          <w:i/>
          <w:color w:val="231F20"/>
          <w:sz w:val="20"/>
        </w:rPr>
        <w:t>person</w:t>
      </w:r>
      <w:r>
        <w:rPr>
          <w:rFonts w:ascii="Times" w:hAnsi="Times" w:eastAsia="Times"/>
          <w:b w:val="0"/>
          <w:i/>
          <w:color w:val="231F20"/>
          <w:sz w:val="20"/>
        </w:rPr>
        <w:t>is</w:t>
      </w:r>
      <w:r>
        <w:rPr>
          <w:rFonts w:ascii="Times" w:hAnsi="Times" w:eastAsia="Times"/>
          <w:b w:val="0"/>
          <w:i/>
          <w:color w:val="231F20"/>
          <w:sz w:val="20"/>
        </w:rPr>
        <w:t>authorized</w:t>
      </w:r>
      <w:r>
        <w:rPr>
          <w:rFonts w:ascii="Times" w:hAnsi="Times" w:eastAsia="Times"/>
          <w:b w:val="0"/>
          <w:i/>
          <w:color w:val="231F20"/>
          <w:sz w:val="20"/>
        </w:rPr>
        <w:t>to</w:t>
      </w:r>
      <w:r>
        <w:rPr>
          <w:rFonts w:ascii="Times" w:hAnsi="Times" w:eastAsia="Times"/>
          <w:b w:val="0"/>
          <w:i/>
          <w:color w:val="231F20"/>
          <w:sz w:val="20"/>
        </w:rPr>
        <w:t>give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or</w:t>
      </w:r>
      <w:r>
        <w:rPr>
          <w:rFonts w:ascii="Times" w:hAnsi="Times" w:eastAsia="Times"/>
          <w:b w:val="0"/>
          <w:i/>
          <w:color w:val="231F20"/>
          <w:sz w:val="20"/>
        </w:rPr>
        <w:t>to</w:t>
      </w:r>
      <w:r>
        <w:rPr>
          <w:rFonts w:ascii="Times" w:hAnsi="Times" w:eastAsia="Times"/>
          <w:b w:val="0"/>
          <w:i/>
          <w:color w:val="231F20"/>
          <w:sz w:val="20"/>
        </w:rPr>
        <w:t>make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representation</w:t>
      </w:r>
      <w:r>
        <w:rPr>
          <w:rFonts w:ascii="Times" w:hAnsi="Times" w:eastAsia="Times"/>
          <w:b w:val="0"/>
          <w:i/>
          <w:color w:val="231F20"/>
          <w:sz w:val="20"/>
        </w:rPr>
        <w:t>not</w:t>
      </w:r>
      <w:r>
        <w:rPr>
          <w:rFonts w:ascii="Times" w:hAnsi="Times" w:eastAsia="Times"/>
          <w:b w:val="0"/>
          <w:i/>
          <w:color w:val="231F20"/>
          <w:sz w:val="20"/>
        </w:rPr>
        <w:t>contained</w:t>
      </w:r>
      <w:r>
        <w:rPr>
          <w:rFonts w:ascii="Times" w:hAnsi="Times" w:eastAsia="Times"/>
          <w:b w:val="0"/>
          <w:i/>
          <w:color w:val="231F20"/>
          <w:sz w:val="20"/>
        </w:rPr>
        <w:t>in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this 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Statement,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supplemental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</w:t>
      </w:r>
      <w:r>
        <w:rPr>
          <w:rFonts w:ascii="Times" w:hAnsi="Times" w:eastAsia="Times"/>
          <w:b w:val="0"/>
          <w:i/>
          <w:color w:val="231F20"/>
          <w:sz w:val="20"/>
        </w:rPr>
        <w:t>or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prospectus;</w:t>
      </w:r>
      <w:r>
        <w:rPr>
          <w:rFonts w:ascii="Times" w:hAnsi="Times" w:eastAsia="Times"/>
          <w:b w:val="0"/>
          <w:i/>
          <w:color w:val="231F20"/>
          <w:sz w:val="20"/>
        </w:rPr>
        <w:t>and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/>
          <w:color w:val="231F20"/>
          <w:sz w:val="20"/>
        </w:rPr>
        <w:t>representation</w:t>
      </w:r>
      <w:r>
        <w:rPr>
          <w:rFonts w:ascii="Times" w:hAnsi="Times" w:eastAsia="Times"/>
          <w:b w:val="0"/>
          <w:i/>
          <w:color w:val="231F20"/>
          <w:sz w:val="20"/>
        </w:rPr>
        <w:t>not</w:t>
      </w:r>
      <w:r>
        <w:rPr>
          <w:rFonts w:ascii="Times" w:hAnsi="Times" w:eastAsia="Times"/>
          <w:b w:val="0"/>
          <w:i/>
          <w:color w:val="231F20"/>
          <w:sz w:val="20"/>
        </w:rPr>
        <w:t>contained</w:t>
      </w:r>
      <w:r>
        <w:rPr>
          <w:rFonts w:ascii="Times" w:hAnsi="Times" w:eastAsia="Times"/>
          <w:b w:val="0"/>
          <w:i/>
          <w:color w:val="231F20"/>
          <w:sz w:val="20"/>
        </w:rPr>
        <w:t>herein</w:t>
      </w:r>
      <w:r>
        <w:rPr>
          <w:rFonts w:ascii="Times" w:hAnsi="Times" w:eastAsia="Times"/>
          <w:b w:val="0"/>
          <w:i/>
          <w:color w:val="231F20"/>
          <w:sz w:val="20"/>
        </w:rPr>
        <w:t>must</w:t>
      </w:r>
      <w:r>
        <w:rPr>
          <w:rFonts w:ascii="Times" w:hAnsi="Times" w:eastAsia="Times"/>
          <w:b w:val="0"/>
          <w:i/>
          <w:color w:val="231F20"/>
          <w:sz w:val="20"/>
        </w:rPr>
        <w:t>not</w:t>
      </w:r>
      <w:r>
        <w:rPr>
          <w:rFonts w:ascii="Times" w:hAnsi="Times" w:eastAsia="Times"/>
          <w:b w:val="0"/>
          <w:i/>
          <w:color w:val="231F20"/>
          <w:sz w:val="20"/>
        </w:rPr>
        <w:t>be</w:t>
      </w:r>
      <w:r>
        <w:rPr>
          <w:rFonts w:ascii="Times" w:hAnsi="Times" w:eastAsia="Times"/>
          <w:b w:val="0"/>
          <w:i/>
          <w:color w:val="231F20"/>
          <w:sz w:val="20"/>
        </w:rPr>
        <w:t>relied</w:t>
      </w:r>
      <w:r>
        <w:rPr>
          <w:rFonts w:ascii="Times" w:hAnsi="Times" w:eastAsia="Times"/>
          <w:b w:val="0"/>
          <w:i/>
          <w:color w:val="231F20"/>
          <w:sz w:val="20"/>
        </w:rPr>
        <w:t>upon</w:t>
      </w:r>
      <w:r>
        <w:rPr>
          <w:rFonts w:ascii="Times" w:hAnsi="Times" w:eastAsia="Times"/>
          <w:b w:val="0"/>
          <w:i/>
          <w:color w:val="231F20"/>
          <w:sz w:val="20"/>
        </w:rPr>
        <w:t>as</w:t>
      </w:r>
      <w:r>
        <w:rPr>
          <w:rFonts w:ascii="Times" w:hAnsi="Times" w:eastAsia="Times"/>
          <w:b w:val="0"/>
          <w:i/>
          <w:color w:val="231F20"/>
          <w:sz w:val="20"/>
        </w:rPr>
        <w:t>having</w:t>
      </w:r>
      <w:r>
        <w:rPr>
          <w:rFonts w:ascii="Times" w:hAnsi="Times" w:eastAsia="Times"/>
          <w:b w:val="0"/>
          <w:i/>
          <w:color w:val="231F20"/>
          <w:sz w:val="20"/>
        </w:rPr>
        <w:t>been</w:t>
      </w:r>
      <w:r>
        <w:rPr>
          <w:rFonts w:ascii="Times" w:hAnsi="Times" w:eastAsia="Times"/>
          <w:b w:val="0"/>
          <w:i/>
          <w:color w:val="231F20"/>
          <w:sz w:val="20"/>
        </w:rPr>
        <w:t>authorized</w:t>
      </w:r>
      <w:r>
        <w:rPr>
          <w:rFonts w:ascii="Times" w:hAnsi="Times" w:eastAsia="Times"/>
          <w:b w:val="0"/>
          <w:i/>
          <w:color w:val="231F20"/>
          <w:sz w:val="20"/>
        </w:rPr>
        <w:t>by</w:t>
      </w:r>
      <w:r>
        <w:rPr>
          <w:rFonts w:ascii="Times" w:hAnsi="Times" w:eastAsia="Times"/>
          <w:b w:val="0"/>
          <w:i/>
          <w:color w:val="231F20"/>
          <w:sz w:val="20"/>
        </w:rPr>
        <w:t>IBRD</w:t>
      </w:r>
      <w:r>
        <w:rPr>
          <w:rFonts w:ascii="Times" w:hAnsi="Times" w:eastAsia="Times"/>
          <w:b w:val="0"/>
          <w:i/>
          <w:color w:val="231F20"/>
          <w:sz w:val="20"/>
        </w:rPr>
        <w:t>or</w:t>
      </w:r>
      <w:r>
        <w:rPr>
          <w:rFonts w:ascii="Times" w:hAnsi="Times" w:eastAsia="Times"/>
          <w:b w:val="0"/>
          <w:i/>
          <w:color w:val="231F20"/>
          <w:sz w:val="20"/>
        </w:rPr>
        <w:t>by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any </w:t>
      </w:r>
      <w:r>
        <w:rPr>
          <w:rFonts w:ascii="Times" w:hAnsi="Times" w:eastAsia="Times"/>
          <w:b w:val="0"/>
          <w:i/>
          <w:color w:val="231F20"/>
          <w:sz w:val="20"/>
        </w:rPr>
        <w:t>dealer,</w:t>
      </w:r>
      <w:r>
        <w:rPr>
          <w:rFonts w:ascii="Times" w:hAnsi="Times" w:eastAsia="Times"/>
          <w:b w:val="0"/>
          <w:i/>
          <w:color w:val="231F20"/>
          <w:sz w:val="20"/>
        </w:rPr>
        <w:t>underwriter</w:t>
      </w:r>
      <w:r>
        <w:rPr>
          <w:rFonts w:ascii="Times" w:hAnsi="Times" w:eastAsia="Times"/>
          <w:b w:val="0"/>
          <w:i/>
          <w:color w:val="231F20"/>
          <w:sz w:val="20"/>
        </w:rPr>
        <w:t>or</w:t>
      </w:r>
      <w:r>
        <w:rPr>
          <w:rFonts w:ascii="Times" w:hAnsi="Times" w:eastAsia="Times"/>
          <w:b w:val="0"/>
          <w:i/>
          <w:color w:val="231F20"/>
          <w:sz w:val="20"/>
        </w:rPr>
        <w:t>agent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IBRD.</w:t>
      </w:r>
      <w:r>
        <w:rPr>
          <w:rFonts w:ascii="Times" w:hAnsi="Times" w:eastAsia="Times"/>
          <w:b w:val="0"/>
          <w:i/>
          <w:color w:val="231F20"/>
          <w:sz w:val="20"/>
        </w:rPr>
        <w:t>Neither</w:t>
      </w:r>
      <w:r>
        <w:rPr>
          <w:rFonts w:ascii="Times" w:hAnsi="Times" w:eastAsia="Times"/>
          <w:b w:val="0"/>
          <w:i/>
          <w:color w:val="231F20"/>
          <w:sz w:val="20"/>
        </w:rPr>
        <w:t>this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</w:t>
      </w:r>
      <w:r>
        <w:rPr>
          <w:rFonts w:ascii="Times" w:hAnsi="Times" w:eastAsia="Times"/>
          <w:b w:val="0"/>
          <w:i/>
          <w:color w:val="231F20"/>
          <w:sz w:val="20"/>
        </w:rPr>
        <w:t>nor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supplemental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information </w:t>
      </w:r>
      <w:r>
        <w:rPr>
          <w:rFonts w:ascii="Times" w:hAnsi="Times" w:eastAsia="Times"/>
          <w:b w:val="0"/>
          <w:i/>
          <w:color w:val="231F20"/>
          <w:sz w:val="20"/>
        </w:rPr>
        <w:t>statement or prospectus constitutes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an offer to sell or solicitation of an offer to buy securities in any jurisdiction </w:t>
      </w:r>
      <w:r>
        <w:rPr>
          <w:rFonts w:ascii="Times" w:hAnsi="Times" w:eastAsia="Times"/>
          <w:b w:val="0"/>
          <w:i/>
          <w:color w:val="231F20"/>
          <w:sz w:val="20"/>
        </w:rPr>
        <w:t>to any person to whom it is unlawful to make such an offer or solicitation in such jurisdiction.</w:t>
      </w:r>
    </w:p>
    <w:p>
      <w:pPr>
        <w:autoSpaceDN w:val="0"/>
        <w:autoSpaceDE w:val="0"/>
        <w:widowControl/>
        <w:spacing w:line="240" w:lineRule="exact" w:before="360" w:after="0"/>
        <w:ind w:left="120" w:right="120" w:firstLine="40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</w:t>
      </w:r>
      <w:r>
        <w:rPr>
          <w:rFonts w:ascii="Times" w:hAnsi="Times" w:eastAsia="Times"/>
          <w:b w:val="0"/>
          <w:i/>
          <w:color w:val="231F20"/>
          <w:sz w:val="20"/>
        </w:rPr>
        <w:t>contains</w:t>
      </w:r>
      <w:r>
        <w:rPr>
          <w:rFonts w:ascii="Times" w:hAnsi="Times" w:eastAsia="Times"/>
          <w:b w:val="0"/>
          <w:i/>
          <w:color w:val="231F20"/>
          <w:sz w:val="20"/>
        </w:rPr>
        <w:t>forward</w:t>
      </w:r>
      <w:r>
        <w:rPr>
          <w:rFonts w:ascii="Times" w:hAnsi="Times" w:eastAsia="Times"/>
          <w:b w:val="0"/>
          <w:i/>
          <w:color w:val="231F20"/>
          <w:sz w:val="20"/>
        </w:rPr>
        <w:t>looking</w:t>
      </w:r>
      <w:r>
        <w:rPr>
          <w:rFonts w:ascii="Times" w:hAnsi="Times" w:eastAsia="Times"/>
          <w:b w:val="0"/>
          <w:i/>
          <w:color w:val="231F20"/>
          <w:sz w:val="20"/>
        </w:rPr>
        <w:t>statements</w:t>
      </w:r>
      <w:r>
        <w:rPr>
          <w:rFonts w:ascii="Times" w:hAnsi="Times" w:eastAsia="Times"/>
          <w:b w:val="0"/>
          <w:i/>
          <w:color w:val="231F20"/>
          <w:sz w:val="20"/>
        </w:rPr>
        <w:t>which</w:t>
      </w:r>
      <w:r>
        <w:rPr>
          <w:rFonts w:ascii="Times" w:hAnsi="Times" w:eastAsia="Times"/>
          <w:b w:val="0"/>
          <w:i/>
          <w:color w:val="231F20"/>
          <w:sz w:val="20"/>
        </w:rPr>
        <w:t>may</w:t>
      </w:r>
      <w:r>
        <w:rPr>
          <w:rFonts w:ascii="Times" w:hAnsi="Times" w:eastAsia="Times"/>
          <w:b w:val="0"/>
          <w:i/>
          <w:color w:val="231F20"/>
          <w:sz w:val="20"/>
        </w:rPr>
        <w:t>be</w:t>
      </w:r>
      <w:r>
        <w:rPr>
          <w:rFonts w:ascii="Times" w:hAnsi="Times" w:eastAsia="Times"/>
          <w:b w:val="0"/>
          <w:i/>
          <w:color w:val="231F20"/>
          <w:sz w:val="20"/>
        </w:rPr>
        <w:t>identified</w:t>
      </w:r>
      <w:r>
        <w:rPr>
          <w:rFonts w:ascii="Times" w:hAnsi="Times" w:eastAsia="Times"/>
          <w:b w:val="0"/>
          <w:i/>
          <w:color w:val="231F20"/>
          <w:sz w:val="20"/>
        </w:rPr>
        <w:t>by</w:t>
      </w:r>
      <w:r>
        <w:rPr>
          <w:rFonts w:ascii="Times" w:hAnsi="Times" w:eastAsia="Times"/>
          <w:b w:val="0"/>
          <w:i/>
          <w:color w:val="231F20"/>
          <w:sz w:val="20"/>
        </w:rPr>
        <w:t>such</w:t>
      </w:r>
      <w:r>
        <w:rPr>
          <w:rFonts w:ascii="Times" w:hAnsi="Times" w:eastAsia="Times"/>
          <w:b w:val="0"/>
          <w:i/>
          <w:color w:val="231F20"/>
          <w:sz w:val="20"/>
        </w:rPr>
        <w:t>terms</w:t>
      </w:r>
      <w:r>
        <w:rPr>
          <w:rFonts w:ascii="Times" w:hAnsi="Times" w:eastAsia="Times"/>
          <w:b w:val="0"/>
          <w:i/>
          <w:color w:val="231F20"/>
          <w:sz w:val="20"/>
        </w:rPr>
        <w:t>as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“anticipates”, “believes”, “expects”, “intends” or words of similar meaning. Such statements involve a number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of assumptions and estimates that are based on current expectations, which are subject to risks and uncertainties </w:t>
      </w:r>
      <w:r>
        <w:rPr>
          <w:rFonts w:ascii="Times" w:hAnsi="Times" w:eastAsia="Times"/>
          <w:b w:val="0"/>
          <w:i/>
          <w:color w:val="231F20"/>
          <w:sz w:val="20"/>
        </w:rPr>
        <w:t>beyond</w:t>
      </w:r>
      <w:r>
        <w:rPr>
          <w:rFonts w:ascii="Times" w:hAnsi="Times" w:eastAsia="Times"/>
          <w:b w:val="0"/>
          <w:i/>
          <w:color w:val="231F20"/>
          <w:sz w:val="20"/>
        </w:rPr>
        <w:t>IBRD’s</w:t>
      </w:r>
      <w:r>
        <w:rPr>
          <w:rFonts w:ascii="Times" w:hAnsi="Times" w:eastAsia="Times"/>
          <w:b w:val="0"/>
          <w:i/>
          <w:color w:val="231F20"/>
          <w:sz w:val="20"/>
        </w:rPr>
        <w:t>control.</w:t>
      </w:r>
      <w:r>
        <w:rPr>
          <w:rFonts w:ascii="Times" w:hAnsi="Times" w:eastAsia="Times"/>
          <w:b w:val="0"/>
          <w:i/>
          <w:color w:val="231F20"/>
          <w:sz w:val="20"/>
        </w:rPr>
        <w:t>Consequently,</w:t>
      </w:r>
      <w:r>
        <w:rPr>
          <w:rFonts w:ascii="Times" w:hAnsi="Times" w:eastAsia="Times"/>
          <w:b w:val="0"/>
          <w:i/>
          <w:color w:val="231F20"/>
          <w:sz w:val="20"/>
        </w:rPr>
        <w:t>actual</w:t>
      </w:r>
      <w:r>
        <w:rPr>
          <w:rFonts w:ascii="Times" w:hAnsi="Times" w:eastAsia="Times"/>
          <w:b w:val="0"/>
          <w:i/>
          <w:color w:val="231F20"/>
          <w:sz w:val="20"/>
        </w:rPr>
        <w:t>future</w:t>
      </w:r>
      <w:r>
        <w:rPr>
          <w:rFonts w:ascii="Times" w:hAnsi="Times" w:eastAsia="Times"/>
          <w:b w:val="0"/>
          <w:i/>
          <w:color w:val="231F20"/>
          <w:sz w:val="20"/>
        </w:rPr>
        <w:t>results</w:t>
      </w:r>
      <w:r>
        <w:rPr>
          <w:rFonts w:ascii="Times" w:hAnsi="Times" w:eastAsia="Times"/>
          <w:b w:val="0"/>
          <w:i/>
          <w:color w:val="231F20"/>
          <w:sz w:val="20"/>
        </w:rPr>
        <w:t>could</w:t>
      </w:r>
      <w:r>
        <w:rPr>
          <w:rFonts w:ascii="Times" w:hAnsi="Times" w:eastAsia="Times"/>
          <w:b w:val="0"/>
          <w:i/>
          <w:color w:val="231F20"/>
          <w:sz w:val="20"/>
        </w:rPr>
        <w:t>differ</w:t>
      </w:r>
      <w:r>
        <w:rPr>
          <w:rFonts w:ascii="Times" w:hAnsi="Times" w:eastAsia="Times"/>
          <w:b w:val="0"/>
          <w:i/>
          <w:color w:val="231F20"/>
          <w:sz w:val="20"/>
        </w:rPr>
        <w:t>materially</w:t>
      </w:r>
      <w:r>
        <w:rPr>
          <w:rFonts w:ascii="Times" w:hAnsi="Times" w:eastAsia="Times"/>
          <w:b w:val="0"/>
          <w:i/>
          <w:color w:val="231F20"/>
          <w:sz w:val="20"/>
        </w:rPr>
        <w:t>from</w:t>
      </w:r>
      <w:r>
        <w:rPr>
          <w:rFonts w:ascii="Times" w:hAnsi="Times" w:eastAsia="Times"/>
          <w:b w:val="0"/>
          <w:i/>
          <w:color w:val="231F20"/>
          <w:sz w:val="20"/>
        </w:rPr>
        <w:t>those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currently </w:t>
      </w:r>
      <w:r>
        <w:rPr>
          <w:rFonts w:ascii="Times" w:hAnsi="Times" w:eastAsia="Times"/>
          <w:b w:val="0"/>
          <w:i/>
          <w:color w:val="231F20"/>
          <w:sz w:val="20"/>
        </w:rPr>
        <w:t>anticipated.</w:t>
      </w:r>
    </w:p>
    <w:p>
      <w:pPr>
        <w:autoSpaceDN w:val="0"/>
        <w:autoSpaceDE w:val="0"/>
        <w:widowControl/>
        <w:spacing w:line="200" w:lineRule="exact" w:before="40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TABLE OF CONTENTS</w:t>
      </w:r>
    </w:p>
    <w:p>
      <w:pPr>
        <w:autoSpaceDN w:val="0"/>
        <w:autoSpaceDE w:val="0"/>
        <w:widowControl/>
        <w:spacing w:line="160" w:lineRule="exact" w:before="110" w:after="36"/>
        <w:ind w:left="0" w:right="120" w:firstLine="0"/>
        <w:jc w:val="right"/>
      </w:pPr>
      <w:r>
        <w:rPr>
          <w:rFonts w:ascii="Times" w:hAnsi="Times" w:eastAsia="Times"/>
          <w:b/>
          <w:i w:val="0"/>
          <w:color w:val="231F20"/>
          <w:sz w:val="16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4144"/>
        </w:trPr>
        <w:tc>
          <w:tcPr>
            <w:tcW w:type="dxa" w:w="884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Availability of Information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Summary Information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Overview . 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Executive Summary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Financial Results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Lending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Development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Capital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Risk 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Contractual Obligations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Pension and other Post-Retirement Benefits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Critical Accounting Policies and the Use of Estimates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Governance and Controls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Reconciliations of Components of Allocable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Affiliated Organizations—IFC, IDA and MIGA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</w:t>
            </w:r>
          </w:p>
        </w:tc>
        <w:tc>
          <w:tcPr>
            <w:tcW w:type="dxa" w:w="33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11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39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41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44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47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69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71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77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79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84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85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90</w:t>
            </w:r>
          </w:p>
        </w:tc>
      </w:tr>
      <w:tr>
        <w:trPr>
          <w:trHeight w:hRule="exact" w:val="24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Administration of IBRD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 . .</w:t>
            </w:r>
          </w:p>
        </w:tc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408"/>
        </w:trPr>
        <w:tc>
          <w:tcPr>
            <w:tcW w:type="dxa" w:w="88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 Articles of Agreement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Legal Status, Privileges and Immunities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Fiscal Year, Announcements, and Allocation of Net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Fees to External Auditors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Appendix . 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Index to Financial Statements and Internal Control Reports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</w:t>
            </w:r>
          </w:p>
        </w:tc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64" w:right="1440" w:bottom="70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